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Arial"/>
          <w:b/>
          <w:i w:val="0"/>
          <w:color w:val="C62828"/>
          <w:sz w:val="24"/>
        </w:rPr>
        <w:t>DPV INTERNATIONAL</w:t>
      </w:r>
    </w:p>
    <w:p>
      <w:pPr>
        <w:spacing w:after="560"/>
        <w:jc w:val="center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 descr="DPV International corporat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v-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Arial"/>
          <w:b/>
          <w:i w:val="0"/>
          <w:color w:val="18324A"/>
          <w:sz w:val="50"/>
        </w:rPr>
        <w:t>AI-Powered Overseas Lead Generation System</w:t>
      </w:r>
    </w:p>
    <w:p>
      <w:pPr>
        <w:spacing w:after="880"/>
        <w:jc w:val="center"/>
      </w:pPr>
      <w:r>
        <w:rPr>
          <w:rFonts w:ascii="Arial" w:hAnsi="Arial" w:eastAsia="Arial"/>
          <w:b w:val="0"/>
          <w:i w:val="0"/>
          <w:color w:val="5D6873"/>
          <w:sz w:val="26"/>
        </w:rPr>
        <w:t>Implementation Proposal for Multi-Platform Lead Discovery, Qualification and Conversion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C62828"/>
                <w:sz w:val="28"/>
              </w:rPr>
              <w:t>8 Weeks</w:t>
              <w:br/>
            </w:r>
            <w:r>
              <w:rPr>
                <w:rFonts w:ascii="Arial" w:hAnsi="Arial" w:eastAsia="Arial"/>
                <w:b w:val="0"/>
                <w:color w:val="5D6873"/>
                <w:sz w:val="17"/>
              </w:rPr>
              <w:t>Initial Delivery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C62828"/>
                <w:sz w:val="28"/>
              </w:rPr>
              <w:t>Week 2</w:t>
              <w:br/>
            </w:r>
            <w:r>
              <w:rPr>
                <w:rFonts w:ascii="Arial" w:hAnsi="Arial" w:eastAsia="Arial"/>
                <w:b w:val="0"/>
                <w:color w:val="5D6873"/>
                <w:sz w:val="17"/>
              </w:rPr>
              <w:t>Prototype Demo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C62828"/>
                <w:sz w:val="28"/>
              </w:rPr>
              <w:t>Week 5</w:t>
              <w:br/>
            </w:r>
            <w:r>
              <w:rPr>
                <w:rFonts w:ascii="Arial" w:hAnsi="Arial" w:eastAsia="Arial"/>
                <w:b w:val="0"/>
                <w:color w:val="5D6873"/>
                <w:sz w:val="17"/>
              </w:rPr>
              <w:t>Live Pilot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C62828"/>
                <w:sz w:val="28"/>
              </w:rPr>
              <w:t>Week 8</w:t>
              <w:br/>
            </w:r>
            <w:r>
              <w:rPr>
                <w:rFonts w:ascii="Arial" w:hAnsi="Arial" w:eastAsia="Arial"/>
                <w:b w:val="0"/>
                <w:color w:val="5D6873"/>
                <w:sz w:val="17"/>
              </w:rPr>
              <w:t>Acceptance</w:t>
            </w:r>
          </w:p>
        </w:tc>
      </w:tr>
    </w:tbl>
    <w:p>
      <w:pPr>
        <w:spacing w:after="700"/>
      </w:pPr>
      <w:r>
        <w:rPr>
          <w:rFonts w:ascii="Arial" w:hAnsi="Arial" w:eastAsia="Arial"/>
          <w:b w:val="0"/>
          <w:i w:val="0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Prepared for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DPV International Management and Business Teams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Version</w:t>
            </w:r>
          </w:p>
        </w:tc>
        <w:tc>
          <w:tcPr>
            <w:tcW w:type="dxa" w:w="7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V1.0</w:t>
            </w:r>
          </w:p>
        </w:tc>
      </w:tr>
      <w:t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Date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August 2026</w:t>
            </w:r>
          </w:p>
        </w:tc>
      </w:tr>
      <w:tr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Classification</w:t>
            </w:r>
          </w:p>
        </w:tc>
        <w:tc>
          <w:tcPr>
            <w:tcW w:type="dxa" w:w="7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Internal Proposal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C62828"/>
        </w:rPr>
        <w:t>Contents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1. Executive Summary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2. Business Context and Overseas Target Buyers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3. Overseas Lead Source Strategy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4. Automated Lead Generation Workflow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5. System Architecture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6. Lead Scoring and Qualification Tiers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7. Company Data Requirements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8. Eight-Week Implementation Plan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9. Automation Roadmap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10. Acceptance Metrics and Risk Controls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Appendices</w:t>
      </w:r>
    </w:p>
    <w:p>
      <w:pPr>
        <w:pStyle w:val="Heading1"/>
      </w:pPr>
      <w:r>
        <w:rPr>
          <w:rFonts w:ascii="Arial" w:hAnsi="Arial" w:eastAsia="Arial"/>
          <w:b/>
          <w:color w:val="C62828"/>
        </w:rPr>
        <w:t>1. Executive Summary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This proposal establishes an overseas lead generation system for DPV International, combining multi-platform company discovery, data enrichment, lead scoring, product-to-buyer matching, multilingual outreach and conversion feedback. The primary targets are qualified business buyers; consumer and social-content signals are used to assess market demand rather than to replace business qualification.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The initial delivery spans eight weeks. A demonstrable prototype will be available in Week 2, the multi-source lead database MVP will be completed in Week 4, live outreach will begin in Week 5 and acceptance will be completed in Week 8. Human approval remains mandatory during the initial phase, with controlled automation introduced only after data quality and operating performance are proven.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DED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C62828"/>
                <w:sz w:val="21"/>
              </w:rPr>
              <w:t>Primary outcome: a closed operating loop covering discovery, verification, scoring, product matching, approval, outreach, sales follow-up and conversion feedback.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Arial"/>
          <w:b/>
          <w:color w:val="C62828"/>
        </w:rPr>
        <w:t>2. Business Context and Overseas Target Buyers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DPV International is positioned as a bulk export supplier across women's, men's and children's apparel, bags, beauty products and household goods. Its operating footprint across Guangzhou, Hong Kong and India provides a foundation for sourcing and export coordination. The corporate website documents flexible MOQs, wholesale enquiries, FOB/CIF quotation practices and export-ready packing, and will serve as the system's company and product knowledge source.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Mexico will provide the baseline for proven buyer profiles, product demand and outreach language. The United Arab Emirates will be the first new-market pilot, focusing on Dubai-based importers, regional wholesalers, retail buyers and e-commerce operators. Bangladesh will follow as the second expansion market, with buyer segments and product emphasis adjusted to validated commercial data.</w:t>
      </w:r>
    </w:p>
    <w:p>
      <w:pPr>
        <w:pStyle w:val="Heading2"/>
      </w:pPr>
      <w:r>
        <w:rPr>
          <w:rFonts w:ascii="Arial" w:hAnsi="Arial" w:eastAsia="Arial"/>
          <w:b/>
          <w:color w:val="18324A"/>
        </w:rPr>
        <w:t>2.1 Target Buyer Segments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Importers and regional distributors of apparel, bags and household goods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Wholesalers, retail chains, department stores and specialist retail buyers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Business sellers operating on Amazon, Noon, Mercado Libre and similar marketplaces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Private-label brands, OEM buyers and sourcing agencies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Trading companies and corporate purchasing teams with recurring replenishment demand</w:t>
      </w:r>
    </w:p>
    <w:p>
      <w:pPr>
        <w:pStyle w:val="Heading2"/>
      </w:pPr>
      <w:r>
        <w:rPr>
          <w:rFonts w:ascii="Arial" w:hAnsi="Arial" w:eastAsia="Arial"/>
          <w:b/>
          <w:color w:val="18324A"/>
        </w:rPr>
        <w:t>2.2 Qualification Boundaries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Individual consumers, social accounts without a verifiable business entity, companies with no relevant commercial fit, duplicates, opted-out contacts and unverifiable contact records will not enter the active outreach pool.</w:t>
      </w:r>
    </w:p>
    <w:p>
      <w:pPr>
        <w:pStyle w:val="Heading1"/>
      </w:pPr>
      <w:r>
        <w:rPr>
          <w:rFonts w:ascii="Arial" w:hAnsi="Arial" w:eastAsia="Arial"/>
          <w:b/>
          <w:color w:val="C62828"/>
        </w:rPr>
        <w:t>3. Overseas Lead Source Strategy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Overseas platforms are combined across five roles: company discovery, buying signals, contact enrichment, content trends and inbound lead capture. No single platform is treated as a complete source of truth.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200"/>
        <w:gridCol w:w="3400"/>
        <w:gridCol w:w="226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Source Type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Representative Channels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Primary Purpose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5"/>
              </w:rPr>
              <w:t>Initial Integration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Search &amp; Maps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Google, Google Maps, Bing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Identify target-market companies, websites and coverage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Search/API and public-page parsing</w:t>
            </w:r>
          </w:p>
        </w:tc>
      </w:tr>
      <w:tr>
        <w:tc>
          <w:tcPr>
            <w:tcW w:type="dxa" w:w="1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Professional Networks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LinkedIn</w:t>
            </w:r>
          </w:p>
        </w:tc>
        <w:tc>
          <w:tcPr>
            <w:tcW w:type="dxa" w:w="3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Identify companies, buyers and relevant job titles</w:t>
            </w:r>
          </w:p>
        </w:tc>
        <w:tc>
          <w:tcPr>
            <w:tcW w:type="dxa" w:w="2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Research tasks and human outreach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Social Platforms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Facebook, Instagram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Discover business pages, groups, ads and enquiries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Public signals and owned-account data</w:t>
            </w:r>
          </w:p>
        </w:tc>
      </w:tr>
      <w:tr>
        <w:tc>
          <w:tcPr>
            <w:tcW w:type="dxa" w:w="1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Video &amp; Content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TikTok, YouTube</w:t>
            </w:r>
          </w:p>
        </w:tc>
        <w:tc>
          <w:tcPr>
            <w:tcW w:type="dxa" w:w="3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Identify brands, sellers, trends and content momentum</w:t>
            </w:r>
          </w:p>
        </w:tc>
        <w:tc>
          <w:tcPr>
            <w:tcW w:type="dxa" w:w="2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Official APIs and public metadata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B2B Marketplaces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Alibaba, Global Sources, TradeKey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Discover buyers, enquiries and category demand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Platform-authorized export or API</w:t>
            </w:r>
          </w:p>
        </w:tc>
      </w:tr>
      <w:tr>
        <w:tc>
          <w:tcPr>
            <w:tcW w:type="dxa" w:w="15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Trade Data &amp; Directories</w:t>
            </w:r>
          </w:p>
        </w:tc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ImportGenius, Panjiva, Kompass</w:t>
            </w:r>
          </w:p>
        </w:tc>
        <w:tc>
          <w:tcPr>
            <w:tcW w:type="dxa" w:w="34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Validate import activity, business identity and buying capacity</w:t>
            </w:r>
          </w:p>
        </w:tc>
        <w:tc>
          <w:tcPr>
            <w:tcW w:type="dxa" w:w="2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Corporate accounts or public data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Events &amp; Marketplaces</w:t>
            </w:r>
          </w:p>
        </w:tc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Trade shows, Amazon, Noon, Mercado Libre</w:t>
            </w:r>
          </w:p>
        </w:tc>
        <w:tc>
          <w:tcPr>
            <w:tcW w:type="dxa" w:w="3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Find exhibitors, brands and business sellers</w:t>
            </w:r>
          </w:p>
        </w:tc>
        <w:tc>
          <w:tcPr>
            <w:tcW w:type="dxa" w:w="2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5"/>
              </w:rPr>
              <w:t>List parsing and entity matching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52812"/>
            <wp:docPr id="2" name="Picture 2" descr="Figure 1. Multi-Platform Overseas Lead Sour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map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5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Multi-Platform Overseas Lead Sources</w:t>
      </w:r>
    </w:p>
    <w:p>
      <w:pPr>
        <w:keepNext w:val="0"/>
        <w:spacing w:after="120"/>
        <w:jc w:val="center"/>
      </w:pPr>
      <w:r>
        <w:rPr>
          <w:rFonts w:ascii="Arial" w:hAnsi="Arial" w:eastAsia="Arial"/>
          <w:b w:val="0"/>
          <w:i w:val="0"/>
          <w:color w:val="5D6873"/>
          <w:sz w:val="18"/>
        </w:rPr>
        <w:t>Platform signals are consolidated into unified company records before cleaning, deduplication, verification and qualification.</w:t>
      </w:r>
    </w:p>
    <w:p>
      <w:pPr>
        <w:pStyle w:val="Heading1"/>
      </w:pPr>
      <w:r>
        <w:rPr>
          <w:rFonts w:ascii="Arial" w:hAnsi="Arial" w:eastAsia="Arial"/>
          <w:b/>
          <w:color w:val="C62828"/>
        </w:rPr>
        <w:t>4. Automated Lead Generation Workflow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The system generates search strategies by market, city, product, buyer type and language, then acquires public business signals on a scheduled basis. Every candidate record retains its source URL, capture date and platform type before standardization, deduplication, contact verification, buyer classification and product matching.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Tier A leads receive personalized email drafts, LinkedIn contact tasks and product recommendations. All outbound content requires sales approval during the initial phase. Follow-up stops immediately after a reply, opt-out, hard bounce or manual takeover. Replies are classified into quotation, catalogue, sample, defer, decline or irrelevant categories and routed to the appropriate sales action.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497580"/>
            <wp:docPr id="3" name="Picture 3" descr="Figure 2. End-to-End AI-Powered Lead Generation Work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quisition_flow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2. End-to-End AI-Powered Lead Generation Workflow</w:t>
      </w:r>
    </w:p>
    <w:p>
      <w:pPr>
        <w:keepNext w:val="0"/>
        <w:spacing w:after="120"/>
        <w:jc w:val="center"/>
      </w:pPr>
      <w:r>
        <w:rPr>
          <w:rFonts w:ascii="Arial" w:hAnsi="Arial" w:eastAsia="Arial"/>
          <w:b w:val="0"/>
          <w:i w:val="0"/>
          <w:color w:val="5D6873"/>
          <w:sz w:val="18"/>
        </w:rPr>
        <w:t>The workflow includes controls for invalid records, opt-outs, high-intent sales handoff and conversion feedback.</w:t>
      </w:r>
    </w:p>
    <w:p>
      <w:pPr>
        <w:pStyle w:val="Heading1"/>
      </w:pPr>
      <w:r>
        <w:rPr>
          <w:rFonts w:ascii="Arial" w:hAnsi="Arial" w:eastAsia="Arial"/>
          <w:b/>
          <w:color w:val="C62828"/>
        </w:rPr>
        <w:t>5. System Architecture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The solution uses a layered architecture built around n8n orchestration, a PostgreSQL data foundation, a CRM operating interface and large-language-model services. n8n manages scheduling, API integrations, approvals, alerts and write-back. PostgreSQL stores leads, products, campaigns, interactions, opt-outs and audit records. An existing CRM will be integrated where available; otherwise, NocoDB will provide the initial sales interface.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Language models support company classification, web-page summarization, product matching, multilingual copy and reply-intent detection. They do not independently determine prices, payment terms, contract terms or delivery commitments. Credentials are stored through controlled secrets management and all outbound actions are logged.</w:t>
      </w:r>
    </w:p>
    <w:p>
      <w:pPr>
        <w:sectPr>
          <w:headerReference w:type="default" r:id="rId15"/>
          <w:footerReference w:type="default" r:id="rId16"/>
          <w:headerReference w:type="first" r:id="rId25"/>
          <w:footerReference w:type="first" r:id="rId26"/>
          <w:pgSz w:w="12240" w:h="15840"/>
          <w:pgMar w:top="1224" w:right="1440" w:bottom="1152" w:left="1440" w:header="518" w:footer="518" w:gutter="0"/>
          <w:cols w:space="720"/>
          <w:titlePg/>
          <w:docGrid w:linePitch="360"/>
        </w:sectPr>
      </w:pPr>
    </w:p>
    <w:p>
      <w:pPr>
        <w:pStyle w:val="Heading1"/>
      </w:pPr>
      <w:r>
        <w:rPr>
          <w:rFonts w:ascii="Arial" w:hAnsi="Arial" w:eastAsia="Arial"/>
          <w:b/>
          <w:color w:val="C62828"/>
        </w:rPr>
        <w:t>5.1 Layered Architecture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549640" cy="4702302"/>
            <wp:docPr id="4" name="Picture 4" descr="Figure 3. AI-Powered Lead Generation System Architec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702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3. AI-Powered Lead Generation System Architecture</w:t>
      </w:r>
    </w:p>
    <w:p>
      <w:pPr>
        <w:keepNext w:val="0"/>
        <w:spacing w:after="120"/>
        <w:jc w:val="center"/>
      </w:pPr>
      <w:r>
        <w:rPr>
          <w:rFonts w:ascii="Arial" w:hAnsi="Arial" w:eastAsia="Arial"/>
          <w:b w:val="0"/>
          <w:i w:val="0"/>
          <w:color w:val="5D6873"/>
          <w:sz w:val="18"/>
        </w:rPr>
        <w:t>Standard interfaces allow individual platforms or model services to be replaced without changing the core data model.</w:t>
      </w:r>
    </w:p>
    <w:p>
      <w:pPr>
        <w:sectPr>
          <w:headerReference w:type="default" r:id="rId17"/>
          <w:footerReference w:type="default" r:id="rId18"/>
          <w:pgSz w:w="15840" w:h="12240" w:orient="landscape"/>
          <w:pgMar w:top="936" w:right="1008" w:bottom="936" w:left="1008" w:header="518" w:footer="518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Arial"/>
          <w:b/>
          <w:color w:val="C62828"/>
        </w:rPr>
        <w:t>6. Lead Scoring and Qualification Tiers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1100"/>
        <w:gridCol w:w="5560"/>
      </w:tblGrid>
      <w:tr>
        <w:trPr>
          <w:tblHeader w:val="true"/>
        </w:trP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Scoring Dimension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Product Fit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20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Category, price band, MOQ and buying use case</w:t>
            </w:r>
          </w:p>
        </w:tc>
      </w:tr>
      <w:tr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Market Fit</w:t>
            </w:r>
          </w:p>
        </w:tc>
        <w:tc>
          <w:tcPr>
            <w:tcW w:type="dxa" w:w="1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15</w:t>
            </w:r>
          </w:p>
        </w:tc>
        <w:tc>
          <w:tcPr>
            <w:tcW w:type="dxa" w:w="55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Country, city and geographic coverage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Buyer Type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15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Importer, wholesaler, retailer or business seller</w:t>
            </w:r>
          </w:p>
        </w:tc>
      </w:tr>
      <w:tr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Import / Wholesale Evidence</w:t>
            </w:r>
          </w:p>
        </w:tc>
        <w:tc>
          <w:tcPr>
            <w:tcW w:type="dxa" w:w="1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15</w:t>
            </w:r>
          </w:p>
        </w:tc>
        <w:tc>
          <w:tcPr>
            <w:tcW w:type="dxa" w:w="55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Trade records, wholesale positioning, stores or channel coverage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Company Scale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10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Stores, employees, revenue or operating-scale signals</w:t>
            </w:r>
          </w:p>
        </w:tc>
      </w:tr>
      <w:tr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Recent Buying Signal</w:t>
            </w:r>
          </w:p>
        </w:tc>
        <w:tc>
          <w:tcPr>
            <w:tcW w:type="dxa" w:w="1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10</w:t>
            </w:r>
          </w:p>
        </w:tc>
        <w:tc>
          <w:tcPr>
            <w:tcW w:type="dxa" w:w="55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New ranges, recruitment, events, content or import activity</w:t>
            </w:r>
          </w:p>
        </w:tc>
      </w:tr>
      <w:tr>
        <w:tc>
          <w:tcPr>
            <w:tcW w:type="dxa" w:w="2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Decision-Maker Quality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10</w:t>
            </w:r>
          </w:p>
        </w:tc>
        <w:tc>
          <w:tcPr>
            <w:tcW w:type="dxa" w:w="5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Role relevance and profile completeness</w:t>
            </w:r>
          </w:p>
        </w:tc>
      </w:tr>
      <w:tr>
        <w:tc>
          <w:tcPr>
            <w:tcW w:type="dxa" w:w="2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Contact Validity</w:t>
            </w:r>
          </w:p>
        </w:tc>
        <w:tc>
          <w:tcPr>
            <w:tcW w:type="dxa" w:w="1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5</w:t>
            </w:r>
          </w:p>
        </w:tc>
        <w:tc>
          <w:tcPr>
            <w:tcW w:type="dxa" w:w="55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Verified work email, business phone or approved channel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DA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C88719"/>
                <w:sz w:val="21"/>
              </w:rPr>
              <w:t>Tier A: 75–100; Tier B: 55–74; Tier C: below 55. Scores of 85 or above become eligible for automated first-touch only after the system is stable and send controls are satisfied.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749040"/>
            <wp:docPr id="5" name="Picture 5" descr="Figure 4. Lead Scoring and Qualification Tie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ing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7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4. Lead Scoring and Qualification Tiers</w:t>
      </w:r>
    </w:p>
    <w:p>
      <w:pPr>
        <w:keepNext w:val="0"/>
        <w:spacing w:after="120"/>
        <w:jc w:val="center"/>
      </w:pPr>
      <w:r>
        <w:rPr>
          <w:rFonts w:ascii="Arial" w:hAnsi="Arial" w:eastAsia="Arial"/>
          <w:b w:val="0"/>
          <w:i w:val="0"/>
          <w:color w:val="5D6873"/>
          <w:sz w:val="18"/>
        </w:rPr>
        <w:t>Every score retains reason codes and source evidence so sales teams can review and explain the result.</w:t>
      </w:r>
    </w:p>
    <w:p>
      <w:pPr>
        <w:pStyle w:val="Heading1"/>
      </w:pPr>
      <w:r>
        <w:rPr>
          <w:rFonts w:ascii="Arial" w:hAnsi="Arial" w:eastAsia="Arial"/>
          <w:b/>
          <w:color w:val="C62828"/>
        </w:rPr>
        <w:t>7. Company Data Requirements</w:t>
      </w:r>
    </w:p>
    <w:p>
      <w:pPr>
        <w:spacing w:after="140"/>
      </w:pPr>
      <w:r>
        <w:rPr>
          <w:rFonts w:ascii="Arial" w:hAnsi="Arial" w:eastAsia="Arial"/>
          <w:b w:val="0"/>
          <w:i w:val="0"/>
        </w:rPr>
        <w:t>HR coordinates the request across management, sales, export operations, product, supply chain, finance and IT. The first submission consists of de-identified samples, field definitions and an account inventory; individual passwords are not transferred.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1450"/>
        <w:gridCol w:w="4030"/>
        <w:gridCol w:w="1550"/>
        <w:gridCol w:w="1530"/>
      </w:tblGrid>
      <w:tr>
        <w:trPr>
          <w:tblHeader w:val="true"/>
        </w:trP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Data Package</w:t>
            </w:r>
          </w:p>
        </w:tc>
        <w:tc>
          <w:tcPr>
            <w:tcW w:type="dxa" w:w="4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Required Content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Coverage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Owner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P0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Business Objectives</w:t>
            </w:r>
          </w:p>
        </w:tc>
        <w:tc>
          <w:tcPr>
            <w:tcW w:type="dxa" w:w="4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Target markets, buyer types, priority categories, lead/conversion goals, budget and exclusions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One-page management brief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Management</w:t>
            </w:r>
          </w:p>
        </w:tc>
      </w:tr>
      <w:tr>
        <w:tc>
          <w:tcPr>
            <w:tcW w:type="dxa" w:w="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P0</w:t>
            </w:r>
          </w:p>
        </w:tc>
        <w:tc>
          <w:tcPr>
            <w:tcW w:type="dxa" w:w="14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Historical Customers &amp; Orders</w:t>
            </w:r>
          </w:p>
        </w:tc>
        <w:tc>
          <w:tcPr>
            <w:tcW w:type="dxa" w:w="40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Company, country, source, SKU, quantity, revenue, margin band, repeat orders and sales cycle</w:t>
            </w:r>
          </w:p>
        </w:tc>
        <w:tc>
          <w:tcPr>
            <w:tcW w:type="dxa" w:w="1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Past 12–24 months</w:t>
            </w:r>
          </w:p>
        </w:tc>
        <w:tc>
          <w:tcPr>
            <w:tcW w:type="dxa" w:w="15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Sales / Finance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P0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Historical Lead Funnel</w:t>
            </w:r>
          </w:p>
        </w:tc>
        <w:tc>
          <w:tcPr>
            <w:tcW w:type="dxa" w:w="4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Source, contact, outreach, reply, quotation, conversion, stage and loss reason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50 wins and 100+ losses/leads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Sales / Export</w:t>
            </w:r>
          </w:p>
        </w:tc>
      </w:tr>
      <w:tr>
        <w:tc>
          <w:tcPr>
            <w:tcW w:type="dxa" w:w="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P0</w:t>
            </w:r>
          </w:p>
        </w:tc>
        <w:tc>
          <w:tcPr>
            <w:tcW w:type="dxa" w:w="14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Product Master</w:t>
            </w:r>
          </w:p>
        </w:tc>
        <w:tc>
          <w:tcPr>
            <w:tcW w:type="dxa" w:w="40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SKU, material, size, MOQ, price tiers, FOB/CIF, samples, lead time, capacity, packing, certification and assets</w:t>
            </w:r>
          </w:p>
        </w:tc>
        <w:tc>
          <w:tcPr>
            <w:tcW w:type="dxa" w:w="1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30–50 priority apparel SKUs</w:t>
            </w:r>
          </w:p>
        </w:tc>
        <w:tc>
          <w:tcPr>
            <w:tcW w:type="dxa" w:w="15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Product / Supply Chain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P0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Sales Knowledge</w:t>
            </w:r>
          </w:p>
        </w:tc>
        <w:tc>
          <w:tcPr>
            <w:tcW w:type="dxa" w:w="4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Company profile, FAQs, quotation templates, successful copy, objections and prohibited claims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20+ successful conversations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Sales / Management</w:t>
            </w:r>
          </w:p>
        </w:tc>
      </w:tr>
      <w:tr>
        <w:tc>
          <w:tcPr>
            <w:tcW w:type="dxa" w:w="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P0</w:t>
            </w:r>
          </w:p>
        </w:tc>
        <w:tc>
          <w:tcPr>
            <w:tcW w:type="dxa" w:w="14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Systems &amp; Accounts</w:t>
            </w:r>
          </w:p>
        </w:tc>
        <w:tc>
          <w:tcPr>
            <w:tcW w:type="dxa" w:w="40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CRM, ERP, Excel, email, WhatsApp, social platforms, B2B platforms, APIs and owners</w:t>
            </w:r>
          </w:p>
        </w:tc>
        <w:tc>
          <w:tcPr>
            <w:tcW w:type="dxa" w:w="1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Complete inventory</w:t>
            </w:r>
          </w:p>
        </w:tc>
        <w:tc>
          <w:tcPr>
            <w:tcW w:type="dxa" w:w="15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IT / Administration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Channel Data</w:t>
            </w:r>
          </w:p>
        </w:tc>
        <w:tc>
          <w:tcPr>
            <w:tcW w:type="dxa" w:w="4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Website and WhatsApp enquiries, social engagement, advertising, events and platform exports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Past 6–12 months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Marketing / Sales</w:t>
            </w:r>
          </w:p>
        </w:tc>
      </w:tr>
      <w:tr>
        <w:tc>
          <w:tcPr>
            <w:tcW w:type="dxa" w:w="8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P1</w:t>
            </w:r>
          </w:p>
        </w:tc>
        <w:tc>
          <w:tcPr>
            <w:tcW w:type="dxa" w:w="14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Supply &amp; Fulfilment</w:t>
            </w:r>
          </w:p>
        </w:tc>
        <w:tc>
          <w:tcPr>
            <w:tcW w:type="dxa" w:w="40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Categories, capacity, lead times, ports, certifications, complaints and restrictions by operating location</w:t>
            </w:r>
          </w:p>
        </w:tc>
        <w:tc>
          <w:tcPr>
            <w:tcW w:type="dxa" w:w="155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By entity and category</w:t>
            </w:r>
          </w:p>
        </w:tc>
        <w:tc>
          <w:tcPr>
            <w:tcW w:type="dxa" w:w="153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Supply Chain / Factories</w:t>
            </w:r>
          </w:p>
        </w:tc>
      </w:tr>
      <w:tr>
        <w:tc>
          <w:tcPr>
            <w:tcW w:type="dxa" w:w="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P1</w:t>
            </w:r>
          </w:p>
        </w:tc>
        <w:tc>
          <w:tcPr>
            <w:tcW w:type="dxa" w:w="1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Governance Rules</w:t>
            </w:r>
          </w:p>
        </w:tc>
        <w:tc>
          <w:tcPr>
            <w:tcW w:type="dxa" w:w="40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Approvers, lead assignment, suppression list, retention, send limits and exception handling</w:t>
            </w:r>
          </w:p>
        </w:tc>
        <w:tc>
          <w:tcPr>
            <w:tcW w:type="dxa" w:w="1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Current policies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Management / IT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  <w:b/>
          <w:color w:val="18324A"/>
        </w:rPr>
        <w:t>7.1 Initial Sample Size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At least 50 converted customers and 100 non-converted leads.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30–50 priority SKUs and at least 20 successful sales conversations.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An initial pool of 200–500 candidate companies and approximately 100 live outreach records.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C62828"/>
        </w:rPr>
        <w:t>8. Eight-Week Implementation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000"/>
        <w:gridCol w:w="3300"/>
        <w:gridCol w:w="2100"/>
        <w:gridCol w:w="12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Timing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Primary Activities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Deliverables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Acceptance Gate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1 Requirements &amp; Data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Week 1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Interviews, data samples, product and market confirmation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Data register, ICP and system inventory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Scope and fields approved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2 Rapid Prototype</w:t>
            </w:r>
          </w:p>
        </w:tc>
        <w:tc>
          <w:tcPr>
            <w:tcW w:type="dxa" w:w="1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Week 2</w:t>
            </w:r>
          </w:p>
        </w:tc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Database, n8n and first search workflow</w:t>
            </w:r>
          </w:p>
        </w:tc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50 sample leads</w:t>
            </w:r>
          </w:p>
        </w:tc>
        <w:tc>
          <w:tcPr>
            <w:tcW w:type="dxa" w:w="1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Prototype demonstration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3 Multi-Source MVP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Weeks 3–4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Acquisition, cleaning, deduplication and verification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Unified pool of 200–500 leads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MVP completed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4 Classification &amp; Matching</w:t>
            </w:r>
          </w:p>
        </w:tc>
        <w:tc>
          <w:tcPr>
            <w:tcW w:type="dxa" w:w="1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Weeks 4–5</w:t>
            </w:r>
          </w:p>
        </w:tc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Classification, scoring, matching and multilingual copy</w:t>
            </w:r>
          </w:p>
        </w:tc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A/B/C tiers and drafts</w:t>
            </w:r>
          </w:p>
        </w:tc>
        <w:tc>
          <w:tcPr>
            <w:tcW w:type="dxa" w:w="1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Accuracy sample passed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5 Approval &amp; Live Outreach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Week 5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Human approval, sending, reply monitoring and stop rules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Approximately 100 live contacts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Pilot launched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6 Social Signals &amp; Dashboard</w:t>
            </w:r>
          </w:p>
        </w:tc>
        <w:tc>
          <w:tcPr>
            <w:tcW w:type="dxa" w:w="1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Week 6</w:t>
            </w:r>
          </w:p>
        </w:tc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Social signals, enquiry intake and channel reporting</w:t>
            </w:r>
          </w:p>
        </w:tc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Management dashboard and alerts</w:t>
            </w:r>
          </w:p>
        </w:tc>
        <w:tc>
          <w:tcPr>
            <w:tcW w:type="dxa" w:w="1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Full traceability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7 Optimize &amp; Replicate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Week 7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Optimize from pilot results and copy to second market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Bangladesh workflow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Rules reviewed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8 Acceptance &amp; Handover</w:t>
            </w:r>
          </w:p>
        </w:tc>
        <w:tc>
          <w:tcPr>
            <w:tcW w:type="dxa" w:w="1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Week 8</w:t>
            </w:r>
          </w:p>
        </w:tc>
        <w:tc>
          <w:tcPr>
            <w:tcW w:type="dxa" w:w="3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Testing, training, documentation and access review</w:t>
            </w:r>
          </w:p>
        </w:tc>
        <w:tc>
          <w:tcPr>
            <w:tcW w:type="dxa" w:w="21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System, guide and acceptance report</w:t>
            </w:r>
          </w:p>
        </w:tc>
        <w:tc>
          <w:tcPr>
            <w:tcW w:type="dxa" w:w="12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4"/>
              </w:rPr>
              <w:t>Initial acceptance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pgSz w:w="12240" w:h="15840"/>
          <w:pgMar w:top="1224" w:right="1440" w:bottom="1152" w:left="1440" w:header="518" w:footer="518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Arial"/>
          <w:b/>
          <w:color w:val="C62828"/>
        </w:rPr>
        <w:t>8.1 Project Roadmap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549640" cy="4559808"/>
            <wp:docPr id="6" name="Picture 6" descr="Figure 5. Eight-Week Implementation Road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line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49640" cy="455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5. Eight-Week Implementation Roadmap</w:t>
      </w:r>
    </w:p>
    <w:p>
      <w:pPr>
        <w:keepNext w:val="0"/>
        <w:spacing w:after="120"/>
        <w:jc w:val="center"/>
      </w:pPr>
      <w:r>
        <w:rPr>
          <w:rFonts w:ascii="Arial" w:hAnsi="Arial" w:eastAsia="Arial"/>
          <w:b w:val="0"/>
          <w:i w:val="0"/>
          <w:color w:val="5D6873"/>
          <w:sz w:val="18"/>
        </w:rPr>
        <w:t>Milestones provide management with verifiable outcomes in Weeks 2, 4, 5 and 8 instead of deferring all value to project close.</w:t>
      </w:r>
    </w:p>
    <w:p>
      <w:pPr>
        <w:sectPr>
          <w:headerReference w:type="default" r:id="rId21"/>
          <w:footerReference w:type="default" r:id="rId22"/>
          <w:pgSz w:w="15840" w:h="12240" w:orient="landscape"/>
          <w:pgMar w:top="936" w:right="1008" w:bottom="936" w:left="1008" w:header="518" w:footer="518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Arial"/>
          <w:b/>
          <w:color w:val="C62828"/>
        </w:rPr>
        <w:t>9. Automation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1600"/>
        <w:gridCol w:w="3900"/>
        <w:gridCol w:w="256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Automation Scope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Controls Retained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Initial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Within 8 weeks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Automated search, normalization, scoring, matching and outreach drafting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Human approval for all sends; human confirmation for price, contract and delivery</w:t>
            </w:r>
          </w:p>
        </w:tc>
      </w:tr>
      <w:tr>
        <w:tc>
          <w:tcPr>
            <w:tcW w:type="dxa" w:w="13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Stage 2</w:t>
            </w:r>
          </w:p>
        </w:tc>
        <w:tc>
          <w:tcPr>
            <w:tcW w:type="dxa" w:w="16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4–6 weeks after acceptance</w:t>
            </w:r>
          </w:p>
        </w:tc>
        <w:tc>
          <w:tcPr>
            <w:tcW w:type="dxa" w:w="39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Automated first-touch for 85+ leads, scheduled follow-up, catalogue delivery and reply routing</w:t>
            </w:r>
          </w:p>
        </w:tc>
        <w:tc>
          <w:tcPr>
            <w:tcW w:type="dxa" w:w="25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Daily caps, opt-out, bounce and exception stops</w:t>
            </w:r>
          </w:p>
        </w:tc>
      </w:tr>
      <w:t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Stage 3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6–8 weeks after stable operation</w:t>
            </w:r>
          </w:p>
        </w:tc>
        <w:tc>
          <w:tcPr>
            <w:tcW w:type="dxa" w:w="3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Additional markets, categories, social enquiries and scoring optimization</w:t>
            </w:r>
          </w:p>
        </w:tc>
        <w:tc>
          <w:tcPr>
            <w:tcW w:type="dxa" w:w="2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Approval remains for quotations, payment, contracts and material commitments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Arial"/>
          <w:b/>
          <w:color w:val="C62828"/>
        </w:rPr>
        <w:t>10. Acceptance Metrics and Risk Controls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6000"/>
        <w:gridCol w:w="3360"/>
      </w:tblGrid>
      <w:tr>
        <w:trPr>
          <w:tblHeader w:val="true"/>
        </w:trP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Required-field completeness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≥90%</w:t>
            </w:r>
          </w:p>
        </w:tc>
      </w:tr>
      <w:tr>
        <w:tc>
          <w:tcPr>
            <w:tcW w:type="dxa" w:w="6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Duplicate rate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&lt;2%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Tier A sampled precision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≥80%</w:t>
            </w:r>
          </w:p>
        </w:tc>
      </w:tr>
      <w:tr>
        <w:tc>
          <w:tcPr>
            <w:tcW w:type="dxa" w:w="6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Hard-bounce rate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&lt;5%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Source traceability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100%</w:t>
            </w:r>
          </w:p>
        </w:tc>
      </w:tr>
      <w:tr>
        <w:tc>
          <w:tcPr>
            <w:tcW w:type="dxa" w:w="60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Initial-phase send approval</w:t>
            </w:r>
          </w:p>
        </w:tc>
        <w:tc>
          <w:tcPr>
            <w:tcW w:type="dxa" w:w="33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100%</w:t>
            </w:r>
          </w:p>
        </w:tc>
      </w:tr>
      <w:tr>
        <w:tc>
          <w:tcPr>
            <w:tcW w:type="dxa" w:w="6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Manual research time reduction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8"/>
              </w:rPr>
              <w:t>≥60%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 w:eastAsia="Arial"/>
          <w:b/>
          <w:color w:val="18324A"/>
        </w:rPr>
        <w:t>10.1 关键风险控制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Platform constraints: prioritize official APIs, authorized exports and public business data; create human sales tasks where automated messaging is unavailable.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Data quality: retain source, capture time, verification status and score reasons; duplicates and stale records do not enter outreach.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Content accuracy: outbound copy references only approved company knowledge and product master data; missing specifications are not invented.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Send governance: enforce suppression lists, hard-bounce stops, daily caps, domain-reputation monitoring and manual takeover.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Commercial commitments: quotations, payment, contracts, certifications and delivery commitments always require business confirmation.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Access security: apply credential segregation, least privilege, activity logging and periodic retention review.</w:t>
      </w:r>
    </w:p>
    <w:p>
      <w:pPr>
        <w:pStyle w:val="Heading1"/>
      </w:pPr>
      <w:r>
        <w:rPr>
          <w:rFonts w:ascii="Arial" w:hAnsi="Arial" w:eastAsia="Arial"/>
          <w:b/>
          <w:color w:val="C62828"/>
        </w:rPr>
        <w:t>Appendix A: HR Data Coordination Checklist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Nominate data owners across management, sales, export operations, product, supply chain, finance and IT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Provide sample Customers_Orders, Leads_Funnel, Product_Master and Systems_Channels workbooks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Provide Sales_Messages_FAQ documentation and product image/video folders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Confirm field definitions, currencies, date formats, null-value meanings and update frequency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Establish corporate account authorization without transferring personal passwords in spreadsheets</w:t>
      </w:r>
    </w:p>
    <w:p>
      <w:pPr>
        <w:pStyle w:val="ListBullet"/>
        <w:spacing w:after="80"/>
        <w:jc w:val="left"/>
      </w:pPr>
      <w:r>
        <w:rPr>
          <w:rFonts w:ascii="Arial" w:hAnsi="Arial" w:eastAsia="Arial"/>
          <w:b w:val="0"/>
          <w:color w:val="20262D"/>
          <w:sz w:val="21"/>
        </w:rPr>
        <w:t>Confirm owners for retention, opt-out, approval and lead assignment</w:t>
      </w:r>
    </w:p>
    <w:p>
      <w:pPr>
        <w:pStyle w:val="Heading1"/>
      </w:pPr>
      <w:r>
        <w:rPr>
          <w:rFonts w:ascii="Arial" w:hAnsi="Arial" w:eastAsia="Arial"/>
          <w:b/>
          <w:color w:val="C62828"/>
        </w:rPr>
        <w:t>Appendix B: Core Data Fields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8324A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Core Fields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LeadRecord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Company, country, website, source, buyer type, buying evidence, contact, work email, language, score, stage, owner and opt-out</w:t>
            </w:r>
          </w:p>
        </w:tc>
      </w:tr>
      <w:tr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ProductRecord</w:t>
            </w:r>
          </w:p>
        </w:tc>
        <w:tc>
          <w:tcPr>
            <w:tcW w:type="dxa" w:w="7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SKU, category, material, size, MOQ, price tier, Incoterm, sample, lead time, capacity, packing, certification and assets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InteractionRecord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Lead ID, channel, time, direction, template, campaign, opens, clicks, replies, bounces, intent and disposition</w:t>
            </w:r>
          </w:p>
        </w:tc>
      </w:tr>
      <w:tr>
        <w:tc>
          <w:tcPr>
            <w:tcW w:type="dxa" w:w="220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CampaignRecord</w:t>
            </w:r>
          </w:p>
        </w:tc>
        <w:tc>
          <w:tcPr>
            <w:tcW w:type="dxa" w:w="7160"/>
            <w:shd w:fill="FA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20262D"/>
                <w:sz w:val="16"/>
              </w:rPr>
              <w:t>Market, ICP, products, channel, keywords, copy version, send cap, leads, replies, quotations and conversions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 w:eastAsia="Arial"/>
          <w:b/>
          <w:color w:val="C62828"/>
        </w:rPr>
        <w:t>Appendix C: References</w:t>
      </w:r>
    </w:p>
    <w:p>
      <w:pPr>
        <w:pStyle w:val="ListBullet"/>
        <w:spacing w:after="40"/>
        <w:jc w:val="left"/>
      </w:pPr>
      <w:r>
        <w:rPr>
          <w:rFonts w:ascii="Arial" w:hAnsi="Arial" w:eastAsia="Arial"/>
          <w:b w:val="0"/>
          <w:color w:val="20262D"/>
          <w:sz w:val="16"/>
        </w:rPr>
        <w:t>DPV International. Corporate website and product catalogue. https://dpvinternational.com/</w:t>
      </w:r>
    </w:p>
    <w:p>
      <w:pPr>
        <w:pStyle w:val="ListBullet"/>
        <w:spacing w:after="40"/>
        <w:jc w:val="left"/>
      </w:pPr>
      <w:r>
        <w:rPr>
          <w:rFonts w:ascii="Arial" w:hAnsi="Arial" w:eastAsia="Arial"/>
          <w:b w:val="0"/>
          <w:color w:val="20262D"/>
          <w:sz w:val="16"/>
        </w:rPr>
        <w:t>n8n Documentation. Workflow automation and AI integrations. https://docs.n8n.io/</w:t>
      </w:r>
    </w:p>
    <w:p>
      <w:pPr>
        <w:pStyle w:val="ListBullet"/>
        <w:spacing w:after="40"/>
        <w:jc w:val="left"/>
      </w:pPr>
      <w:r>
        <w:rPr>
          <w:rFonts w:ascii="Arial" w:hAnsi="Arial" w:eastAsia="Arial"/>
          <w:b w:val="0"/>
          <w:color w:val="20262D"/>
          <w:sz w:val="16"/>
        </w:rPr>
        <w:t>Google for Developers. YouTube Data API. https://developers.google.com/youtube/v3/docs</w:t>
      </w:r>
    </w:p>
    <w:p>
      <w:pPr>
        <w:pStyle w:val="ListBullet"/>
        <w:spacing w:after="40"/>
        <w:jc w:val="left"/>
      </w:pPr>
      <w:r>
        <w:rPr>
          <w:rFonts w:ascii="Arial" w:hAnsi="Arial" w:eastAsia="Arial"/>
          <w:b w:val="0"/>
          <w:color w:val="20262D"/>
          <w:sz w:val="16"/>
        </w:rPr>
        <w:t>LinkedIn Help. Accessing LinkedIn APIs. https://www.linkedin.com/help/linkedin/answer/a526048</w:t>
      </w:r>
    </w:p>
    <w:p>
      <w:pPr>
        <w:pStyle w:val="ListBullet"/>
        <w:spacing w:after="40"/>
        <w:jc w:val="left"/>
      </w:pPr>
      <w:r>
        <w:rPr>
          <w:rFonts w:ascii="Arial" w:hAnsi="Arial" w:eastAsia="Arial"/>
          <w:b w:val="0"/>
          <w:color w:val="20262D"/>
          <w:sz w:val="16"/>
        </w:rPr>
        <w:t>Meta. WhatsApp Cloud API documentation. https://www.postman.com/meta/whatsapp-business-platform/documentation/wlk6lh4/whatsapp-cloud-api</w:t>
      </w:r>
    </w:p>
    <w:sectPr>
      <w:headerReference w:type="default" r:id="rId23"/>
      <w:footerReference w:type="default" r:id="rId24"/>
      <w:pgSz w:w="12240" w:h="15840"/>
      <w:pgMar w:top="1224" w:right="1440" w:bottom="1152" w:left="1440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5D6873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5D6873"/>
        <w:sz w:val="17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5D6873"/>
        <w:sz w:val="17"/>
      </w:rP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5D6873"/>
        <w:sz w:val="17"/>
      </w:rPr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5D6873"/>
        <w:sz w:val="17"/>
      </w:rPr>
      <w:fldChar w:fldCharType="begin"/>
      <w:instrText xml:space="preserve"> PAGE 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D7DDE3"/>
      </w:pBdr>
    </w:pPr>
    <w:r>
      <w:rPr>
        <w:rFonts w:ascii="Arial" w:hAnsi="Arial" w:eastAsia="Arial"/>
        <w:b/>
        <w:color w:val="5D6873"/>
        <w:sz w:val="17"/>
      </w:rPr>
      <w:t>DPV International | AI-Powered Overseas Lead Generation System</w:t>
    </w:r>
    <w:r>
      <w:rPr>
        <w:rFonts w:ascii="Arial" w:hAnsi="Arial" w:eastAsia="Arial"/>
        <w:b w:val="0"/>
        <w:color w:val="C62828"/>
        <w:sz w:val="17"/>
      </w:rPr>
      <w:t xml:space="preserve">    |    Internal Proposal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D7DDE3"/>
      </w:pBdr>
    </w:pPr>
    <w:r>
      <w:rPr>
        <w:rFonts w:ascii="Arial" w:hAnsi="Arial" w:eastAsia="Arial"/>
        <w:b/>
        <w:color w:val="5D6873"/>
        <w:sz w:val="17"/>
      </w:rPr>
      <w:t>DPV International | AI-Powered Overseas Lead Generation System</w:t>
    </w:r>
    <w:r>
      <w:rPr>
        <w:rFonts w:ascii="Arial" w:hAnsi="Arial" w:eastAsia="Arial"/>
        <w:b w:val="0"/>
        <w:color w:val="C62828"/>
        <w:sz w:val="17"/>
      </w:rPr>
      <w:t xml:space="preserve">    |    Internal Proposal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D7DDE3"/>
      </w:pBdr>
    </w:pPr>
    <w:r>
      <w:rPr>
        <w:rFonts w:ascii="Arial" w:hAnsi="Arial" w:eastAsia="Arial"/>
        <w:b/>
        <w:color w:val="5D6873"/>
        <w:sz w:val="17"/>
      </w:rPr>
      <w:t>DPV International | AI-Powered Overseas Lead Generation System</w:t>
    </w:r>
    <w:r>
      <w:rPr>
        <w:rFonts w:ascii="Arial" w:hAnsi="Arial" w:eastAsia="Arial"/>
        <w:b w:val="0"/>
        <w:color w:val="C62828"/>
        <w:sz w:val="17"/>
      </w:rPr>
      <w:t xml:space="preserve">    |    Internal Proposal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D7DDE3"/>
      </w:pBdr>
    </w:pPr>
    <w:r>
      <w:rPr>
        <w:rFonts w:ascii="Arial" w:hAnsi="Arial" w:eastAsia="Arial"/>
        <w:b/>
        <w:color w:val="5D6873"/>
        <w:sz w:val="17"/>
      </w:rPr>
      <w:t>DPV International | AI-Powered Overseas Lead Generation System</w:t>
    </w:r>
    <w:r>
      <w:rPr>
        <w:rFonts w:ascii="Arial" w:hAnsi="Arial" w:eastAsia="Arial"/>
        <w:b w:val="0"/>
        <w:color w:val="C62828"/>
        <w:sz w:val="17"/>
      </w:rPr>
      <w:t xml:space="preserve">    |    Internal Proposal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3" w:color="D7DDE3"/>
      </w:pBdr>
    </w:pPr>
    <w:r>
      <w:rPr>
        <w:rFonts w:ascii="Arial" w:hAnsi="Arial" w:eastAsia="Arial"/>
        <w:b/>
        <w:color w:val="5D6873"/>
        <w:sz w:val="17"/>
      </w:rPr>
      <w:t>DPV International | AI-Powered Overseas Lead Generation System</w:t>
    </w:r>
    <w:r>
      <w:rPr>
        <w:rFonts w:ascii="Arial" w:hAnsi="Arial" w:eastAsia="Arial"/>
        <w:b w:val="0"/>
        <w:color w:val="C62828"/>
        <w:sz w:val="17"/>
      </w:rPr>
      <w:t xml:space="preserve">    |    Internal Proposal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  <w:jc w:val="both"/>
    </w:pPr>
    <w:rPr>
      <w:rFonts w:ascii="Arial" w:hAnsi="Arial" w:eastAsia="Arial"/>
      <w:color w:val="2026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C6282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832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6F9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8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 w:eastAsia="Arial"/>
      <w:b/>
      <w:i/>
      <w:iCs/>
      <w:color w:val="5D68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  <w:jc w:val="left"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  <w:jc w:val="left"/>
    </w:pPr>
    <w:rPr>
      <w:rFonts w:ascii="Arial" w:hAnsi="Arial" w:eastAsia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Arial" w:hAnsi="Arial" w:eastAsia="Arial"/>
      <w:b/>
      <w:bCs/>
      <w:color w:val="18324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20" Type="http://schemas.openxmlformats.org/officeDocument/2006/relationships/footer" Target="footer3.xml"/><Relationship Id="rId21" Type="http://schemas.openxmlformats.org/officeDocument/2006/relationships/header" Target="header4.xml"/><Relationship Id="rId22" Type="http://schemas.openxmlformats.org/officeDocument/2006/relationships/footer" Target="footer4.xml"/><Relationship Id="rId23" Type="http://schemas.openxmlformats.org/officeDocument/2006/relationships/header" Target="header5.xml"/><Relationship Id="rId24" Type="http://schemas.openxmlformats.org/officeDocument/2006/relationships/footer" Target="footer5.xml"/><Relationship Id="rId25" Type="http://schemas.openxmlformats.org/officeDocument/2006/relationships/header" Target="header6.xml"/><Relationship Id="rId26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DPV International AI-Powered Overseas Lead Generation System Proposal</dc:title>
  <dc:subject>Overseas lead generation system implementation proposal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