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F3864" w:color="auto" w:val="clear"/>
          </w:tcPr>
          <w:p>
            <w:pPr>
              <w:jc w:val="center"/>
            </w:pPr>
            <w:r>
              <w:rPr>
                <w:b/>
                <w:bCs/>
                <w:color w:val="FFFFFF"/>
                <w:sz w:val="28"/>
                <w:szCs w:val="28"/>
              </w:rPr>
              <w:t xml:space="preserve">D5 – DESIGN RATIONALE DOCUMENT</w:t>
            </w:r>
          </w:p>
        </w:tc>
      </w:tr>
      <w:tr>
        <w:tc>
          <w:tcPr>
            <w:shd w:fill="E3F0FC" w:color="auto" w:val="clear"/>
            <w:tcMar>
              <w:top w:type="dxa" w:w="60"/>
              <w:left w:type="dxa" w:w="120"/>
              <w:bottom w:type="dxa" w:w="60"/>
              <w:right w:type="dxa" w:w="120"/>
            </w:tcMar>
          </w:tcPr>
          <w:p>
            <w:r>
              <w:rPr>
                <w:b/>
                <w:bCs/>
                <w:color w:val="212121"/>
                <w:sz w:val="18"/>
                <w:szCs w:val="18"/>
              </w:rPr>
              <w:t xml:space="preserve">Subject</w:t>
            </w:r>
          </w:p>
        </w:tc>
        <w:tc>
          <w:tcPr>
            <w:shd w:fill="E3F0FC" w:color="auto" w:val="clear"/>
            <w:tcMar>
              <w:top w:type="dxa" w:w="60"/>
              <w:left w:type="dxa" w:w="120"/>
              <w:bottom w:type="dxa" w:w="60"/>
              <w:right w:type="dxa" w:w="120"/>
            </w:tcMar>
          </w:tcPr>
          <w:p>
            <w:r>
              <w:rPr>
                <w:b w:val="false"/>
                <w:bCs w:val="false"/>
                <w:color w:val="212121"/>
                <w:sz w:val="18"/>
                <w:szCs w:val="18"/>
              </w:rPr>
              <w:t xml:space="preserve">ITA301 – Information System Analysis &amp; Design</w:t>
            </w:r>
          </w:p>
        </w:tc>
      </w:tr>
      <w:tr>
        <w:tc>
          <w:tcPr>
            <w:shd w:fill="FFFFFF" w:color="auto" w:val="clear"/>
            <w:tcMar>
              <w:top w:type="dxa" w:w="60"/>
              <w:left w:type="dxa" w:w="120"/>
              <w:bottom w:type="dxa" w:w="60"/>
              <w:right w:type="dxa" w:w="120"/>
            </w:tcMar>
          </w:tcPr>
          <w:p>
            <w:r>
              <w:rPr>
                <w:b/>
                <w:bCs/>
                <w:color w:val="212121"/>
                <w:sz w:val="18"/>
                <w:szCs w:val="18"/>
              </w:rPr>
              <w:t xml:space="preserve">Deliverable</w:t>
            </w:r>
          </w:p>
        </w:tc>
        <w:tc>
          <w:tcPr>
            <w:shd w:fill="FFFFFF" w:color="auto" w:val="clear"/>
            <w:tcMar>
              <w:top w:type="dxa" w:w="60"/>
              <w:left w:type="dxa" w:w="120"/>
              <w:bottom w:type="dxa" w:w="60"/>
              <w:right w:type="dxa" w:w="120"/>
            </w:tcMar>
          </w:tcPr>
          <w:p>
            <w:r>
              <w:rPr>
                <w:b w:val="false"/>
                <w:bCs w:val="false"/>
                <w:color w:val="212121"/>
                <w:sz w:val="18"/>
                <w:szCs w:val="18"/>
              </w:rPr>
              <w:t xml:space="preserve">D5 – Final Presentation Support Document</w:t>
            </w:r>
          </w:p>
        </w:tc>
      </w:tr>
      <w:tr>
        <w:tc>
          <w:tcPr>
            <w:shd w:fill="E3F0FC" w:color="auto" w:val="clear"/>
            <w:tcMar>
              <w:top w:type="dxa" w:w="60"/>
              <w:left w:type="dxa" w:w="120"/>
              <w:bottom w:type="dxa" w:w="60"/>
              <w:right w:type="dxa" w:w="120"/>
            </w:tcMar>
          </w:tcPr>
          <w:p>
            <w:r>
              <w:rPr>
                <w:b/>
                <w:bCs/>
                <w:color w:val="212121"/>
                <w:sz w:val="18"/>
                <w:szCs w:val="18"/>
              </w:rPr>
              <w:t xml:space="preserve">Group</w:t>
            </w:r>
          </w:p>
        </w:tc>
        <w:tc>
          <w:tcPr>
            <w:shd w:fill="E3F0FC" w:color="auto" w:val="clear"/>
            <w:tcMar>
              <w:top w:type="dxa" w:w="60"/>
              <w:left w:type="dxa" w:w="120"/>
              <w:bottom w:type="dxa" w:w="60"/>
              <w:right w:type="dxa" w:w="120"/>
            </w:tcMar>
          </w:tcPr>
          <w:p>
            <w:r>
              <w:rPr>
                <w:b w:val="false"/>
                <w:bCs w:val="false"/>
                <w:color w:val="212121"/>
                <w:sz w:val="18"/>
                <w:szCs w:val="18"/>
              </w:rPr>
              <w:t xml:space="preserve">Group 3 | AgriUAV Platform | FPT University HCM | Summer 2026</w:t>
            </w:r>
          </w:p>
        </w:tc>
      </w:tr>
      <w:tr>
        <w:tc>
          <w:tcPr>
            <w:shd w:fill="FFFFFF" w:color="auto" w:val="clear"/>
            <w:tcMar>
              <w:top w:type="dxa" w:w="60"/>
              <w:left w:type="dxa" w:w="120"/>
              <w:bottom w:type="dxa" w:w="60"/>
              <w:right w:type="dxa" w:w="120"/>
            </w:tcMar>
          </w:tcPr>
          <w:p>
            <w:r>
              <w:rPr>
                <w:b/>
                <w:bCs/>
                <w:color w:val="212121"/>
                <w:sz w:val="18"/>
                <w:szCs w:val="18"/>
              </w:rPr>
              <w:t xml:space="preserve">Version</w:t>
            </w:r>
          </w:p>
        </w:tc>
        <w:tc>
          <w:tcPr>
            <w:shd w:fill="FFFFFF" w:color="auto" w:val="clear"/>
            <w:tcMar>
              <w:top w:type="dxa" w:w="60"/>
              <w:left w:type="dxa" w:w="120"/>
              <w:bottom w:type="dxa" w:w="60"/>
              <w:right w:type="dxa" w:w="120"/>
            </w:tcMar>
          </w:tcPr>
          <w:p>
            <w:r>
              <w:rPr>
                <w:b w:val="false"/>
                <w:bCs w:val="false"/>
                <w:color w:val="212121"/>
                <w:sz w:val="18"/>
                <w:szCs w:val="18"/>
              </w:rPr>
              <w:t xml:space="preserve">v1.1 – 2026-07-19</w:t>
            </w:r>
          </w:p>
        </w:tc>
      </w:tr>
    </w:tbl>
    <w:p/>
    <w:p>
      <w:r>
        <w:rPr>
          <w:sz w:val="20"/>
          <w:szCs w:val="20"/>
        </w:rPr>
        <w:t xml:space="preserve">This document records 10 major architectural and technical design decisions made during D4 (System Design), with alternatives considered and engineering/field-level justification. Each decision is linked to the FR/NFR/UC it satisfies, enabling cross-referencing during oral viva.</w:t>
      </w:r>
    </w:p>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color="auto" w:val="clear"/>
            <w:tcMar>
              <w:top w:type="dxa" w:w="60"/>
              <w:left w:type="dxa" w:w="120"/>
              <w:bottom w:type="dxa" w:w="60"/>
              <w:right w:type="dxa" w:w="120"/>
            </w:tcMar>
          </w:tcPr>
          <w:p>
            <w:r>
              <w:rPr>
                <w:b/>
                <w:bCs/>
                <w:color w:val="FFFFFF"/>
                <w:sz w:val="18"/>
                <w:szCs w:val="18"/>
              </w:rPr>
              <w:t xml:space="preserve">#</w:t>
            </w:r>
          </w:p>
        </w:tc>
        <w:tc>
          <w:tcPr>
            <w:shd w:fill="1F3864" w:color="auto" w:val="clear"/>
            <w:tcMar>
              <w:top w:type="dxa" w:w="60"/>
              <w:left w:type="dxa" w:w="120"/>
              <w:bottom w:type="dxa" w:w="60"/>
              <w:right w:type="dxa" w:w="120"/>
            </w:tcMar>
          </w:tcPr>
          <w:p>
            <w:r>
              <w:rPr>
                <w:b/>
                <w:bCs/>
                <w:color w:val="FFFFFF"/>
                <w:sz w:val="18"/>
                <w:szCs w:val="18"/>
              </w:rPr>
              <w:t xml:space="preserve">Decision (What)</w:t>
            </w:r>
          </w:p>
        </w:tc>
        <w:tc>
          <w:tcPr>
            <w:shd w:fill="1F3864" w:color="auto" w:val="clear"/>
            <w:tcMar>
              <w:top w:type="dxa" w:w="60"/>
              <w:left w:type="dxa" w:w="120"/>
              <w:bottom w:type="dxa" w:w="60"/>
              <w:right w:type="dxa" w:w="120"/>
            </w:tcMar>
          </w:tcPr>
          <w:p>
            <w:r>
              <w:rPr>
                <w:b/>
                <w:bCs/>
                <w:color w:val="FFFFFF"/>
                <w:sz w:val="18"/>
                <w:szCs w:val="18"/>
              </w:rPr>
              <w:t xml:space="preserve">Alternative Considered</w:t>
            </w:r>
          </w:p>
        </w:tc>
        <w:tc>
          <w:tcPr>
            <w:shd w:fill="1F3864" w:color="auto" w:val="clear"/>
            <w:tcMar>
              <w:top w:type="dxa" w:w="60"/>
              <w:left w:type="dxa" w:w="120"/>
              <w:bottom w:type="dxa" w:w="60"/>
              <w:right w:type="dxa" w:w="120"/>
            </w:tcMar>
          </w:tcPr>
          <w:p>
            <w:r>
              <w:rPr>
                <w:b/>
                <w:bCs/>
                <w:color w:val="FFFFFF"/>
                <w:sz w:val="18"/>
                <w:szCs w:val="18"/>
              </w:rPr>
              <w:t xml:space="preserve">Justification (Why / Engineering Rationale)</w:t>
            </w:r>
          </w:p>
        </w:tc>
        <w:tc>
          <w:tcPr>
            <w:shd w:fill="1F3864" w:color="auto" w:val="clear"/>
            <w:tcMar>
              <w:top w:type="dxa" w:w="60"/>
              <w:left w:type="dxa" w:w="120"/>
              <w:bottom w:type="dxa" w:w="60"/>
              <w:right w:type="dxa" w:w="120"/>
            </w:tcMar>
          </w:tcPr>
          <w:p>
            <w:r>
              <w:rPr>
                <w:b/>
                <w:bCs/>
                <w:color w:val="FFFFFF"/>
                <w:sz w:val="18"/>
                <w:szCs w:val="18"/>
              </w:rPr>
              <w:t xml:space="preserve">FR / NFR / UC</w:t>
            </w:r>
          </w:p>
        </w:tc>
      </w:tr>
      <w:tr>
        <w:tc>
          <w:tcPr>
            <w:shd w:fill="E3F0FC" w:color="auto" w:val="clear"/>
            <w:tcMar>
              <w:top w:type="dxa" w:w="60"/>
              <w:left w:type="dxa" w:w="120"/>
              <w:bottom w:type="dxa" w:w="60"/>
              <w:right w:type="dxa" w:w="120"/>
            </w:tcMar>
          </w:tcPr>
          <w:p>
            <w:r>
              <w:rPr>
                <w:b w:val="false"/>
                <w:bCs w:val="false"/>
                <w:color w:val="212121"/>
                <w:sz w:val="18"/>
                <w:szCs w:val="18"/>
              </w:rPr>
              <w:t xml:space="preserve">1</w:t>
            </w:r>
          </w:p>
        </w:tc>
        <w:tc>
          <w:tcPr>
            <w:shd w:fill="E3F0FC" w:color="auto" w:val="clear"/>
            <w:tcMar>
              <w:top w:type="dxa" w:w="60"/>
              <w:left w:type="dxa" w:w="120"/>
              <w:bottom w:type="dxa" w:w="60"/>
              <w:right w:type="dxa" w:w="120"/>
            </w:tcMar>
          </w:tcPr>
          <w:p>
            <w:r>
              <w:rPr>
                <w:b/>
                <w:bCs/>
                <w:color w:val="212121"/>
                <w:sz w:val="18"/>
                <w:szCs w:val="18"/>
              </w:rPr>
              <w:t xml:space="preserve">Layered Modular Monolith Architecture</w:t>
            </w:r>
          </w:p>
        </w:tc>
        <w:tc>
          <w:tcPr>
            <w:shd w:fill="E3F0FC" w:color="auto" w:val="clear"/>
            <w:tcMar>
              <w:top w:type="dxa" w:w="60"/>
              <w:left w:type="dxa" w:w="120"/>
              <w:bottom w:type="dxa" w:w="60"/>
              <w:right w:type="dxa" w:w="120"/>
            </w:tcMar>
          </w:tcPr>
          <w:p>
            <w:r>
              <w:rPr>
                <w:b w:val="false"/>
                <w:bCs w:val="false"/>
                <w:color w:val="212121"/>
                <w:sz w:val="18"/>
                <w:szCs w:val="18"/>
              </w:rPr>
              <w:t xml:space="preserve">Distributed Microservices Architecture</w:t>
            </w:r>
          </w:p>
        </w:tc>
        <w:tc>
          <w:tcPr>
            <w:shd w:fill="E3F0FC" w:color="auto" w:val="clear"/>
            <w:tcMar>
              <w:top w:type="dxa" w:w="60"/>
              <w:left w:type="dxa" w:w="120"/>
              <w:bottom w:type="dxa" w:w="60"/>
              <w:right w:type="dxa" w:w="120"/>
            </w:tcMar>
          </w:tcPr>
          <w:p>
            <w:r>
              <w:rPr>
                <w:b w:val="false"/>
                <w:bCs w:val="false"/>
                <w:color w:val="212121"/>
                <w:sz w:val="18"/>
                <w:szCs w:val="18"/>
              </w:rPr>
              <w:t xml:space="preserve">Ensures immediate database-level transaction consistency (Strong ACID) to eliminate race conditions and double-booking of drone resources (UC02). Drastically minimises operational complexity — HTX cooperatives have no dedicated DevOps team (D4 §4.2). Single codebase enables hotfix deployment within ≤4 hours (NFR07).</w:t>
            </w:r>
          </w:p>
        </w:tc>
        <w:tc>
          <w:tcPr>
            <w:shd w:fill="E3F0FC" w:color="auto" w:val="clear"/>
            <w:tcMar>
              <w:top w:type="dxa" w:w="60"/>
              <w:left w:type="dxa" w:w="120"/>
              <w:bottom w:type="dxa" w:w="60"/>
              <w:right w:type="dxa" w:w="120"/>
            </w:tcMar>
          </w:tcPr>
          <w:p>
            <w:r>
              <w:rPr>
                <w:b w:val="false"/>
                <w:bCs w:val="false"/>
                <w:color w:val="212121"/>
                <w:sz w:val="16"/>
                <w:szCs w:val="16"/>
              </w:rPr>
              <w:t xml:space="preserve">NFR07, NFR04, UC02</w:t>
            </w:r>
          </w:p>
        </w:tc>
      </w:tr>
      <w:tr>
        <w:tc>
          <w:tcPr>
            <w:shd w:fill="FFFFFF" w:color="auto" w:val="clear"/>
            <w:tcMar>
              <w:top w:type="dxa" w:w="60"/>
              <w:left w:type="dxa" w:w="120"/>
              <w:bottom w:type="dxa" w:w="60"/>
              <w:right w:type="dxa" w:w="120"/>
            </w:tcMar>
          </w:tcPr>
          <w:p>
            <w:r>
              <w:rPr>
                <w:b w:val="false"/>
                <w:bCs w:val="false"/>
                <w:color w:val="212121"/>
                <w:sz w:val="18"/>
                <w:szCs w:val="18"/>
              </w:rPr>
              <w:t xml:space="preserve">2</w:t>
            </w:r>
          </w:p>
        </w:tc>
        <w:tc>
          <w:tcPr>
            <w:shd w:fill="FFFFFF" w:color="auto" w:val="clear"/>
            <w:tcMar>
              <w:top w:type="dxa" w:w="60"/>
              <w:left w:type="dxa" w:w="120"/>
              <w:bottom w:type="dxa" w:w="60"/>
              <w:right w:type="dxa" w:w="120"/>
            </w:tcMar>
          </w:tcPr>
          <w:p>
            <w:r>
              <w:rPr>
                <w:b/>
                <w:bCs/>
                <w:color w:val="212121"/>
                <w:sz w:val="18"/>
                <w:szCs w:val="18"/>
              </w:rPr>
              <w:t xml:space="preserve">Redis In-Memory Buffer Layer</w:t>
            </w:r>
          </w:p>
        </w:tc>
        <w:tc>
          <w:tcPr>
            <w:shd w:fill="FFFFFF" w:color="auto" w:val="clear"/>
            <w:tcMar>
              <w:top w:type="dxa" w:w="60"/>
              <w:left w:type="dxa" w:w="120"/>
              <w:bottom w:type="dxa" w:w="60"/>
              <w:right w:type="dxa" w:w="120"/>
            </w:tcMar>
          </w:tcPr>
          <w:p>
            <w:r>
              <w:rPr>
                <w:b w:val="false"/>
                <w:bCs w:val="false"/>
                <w:color w:val="212121"/>
                <w:sz w:val="18"/>
                <w:szCs w:val="18"/>
              </w:rPr>
              <w:t xml:space="preserve">Direct-to-Disk Database Ingestion</w:t>
            </w:r>
          </w:p>
        </w:tc>
        <w:tc>
          <w:tcPr>
            <w:shd w:fill="FFFFFF" w:color="auto" w:val="clear"/>
            <w:tcMar>
              <w:top w:type="dxa" w:w="60"/>
              <w:left w:type="dxa" w:w="120"/>
              <w:bottom w:type="dxa" w:w="60"/>
              <w:right w:type="dxa" w:w="120"/>
            </w:tcMar>
          </w:tcPr>
          <w:p>
            <w:r>
              <w:rPr>
                <w:b w:val="false"/>
                <w:bCs w:val="false"/>
                <w:color w:val="212121"/>
                <w:sz w:val="18"/>
                <w:szCs w:val="18"/>
              </w:rPr>
              <w:t xml:space="preserve">At 4Hz × 50 active drones = 200 req/s (NFR04 peak baseline), direct PostgreSQL writes cause I/O disk bottlenecks. Redis acts as a high-performance "shock absorber" absorbing telemetry streams to RAM; a background worker asynchronously batch-flushes to TimescaleDB. Prevents database contention while maintaining ≤500ms latency (NFR01).</w:t>
            </w:r>
          </w:p>
        </w:tc>
        <w:tc>
          <w:tcPr>
            <w:shd w:fill="FFFFFF" w:color="auto" w:val="clear"/>
            <w:tcMar>
              <w:top w:type="dxa" w:w="60"/>
              <w:left w:type="dxa" w:w="120"/>
              <w:bottom w:type="dxa" w:w="60"/>
              <w:right w:type="dxa" w:w="120"/>
            </w:tcMar>
          </w:tcPr>
          <w:p>
            <w:r>
              <w:rPr>
                <w:b w:val="false"/>
                <w:bCs w:val="false"/>
                <w:color w:val="212121"/>
                <w:sz w:val="16"/>
                <w:szCs w:val="16"/>
              </w:rPr>
              <w:t xml:space="preserve">NFR01, NFR04, UC04</w:t>
            </w:r>
          </w:p>
        </w:tc>
      </w:tr>
      <w:tr>
        <w:tc>
          <w:tcPr>
            <w:shd w:fill="E3F0FC" w:color="auto" w:val="clear"/>
            <w:tcMar>
              <w:top w:type="dxa" w:w="60"/>
              <w:left w:type="dxa" w:w="120"/>
              <w:bottom w:type="dxa" w:w="60"/>
              <w:right w:type="dxa" w:w="120"/>
            </w:tcMar>
          </w:tcPr>
          <w:p>
            <w:r>
              <w:rPr>
                <w:b w:val="false"/>
                <w:bCs w:val="false"/>
                <w:color w:val="212121"/>
                <w:sz w:val="18"/>
                <w:szCs w:val="18"/>
              </w:rPr>
              <w:t xml:space="preserve">3</w:t>
            </w:r>
          </w:p>
        </w:tc>
        <w:tc>
          <w:tcPr>
            <w:shd w:fill="E3F0FC" w:color="auto" w:val="clear"/>
            <w:tcMar>
              <w:top w:type="dxa" w:w="60"/>
              <w:left w:type="dxa" w:w="120"/>
              <w:bottom w:type="dxa" w:w="60"/>
              <w:right w:type="dxa" w:w="120"/>
            </w:tcMar>
          </w:tcPr>
          <w:p>
            <w:r>
              <w:rPr>
                <w:b/>
                <w:bCs/>
                <w:color w:val="212121"/>
                <w:sz w:val="18"/>
                <w:szCs w:val="18"/>
              </w:rPr>
              <w:t xml:space="preserve">PostGIS Spatial Extension (GEOMETRY type)</w:t>
            </w:r>
          </w:p>
        </w:tc>
        <w:tc>
          <w:tcPr>
            <w:shd w:fill="E3F0FC" w:color="auto" w:val="clear"/>
            <w:tcMar>
              <w:top w:type="dxa" w:w="60"/>
              <w:left w:type="dxa" w:w="120"/>
              <w:bottom w:type="dxa" w:w="60"/>
              <w:right w:type="dxa" w:w="120"/>
            </w:tcMar>
          </w:tcPr>
          <w:p>
            <w:r>
              <w:rPr>
                <w:b w:val="false"/>
                <w:bCs w:val="false"/>
                <w:color w:val="212121"/>
                <w:sz w:val="18"/>
                <w:szCs w:val="18"/>
              </w:rPr>
              <w:t xml:space="preserve">Flat Geographic Coordinate Strings (TEXT type)</w:t>
            </w:r>
          </w:p>
        </w:tc>
        <w:tc>
          <w:tcPr>
            <w:shd w:fill="E3F0FC" w:color="auto" w:val="clear"/>
            <w:tcMar>
              <w:top w:type="dxa" w:w="60"/>
              <w:left w:type="dxa" w:w="120"/>
              <w:bottom w:type="dxa" w:w="60"/>
              <w:right w:type="dxa" w:w="120"/>
            </w:tcMar>
          </w:tcPr>
          <w:p>
            <w:r>
              <w:rPr>
                <w:b w:val="false"/>
                <w:bCs w:val="false"/>
                <w:color w:val="212121"/>
                <w:sz w:val="18"/>
                <w:szCs w:val="18"/>
              </w:rPr>
              <w:t xml:space="preserve">Enables the database engine to natively execute geometric evaluations (ST_Contains, ST_Distance, ST_GeomFromGeoJSON) for field boundary checks and geofence proximity alerts. Critical for FR12 (50m buffer around 110kV lines) and UC09 (polygon area auto-computation via ST_Area). TEXT columns cannot support these spatial queries without full-table application-layer parsing.</w:t>
            </w:r>
          </w:p>
        </w:tc>
        <w:tc>
          <w:tcPr>
            <w:shd w:fill="E3F0FC" w:color="auto" w:val="clear"/>
            <w:tcMar>
              <w:top w:type="dxa" w:w="60"/>
              <w:left w:type="dxa" w:w="120"/>
              <w:bottom w:type="dxa" w:w="60"/>
              <w:right w:type="dxa" w:w="120"/>
            </w:tcMar>
          </w:tcPr>
          <w:p>
            <w:r>
              <w:rPr>
                <w:b w:val="false"/>
                <w:bCs w:val="false"/>
                <w:color w:val="212121"/>
                <w:sz w:val="16"/>
                <w:szCs w:val="16"/>
              </w:rPr>
              <w:t xml:space="preserve">FR01, FR12, UC09, NFR01</w:t>
            </w:r>
          </w:p>
        </w:tc>
      </w:tr>
      <w:tr>
        <w:tc>
          <w:tcPr>
            <w:shd w:fill="FFFFFF" w:color="auto" w:val="clear"/>
            <w:tcMar>
              <w:top w:type="dxa" w:w="60"/>
              <w:left w:type="dxa" w:w="120"/>
              <w:bottom w:type="dxa" w:w="60"/>
              <w:right w:type="dxa" w:w="120"/>
            </w:tcMar>
          </w:tcPr>
          <w:p>
            <w:r>
              <w:rPr>
                <w:b w:val="false"/>
                <w:bCs w:val="false"/>
                <w:color w:val="212121"/>
                <w:sz w:val="18"/>
                <w:szCs w:val="18"/>
              </w:rPr>
              <w:t xml:space="preserve">4</w:t>
            </w:r>
          </w:p>
        </w:tc>
        <w:tc>
          <w:tcPr>
            <w:shd w:fill="FFFFFF" w:color="auto" w:val="clear"/>
            <w:tcMar>
              <w:top w:type="dxa" w:w="60"/>
              <w:left w:type="dxa" w:w="120"/>
              <w:bottom w:type="dxa" w:w="60"/>
              <w:right w:type="dxa" w:w="120"/>
            </w:tcMar>
          </w:tcPr>
          <w:p>
            <w:r>
              <w:rPr>
                <w:b/>
                <w:bCs/>
                <w:color w:val="212121"/>
                <w:sz w:val="18"/>
                <w:szCs w:val="18"/>
              </w:rPr>
              <w:t xml:space="preserve">UUID v4 Primary Keys (VARCHAR 36)</w:t>
            </w:r>
          </w:p>
        </w:tc>
        <w:tc>
          <w:tcPr>
            <w:shd w:fill="FFFFFF" w:color="auto" w:val="clear"/>
            <w:tcMar>
              <w:top w:type="dxa" w:w="60"/>
              <w:left w:type="dxa" w:w="120"/>
              <w:bottom w:type="dxa" w:w="60"/>
              <w:right w:type="dxa" w:w="120"/>
            </w:tcMar>
          </w:tcPr>
          <w:p>
            <w:r>
              <w:rPr>
                <w:b w:val="false"/>
                <w:bCs w:val="false"/>
                <w:color w:val="212121"/>
                <w:sz w:val="18"/>
                <w:szCs w:val="18"/>
              </w:rPr>
              <w:t xml:space="preserve">Auto-Incrementing Integers (INT AUTO_INCREMENT)</w:t>
            </w:r>
          </w:p>
        </w:tc>
        <w:tc>
          <w:tcPr>
            <w:shd w:fill="FFFFFF" w:color="auto" w:val="clear"/>
            <w:tcMar>
              <w:top w:type="dxa" w:w="60"/>
              <w:left w:type="dxa" w:w="120"/>
              <w:bottom w:type="dxa" w:w="60"/>
              <w:right w:type="dxa" w:w="120"/>
            </w:tcMar>
          </w:tcPr>
          <w:p>
            <w:r>
              <w:rPr>
                <w:b w:val="false"/>
                <w:bCs w:val="false"/>
                <w:color w:val="212121"/>
                <w:sz w:val="18"/>
                <w:szCs w:val="18"/>
              </w:rPr>
              <w:t xml:space="preserve">With an Offline-First model, pilots generate flight log and check-in records in remote fields without server connectivity. UUID v4 guarantees global uniqueness without a server round-trip, preventing primary key collisions upon synchronisation (NFR06, ≤30s sync). INT sequences generated offline across multiple devices will collide on upload.</w:t>
            </w:r>
          </w:p>
        </w:tc>
        <w:tc>
          <w:tcPr>
            <w:shd w:fill="FFFFFF" w:color="auto" w:val="clear"/>
            <w:tcMar>
              <w:top w:type="dxa" w:w="60"/>
              <w:left w:type="dxa" w:w="120"/>
              <w:bottom w:type="dxa" w:w="60"/>
              <w:right w:type="dxa" w:w="120"/>
            </w:tcMar>
          </w:tcPr>
          <w:p>
            <w:r>
              <w:rPr>
                <w:b w:val="false"/>
                <w:bCs w:val="false"/>
                <w:color w:val="212121"/>
                <w:sz w:val="16"/>
                <w:szCs w:val="16"/>
              </w:rPr>
              <w:t xml:space="preserve">NFR06, FR09, FR13</w:t>
            </w:r>
          </w:p>
        </w:tc>
      </w:tr>
      <w:tr>
        <w:tc>
          <w:tcPr>
            <w:shd w:fill="E3F0FC" w:color="auto" w:val="clear"/>
            <w:tcMar>
              <w:top w:type="dxa" w:w="60"/>
              <w:left w:type="dxa" w:w="120"/>
              <w:bottom w:type="dxa" w:w="60"/>
              <w:right w:type="dxa" w:w="120"/>
            </w:tcMar>
          </w:tcPr>
          <w:p>
            <w:r>
              <w:rPr>
                <w:b w:val="false"/>
                <w:bCs w:val="false"/>
                <w:color w:val="212121"/>
                <w:sz w:val="18"/>
                <w:szCs w:val="18"/>
              </w:rPr>
              <w:t xml:space="preserve">5</w:t>
            </w:r>
          </w:p>
        </w:tc>
        <w:tc>
          <w:tcPr>
            <w:shd w:fill="E3F0FC" w:color="auto" w:val="clear"/>
            <w:tcMar>
              <w:top w:type="dxa" w:w="60"/>
              <w:left w:type="dxa" w:w="120"/>
              <w:bottom w:type="dxa" w:w="60"/>
              <w:right w:type="dxa" w:w="120"/>
            </w:tcMar>
          </w:tcPr>
          <w:p>
            <w:r>
              <w:rPr>
                <w:b/>
                <w:bCs/>
                <w:color w:val="212121"/>
                <w:sz w:val="18"/>
                <w:szCs w:val="18"/>
              </w:rPr>
              <w:t xml:space="preserve">TimescaleDB Time-Series Extension</w:t>
            </w:r>
          </w:p>
        </w:tc>
        <w:tc>
          <w:tcPr>
            <w:shd w:fill="E3F0FC" w:color="auto" w:val="clear"/>
            <w:tcMar>
              <w:top w:type="dxa" w:w="60"/>
              <w:left w:type="dxa" w:w="120"/>
              <w:bottom w:type="dxa" w:w="60"/>
              <w:right w:type="dxa" w:w="120"/>
            </w:tcMar>
          </w:tcPr>
          <w:p>
            <w:r>
              <w:rPr>
                <w:b w:val="false"/>
                <w:bCs w:val="false"/>
                <w:color w:val="212121"/>
                <w:sz w:val="18"/>
                <w:szCs w:val="18"/>
              </w:rPr>
              <w:t xml:space="preserve">Standard Native PostgreSQL Relational Engine</w:t>
            </w:r>
          </w:p>
        </w:tc>
        <w:tc>
          <w:tcPr>
            <w:shd w:fill="E3F0FC" w:color="auto" w:val="clear"/>
            <w:tcMar>
              <w:top w:type="dxa" w:w="60"/>
              <w:left w:type="dxa" w:w="120"/>
              <w:bottom w:type="dxa" w:w="60"/>
              <w:right w:type="dxa" w:w="120"/>
            </w:tcMar>
          </w:tcPr>
          <w:p>
            <w:r>
              <w:rPr>
                <w:b w:val="false"/>
                <w:bCs w:val="false"/>
                <w:color w:val="212121"/>
                <w:sz w:val="18"/>
                <w:szCs w:val="18"/>
              </w:rPr>
              <w:t xml:space="preserve">drone_positions and audit_logs accumulate high-frequency time-stamped rows (up to 200 inserts/s). TimescaleDB partitions these into automated hypertable chunks (partitioned weekly), preserving O(log N) query speed for time-range scans (e.g., export all GPS trail for a given flight). Standard PostgreSQL degrades to O(N) full-table scans on large telemetry tables.</w:t>
            </w:r>
          </w:p>
        </w:tc>
        <w:tc>
          <w:tcPr>
            <w:shd w:fill="E3F0FC" w:color="auto" w:val="clear"/>
            <w:tcMar>
              <w:top w:type="dxa" w:w="60"/>
              <w:left w:type="dxa" w:w="120"/>
              <w:bottom w:type="dxa" w:w="60"/>
              <w:right w:type="dxa" w:w="120"/>
            </w:tcMar>
          </w:tcPr>
          <w:p>
            <w:r>
              <w:rPr>
                <w:b w:val="false"/>
                <w:bCs w:val="false"/>
                <w:color w:val="212121"/>
                <w:sz w:val="16"/>
                <w:szCs w:val="16"/>
              </w:rPr>
              <w:t xml:space="preserve">NFR01, NFR04, FR13, FR10</w:t>
            </w:r>
          </w:p>
        </w:tc>
      </w:tr>
      <w:tr>
        <w:tc>
          <w:tcPr>
            <w:shd w:fill="FFFFFF" w:color="auto" w:val="clear"/>
            <w:tcMar>
              <w:top w:type="dxa" w:w="60"/>
              <w:left w:type="dxa" w:w="120"/>
              <w:bottom w:type="dxa" w:w="60"/>
              <w:right w:type="dxa" w:w="120"/>
            </w:tcMar>
          </w:tcPr>
          <w:p>
            <w:r>
              <w:rPr>
                <w:b w:val="false"/>
                <w:bCs w:val="false"/>
                <w:color w:val="212121"/>
                <w:sz w:val="18"/>
                <w:szCs w:val="18"/>
              </w:rPr>
              <w:t xml:space="preserve">6</w:t>
            </w:r>
          </w:p>
        </w:tc>
        <w:tc>
          <w:tcPr>
            <w:shd w:fill="FFFFFF" w:color="auto" w:val="clear"/>
            <w:tcMar>
              <w:top w:type="dxa" w:w="60"/>
              <w:left w:type="dxa" w:w="120"/>
              <w:bottom w:type="dxa" w:w="60"/>
              <w:right w:type="dxa" w:w="120"/>
            </w:tcMar>
          </w:tcPr>
          <w:p>
            <w:r>
              <w:rPr>
                <w:b/>
                <w:bCs/>
                <w:color w:val="212121"/>
                <w:sz w:val="18"/>
                <w:szCs w:val="18"/>
              </w:rPr>
              <w:t xml:space="preserve">Flutter with Encrypted Local SQLite (Offline-First)</w:t>
            </w:r>
          </w:p>
        </w:tc>
        <w:tc>
          <w:tcPr>
            <w:shd w:fill="FFFFFF" w:color="auto" w:val="clear"/>
            <w:tcMar>
              <w:top w:type="dxa" w:w="60"/>
              <w:left w:type="dxa" w:w="120"/>
              <w:bottom w:type="dxa" w:w="60"/>
              <w:right w:type="dxa" w:w="120"/>
            </w:tcMar>
          </w:tcPr>
          <w:p>
            <w:r>
              <w:rPr>
                <w:b w:val="false"/>
                <w:bCs w:val="false"/>
                <w:color w:val="212121"/>
                <w:sz w:val="18"/>
                <w:szCs w:val="18"/>
              </w:rPr>
              <w:t xml:space="preserve">Progressive Web App (PWA) / React Native</w:t>
            </w:r>
          </w:p>
        </w:tc>
        <w:tc>
          <w:tcPr>
            <w:shd w:fill="FFFFFF" w:color="auto" w:val="clear"/>
            <w:tcMar>
              <w:top w:type="dxa" w:w="60"/>
              <w:left w:type="dxa" w:w="120"/>
              <w:bottom w:type="dxa" w:w="60"/>
              <w:right w:type="dxa" w:w="120"/>
            </w:tcMar>
          </w:tcPr>
          <w:p>
            <w:r>
              <w:rPr>
                <w:b w:val="false"/>
                <w:bCs w:val="false"/>
                <w:color w:val="212121"/>
                <w:sz w:val="18"/>
                <w:szCs w:val="18"/>
              </w:rPr>
              <w:t xml:space="preserve">Flutter compiles to native ARM code, providing better rendering performance on low-spec Android devices common among ĐBSCL pilots (NFR03). Encrypted SQLite embedded in the Flutter client provides a resilient offline cache for check-in/out records when 4G drops (NFR06). React Native's JS bridge adds latency; PWA cannot access native GPS APIs reliably at ≤5m accuracy (FR09).</w:t>
            </w:r>
          </w:p>
        </w:tc>
        <w:tc>
          <w:tcPr>
            <w:shd w:fill="FFFFFF" w:color="auto" w:val="clear"/>
            <w:tcMar>
              <w:top w:type="dxa" w:w="60"/>
              <w:left w:type="dxa" w:w="120"/>
              <w:bottom w:type="dxa" w:w="60"/>
              <w:right w:type="dxa" w:w="120"/>
            </w:tcMar>
          </w:tcPr>
          <w:p>
            <w:r>
              <w:rPr>
                <w:b w:val="false"/>
                <w:bCs w:val="false"/>
                <w:color w:val="212121"/>
                <w:sz w:val="16"/>
                <w:szCs w:val="16"/>
              </w:rPr>
              <w:t xml:space="preserve">NFR03, NFR06, FR09, FR10</w:t>
            </w:r>
          </w:p>
        </w:tc>
      </w:tr>
      <w:tr>
        <w:tc>
          <w:tcPr>
            <w:shd w:fill="E3F0FC" w:color="auto" w:val="clear"/>
            <w:tcMar>
              <w:top w:type="dxa" w:w="60"/>
              <w:left w:type="dxa" w:w="120"/>
              <w:bottom w:type="dxa" w:w="60"/>
              <w:right w:type="dxa" w:w="120"/>
            </w:tcMar>
          </w:tcPr>
          <w:p>
            <w:r>
              <w:rPr>
                <w:b w:val="false"/>
                <w:bCs w:val="false"/>
                <w:color w:val="212121"/>
                <w:sz w:val="18"/>
                <w:szCs w:val="18"/>
              </w:rPr>
              <w:t xml:space="preserve">7</w:t>
            </w:r>
          </w:p>
        </w:tc>
        <w:tc>
          <w:tcPr>
            <w:shd w:fill="E3F0FC" w:color="auto" w:val="clear"/>
            <w:tcMar>
              <w:top w:type="dxa" w:w="60"/>
              <w:left w:type="dxa" w:w="120"/>
              <w:bottom w:type="dxa" w:w="60"/>
              <w:right w:type="dxa" w:w="120"/>
            </w:tcMar>
          </w:tcPr>
          <w:p>
            <w:r>
              <w:rPr>
                <w:b/>
                <w:bCs/>
                <w:color w:val="212121"/>
                <w:sz w:val="18"/>
                <w:szCs w:val="18"/>
              </w:rPr>
              <w:t xml:space="preserve">Leaflet.js with OpenStreetMap</w:t>
            </w:r>
          </w:p>
        </w:tc>
        <w:tc>
          <w:tcPr>
            <w:shd w:fill="E3F0FC" w:color="auto" w:val="clear"/>
            <w:tcMar>
              <w:top w:type="dxa" w:w="60"/>
              <w:left w:type="dxa" w:w="120"/>
              <w:bottom w:type="dxa" w:w="60"/>
              <w:right w:type="dxa" w:w="120"/>
            </w:tcMar>
          </w:tcPr>
          <w:p>
            <w:r>
              <w:rPr>
                <w:b w:val="false"/>
                <w:bCs w:val="false"/>
                <w:color w:val="212121"/>
                <w:sz w:val="18"/>
                <w:szCs w:val="18"/>
              </w:rPr>
              <w:t xml:space="preserve">Google Maps Platform API</w:t>
            </w:r>
          </w:p>
        </w:tc>
        <w:tc>
          <w:tcPr>
            <w:shd w:fill="E3F0FC" w:color="auto" w:val="clear"/>
            <w:tcMar>
              <w:top w:type="dxa" w:w="60"/>
              <w:left w:type="dxa" w:w="120"/>
              <w:bottom w:type="dxa" w:w="60"/>
              <w:right w:type="dxa" w:w="120"/>
            </w:tcMar>
          </w:tcPr>
          <w:p>
            <w:r>
              <w:rPr>
                <w:b w:val="false"/>
                <w:bCs w:val="false"/>
                <w:color w:val="212121"/>
                <w:sz w:val="18"/>
                <w:szCs w:val="18"/>
              </w:rPr>
              <w:t xml:space="preserve">Provides full GIS capabilities — polygon drawing for field boundaries (FR01), drone GPS trail overlays (FR10), geofence visualisation (FR12) — without per-request API licensing fees. Critical for cooperative budget alignment (D4 §5). Leaflet + OpenStreetMap is fully open-source; Google Maps charges per map load and per API call, creating unpredictable cost at 50-drone scale.</w:t>
            </w:r>
          </w:p>
        </w:tc>
        <w:tc>
          <w:tcPr>
            <w:shd w:fill="E3F0FC" w:color="auto" w:val="clear"/>
            <w:tcMar>
              <w:top w:type="dxa" w:w="60"/>
              <w:left w:type="dxa" w:w="120"/>
              <w:bottom w:type="dxa" w:w="60"/>
              <w:right w:type="dxa" w:w="120"/>
            </w:tcMar>
          </w:tcPr>
          <w:p>
            <w:r>
              <w:rPr>
                <w:b w:val="false"/>
                <w:bCs w:val="false"/>
                <w:color w:val="212121"/>
                <w:sz w:val="16"/>
                <w:szCs w:val="16"/>
              </w:rPr>
              <w:t xml:space="preserve">FR01, FR10, FR12</w:t>
            </w:r>
          </w:p>
        </w:tc>
      </w:tr>
      <w:tr>
        <w:tc>
          <w:tcPr>
            <w:shd w:fill="FFFFFF" w:color="auto" w:val="clear"/>
            <w:tcMar>
              <w:top w:type="dxa" w:w="60"/>
              <w:left w:type="dxa" w:w="120"/>
              <w:bottom w:type="dxa" w:w="60"/>
              <w:right w:type="dxa" w:w="120"/>
            </w:tcMar>
          </w:tcPr>
          <w:p>
            <w:r>
              <w:rPr>
                <w:b w:val="false"/>
                <w:bCs w:val="false"/>
                <w:color w:val="212121"/>
                <w:sz w:val="18"/>
                <w:szCs w:val="18"/>
              </w:rPr>
              <w:t xml:space="preserve">8</w:t>
            </w:r>
          </w:p>
        </w:tc>
        <w:tc>
          <w:tcPr>
            <w:shd w:fill="FFFFFF" w:color="auto" w:val="clear"/>
            <w:tcMar>
              <w:top w:type="dxa" w:w="60"/>
              <w:left w:type="dxa" w:w="120"/>
              <w:bottom w:type="dxa" w:w="60"/>
              <w:right w:type="dxa" w:w="120"/>
            </w:tcMar>
          </w:tcPr>
          <w:p>
            <w:r>
              <w:rPr>
                <w:b/>
                <w:bCs/>
                <w:color w:val="212121"/>
                <w:sz w:val="18"/>
                <w:szCs w:val="18"/>
              </w:rPr>
              <w:t xml:space="preserve">Column-Level AES-256 Encryption at Rest</w:t>
            </w:r>
          </w:p>
        </w:tc>
        <w:tc>
          <w:tcPr>
            <w:shd w:fill="FFFFFF" w:color="auto" w:val="clear"/>
            <w:tcMar>
              <w:top w:type="dxa" w:w="60"/>
              <w:left w:type="dxa" w:w="120"/>
              <w:bottom w:type="dxa" w:w="60"/>
              <w:right w:type="dxa" w:w="120"/>
            </w:tcMar>
          </w:tcPr>
          <w:p>
            <w:r>
              <w:rPr>
                <w:b w:val="false"/>
                <w:bCs w:val="false"/>
                <w:color w:val="212121"/>
                <w:sz w:val="18"/>
                <w:szCs w:val="18"/>
              </w:rPr>
              <w:t xml:space="preserve">Disk-Level Encryption Only</w:t>
            </w:r>
          </w:p>
        </w:tc>
        <w:tc>
          <w:tcPr>
            <w:shd w:fill="FFFFFF" w:color="auto" w:val="clear"/>
            <w:tcMar>
              <w:top w:type="dxa" w:w="60"/>
              <w:left w:type="dxa" w:w="120"/>
              <w:bottom w:type="dxa" w:w="60"/>
              <w:right w:type="dxa" w:w="120"/>
            </w:tcMar>
          </w:tcPr>
          <w:p>
            <w:r>
              <w:rPr>
                <w:b w:val="false"/>
                <w:bCs w:val="false"/>
                <w:color w:val="212121"/>
                <w:sz w:val="18"/>
                <w:szCs w:val="18"/>
              </w:rPr>
              <w:t xml:space="preserve">Sensitive PII columns (phone numbers, GPS trails, land deed boundaries) are encrypted at the PostgreSQL column level using transparent AES-256 ciphers. Disk-level encryption protects only against physical theft of storage media; it does not prevent an application-layer SQL injection from reading plaintext PII in RAM. Column-level encryption satisfies NFR05's 'sensitive data at rest must be encrypted' outcome.</w:t>
            </w:r>
          </w:p>
        </w:tc>
        <w:tc>
          <w:tcPr>
            <w:shd w:fill="FFFFFF" w:color="auto" w:val="clear"/>
            <w:tcMar>
              <w:top w:type="dxa" w:w="60"/>
              <w:left w:type="dxa" w:w="120"/>
              <w:bottom w:type="dxa" w:w="60"/>
              <w:right w:type="dxa" w:w="120"/>
            </w:tcMar>
          </w:tcPr>
          <w:p>
            <w:r>
              <w:rPr>
                <w:b w:val="false"/>
                <w:bCs w:val="false"/>
                <w:color w:val="212121"/>
                <w:sz w:val="16"/>
                <w:szCs w:val="16"/>
              </w:rPr>
              <w:t xml:space="preserve">NFR05, FR18</w:t>
            </w:r>
          </w:p>
        </w:tc>
      </w:tr>
      <w:tr>
        <w:tc>
          <w:tcPr>
            <w:shd w:fill="E3F0FC" w:color="auto" w:val="clear"/>
            <w:tcMar>
              <w:top w:type="dxa" w:w="60"/>
              <w:left w:type="dxa" w:w="120"/>
              <w:bottom w:type="dxa" w:w="60"/>
              <w:right w:type="dxa" w:w="120"/>
            </w:tcMar>
          </w:tcPr>
          <w:p>
            <w:r>
              <w:rPr>
                <w:b w:val="false"/>
                <w:bCs w:val="false"/>
                <w:color w:val="212121"/>
                <w:sz w:val="18"/>
                <w:szCs w:val="18"/>
              </w:rPr>
              <w:t xml:space="preserve">9</w:t>
            </w:r>
          </w:p>
        </w:tc>
        <w:tc>
          <w:tcPr>
            <w:shd w:fill="E3F0FC" w:color="auto" w:val="clear"/>
            <w:tcMar>
              <w:top w:type="dxa" w:w="60"/>
              <w:left w:type="dxa" w:w="120"/>
              <w:bottom w:type="dxa" w:w="60"/>
              <w:right w:type="dxa" w:w="120"/>
            </w:tcMar>
          </w:tcPr>
          <w:p>
            <w:r>
              <w:rPr>
                <w:b/>
                <w:bCs/>
                <w:color w:val="212121"/>
                <w:sz w:val="18"/>
                <w:szCs w:val="18"/>
              </w:rPr>
              <w:t xml:space="preserve">JWT Signed via RSA-256 Asymmetric Keys</w:t>
            </w:r>
          </w:p>
        </w:tc>
        <w:tc>
          <w:tcPr>
            <w:shd w:fill="E3F0FC" w:color="auto" w:val="clear"/>
            <w:tcMar>
              <w:top w:type="dxa" w:w="60"/>
              <w:left w:type="dxa" w:w="120"/>
              <w:bottom w:type="dxa" w:w="60"/>
              <w:right w:type="dxa" w:w="120"/>
            </w:tcMar>
          </w:tcPr>
          <w:p>
            <w:r>
              <w:rPr>
                <w:b w:val="false"/>
                <w:bCs w:val="false"/>
                <w:color w:val="212121"/>
                <w:sz w:val="18"/>
                <w:szCs w:val="18"/>
              </w:rPr>
              <w:t xml:space="preserve">Traditional Server-Side Session Cookies</w:t>
            </w:r>
          </w:p>
        </w:tc>
        <w:tc>
          <w:tcPr>
            <w:shd w:fill="E3F0FC" w:color="auto" w:val="clear"/>
            <w:tcMar>
              <w:top w:type="dxa" w:w="60"/>
              <w:left w:type="dxa" w:w="120"/>
              <w:bottom w:type="dxa" w:w="60"/>
              <w:right w:type="dxa" w:w="120"/>
            </w:tcMar>
          </w:tcPr>
          <w:p>
            <w:r>
              <w:rPr>
                <w:b w:val="false"/>
                <w:bCs w:val="false"/>
                <w:color w:val="212121"/>
                <w:sz w:val="18"/>
                <w:szCs w:val="18"/>
              </w:rPr>
              <w:t xml:space="preserve">Decouples stateful session validation from the backend. Pilots' mobile apps can maintain cryptographic auth state offline and re-authenticate upon network reconnection without re-issuing credentials. Server-side session cookies require a database lookup on every request, adding latency and creating a single-point-of-failure for session storage. Satisfies NFR05 ('stateless token-based mechanisms with refresh capability').</w:t>
            </w:r>
          </w:p>
        </w:tc>
        <w:tc>
          <w:tcPr>
            <w:shd w:fill="E3F0FC" w:color="auto" w:val="clear"/>
            <w:tcMar>
              <w:top w:type="dxa" w:w="60"/>
              <w:left w:type="dxa" w:w="120"/>
              <w:bottom w:type="dxa" w:w="60"/>
              <w:right w:type="dxa" w:w="120"/>
            </w:tcMar>
          </w:tcPr>
          <w:p>
            <w:r>
              <w:rPr>
                <w:b w:val="false"/>
                <w:bCs w:val="false"/>
                <w:color w:val="212121"/>
                <w:sz w:val="16"/>
                <w:szCs w:val="16"/>
              </w:rPr>
              <w:t xml:space="preserve">NFR05, NFR06, FR18</w:t>
            </w:r>
          </w:p>
        </w:tc>
      </w:tr>
      <w:tr>
        <w:tc>
          <w:tcPr>
            <w:shd w:fill="FFFFFF" w:color="auto" w:val="clear"/>
            <w:tcMar>
              <w:top w:type="dxa" w:w="60"/>
              <w:left w:type="dxa" w:w="120"/>
              <w:bottom w:type="dxa" w:w="60"/>
              <w:right w:type="dxa" w:w="120"/>
            </w:tcMar>
          </w:tcPr>
          <w:p>
            <w:r>
              <w:rPr>
                <w:b w:val="false"/>
                <w:bCs w:val="false"/>
                <w:color w:val="212121"/>
                <w:sz w:val="18"/>
                <w:szCs w:val="18"/>
              </w:rPr>
              <w:t xml:space="preserve">10</w:t>
            </w:r>
          </w:p>
        </w:tc>
        <w:tc>
          <w:tcPr>
            <w:shd w:fill="FFFFFF" w:color="auto" w:val="clear"/>
            <w:tcMar>
              <w:top w:type="dxa" w:w="60"/>
              <w:left w:type="dxa" w:w="120"/>
              <w:bottom w:type="dxa" w:w="60"/>
              <w:right w:type="dxa" w:w="120"/>
            </w:tcMar>
          </w:tcPr>
          <w:p>
            <w:r>
              <w:rPr>
                <w:b/>
                <w:bCs/>
                <w:color w:val="212121"/>
                <w:sz w:val="18"/>
                <w:szCs w:val="18"/>
              </w:rPr>
              <w:t xml:space="preserve">Hardware-Bound (Device ID) Rate Limiting</w:t>
            </w:r>
          </w:p>
        </w:tc>
        <w:tc>
          <w:tcPr>
            <w:shd w:fill="FFFFFF" w:color="auto" w:val="clear"/>
            <w:tcMar>
              <w:top w:type="dxa" w:w="60"/>
              <w:left w:type="dxa" w:w="120"/>
              <w:bottom w:type="dxa" w:w="60"/>
              <w:right w:type="dxa" w:w="120"/>
            </w:tcMar>
          </w:tcPr>
          <w:p>
            <w:r>
              <w:rPr>
                <w:b w:val="false"/>
                <w:bCs w:val="false"/>
                <w:color w:val="212121"/>
                <w:sz w:val="18"/>
                <w:szCs w:val="18"/>
              </w:rPr>
              <w:t xml:space="preserve">Traditional IP-Based Rate Limiting</w:t>
            </w:r>
          </w:p>
        </w:tc>
        <w:tc>
          <w:tcPr>
            <w:shd w:fill="FFFFFF" w:color="auto" w:val="clear"/>
            <w:tcMar>
              <w:top w:type="dxa" w:w="60"/>
              <w:left w:type="dxa" w:w="120"/>
              <w:bottom w:type="dxa" w:w="60"/>
              <w:right w:type="dxa" w:w="120"/>
            </w:tcMar>
          </w:tcPr>
          <w:p>
            <w:r>
              <w:rPr>
                <w:b w:val="false"/>
                <w:bCs w:val="false"/>
                <w:color w:val="212121"/>
                <w:sz w:val="18"/>
                <w:szCs w:val="18"/>
              </w:rPr>
              <w:t xml:space="preserve">Protects the telemetry ingestion gateway from malfunctioning drone-side sensors flooding the endpoint with corrupt packets (DoS scenario per STRIDE analysis). IP-based limiting would block all pilots sharing the same 4G tower NAT IP. Device ID binding (drone serial number from FR21) drops only the specific malfunctioning hardware ID, preserving service for other active missions.</w:t>
            </w:r>
          </w:p>
        </w:tc>
        <w:tc>
          <w:tcPr>
            <w:shd w:fill="FFFFFF" w:color="auto" w:val="clear"/>
            <w:tcMar>
              <w:top w:type="dxa" w:w="60"/>
              <w:left w:type="dxa" w:w="120"/>
              <w:bottom w:type="dxa" w:w="60"/>
              <w:right w:type="dxa" w:w="120"/>
            </w:tcMar>
          </w:tcPr>
          <w:p>
            <w:r>
              <w:rPr>
                <w:b w:val="false"/>
                <w:bCs w:val="false"/>
                <w:color w:val="212121"/>
                <w:sz w:val="16"/>
                <w:szCs w:val="16"/>
              </w:rPr>
              <w:t xml:space="preserve">NFR04, FR21, §7.1 STRIDE</w:t>
            </w:r>
          </w:p>
        </w:tc>
      </w:tr>
    </w:tbl>
    <w:p/>
    <w:p>
      <w:r>
        <w:rPr>
          <w:color w:val="888888"/>
          <w:sz w:val="20"/>
          <w:szCs w:val="20"/>
        </w:rPr>
        <w:t xml:space="preserve">AgriUAV Platform | ITA301 Summer 2026 | FPT University HCM | Group 3 — D5 Design Rationale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2026-07-19T08:55:02.142Z</dcterms:created>
  <dcterms:modified xsi:type="dcterms:W3CDTF">2026-07-19T08:55:02.142Z</dcterms:modified>
</cp:coreProperties>
</file>

<file path=docProps/custom.xml><?xml version="1.0" encoding="utf-8"?>
<Properties xmlns="http://schemas.openxmlformats.org/officeDocument/2006/custom-properties" xmlns:vt="http://schemas.openxmlformats.org/officeDocument/2006/docPropsVTypes"/>
</file>