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  <w:jc w:val="center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WEEK 2 DELIVERABLE REPORT: STAKEHOLDER MAP +</w:t>
      </w:r>
    </w:p>
    <w:p>
      <w:pPr>
        <w:spacing w:after="40" w:before="0"/>
        <w:jc w:val="center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BUSINESS CASE DRAFT + AUDIT LOG</w:t>
      </w:r>
    </w:p>
    <w:p>
      <w:pPr>
        <w:spacing w:after="200" w:before="0"/>
        <w:jc w:val="center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Precision Agricultural Drone Spraying Coordination Platform for the Mekong Delta (AgriUAV Platform)</w:t>
      </w:r>
    </w:p>
    <w:p>
      <w:pPr>
        <w:spacing w:after="120" w:before="340"/>
      </w:pPr>
      <w:r>
        <w:rPr>
          <w:rFonts w:ascii="Calibri" w:cs="Calibri" w:eastAsia="Calibri" w:hAnsi="Calibri"/>
          <w:b/>
          <w:bCs/>
          <w:color w:val="2E4A7A"/>
          <w:sz w:val="28"/>
          <w:szCs w:val="28"/>
        </w:rPr>
        <w:t xml:space="preserve">Project Metadata &amp; Overview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Course</w:t>
            </w:r>
          </w:p>
        </w:tc>
        <w:tc>
          <w:tcPr>
            <w:tcW w:type="dxa" w:w="602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ITA301 — Information System Analysis &amp; Design</w:t>
            </w:r>
          </w:p>
        </w:tc>
      </w:tr>
      <w:tr>
        <w:tc>
          <w:tcPr>
            <w:tcW w:type="dxa" w:w="30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Academic Term</w:t>
            </w:r>
          </w:p>
        </w:tc>
        <w:tc>
          <w:tcPr>
            <w:tcW w:type="dxa" w:w="602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Summer 2026</w:t>
            </w:r>
          </w:p>
        </w:tc>
      </w:tr>
      <w:tr>
        <w:tc>
          <w:tcPr>
            <w:tcW w:type="dxa" w:w="30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Deliverable Item</w:t>
            </w:r>
          </w:p>
        </w:tc>
        <w:tc>
          <w:tcPr>
            <w:tcW w:type="dxa" w:w="602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W2 — Stakeholder Map + Business Case Draft + Audit Log  (Submission Deadline: 2026-05-31)</w:t>
            </w:r>
          </w:p>
        </w:tc>
      </w:tr>
      <w:tr>
        <w:tc>
          <w:tcPr>
            <w:tcW w:type="dxa" w:w="30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System Domain</w:t>
            </w:r>
          </w:p>
        </w:tc>
        <w:tc>
          <w:tcPr>
            <w:tcW w:type="dxa" w:w="602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Agricultural UAV — Precision Drone Spraying Coordination in the Mekong Delta</w:t>
            </w:r>
          </w:p>
        </w:tc>
      </w:tr>
      <w:tr>
        <w:tc>
          <w:tcPr>
            <w:tcW w:type="dxa" w:w="30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Course Instructor</w:t>
            </w:r>
          </w:p>
        </w:tc>
        <w:tc>
          <w:tcPr>
            <w:tcW w:type="dxa" w:w="602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Mr. Tran Thanh Nguyen</w:t>
            </w:r>
          </w:p>
        </w:tc>
      </w:tr>
      <w:tr>
        <w:tc>
          <w:tcPr>
            <w:tcW w:type="dxa" w:w="30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Project Team &amp; Roles</w:t>
            </w:r>
          </w:p>
        </w:tc>
        <w:tc>
          <w:tcPr>
            <w:tcW w:type="dxa" w:w="602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• Dang Thanh Cong — Project Manager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• Nguyen Thi Thanh Thao — Business Analyst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• Le Van Minh — System Analyst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• Tran Anh Khoa — System Designer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• Dang Vo Thanh Hieu — QA / Presenter</w:t>
            </w:r>
          </w:p>
        </w:tc>
      </w:tr>
      <w:tr>
        <w:tc>
          <w:tcPr>
            <w:tcW w:type="dxa" w:w="30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Document Version</w:t>
            </w:r>
          </w:p>
        </w:tc>
        <w:tc>
          <w:tcPr>
            <w:tcW w:type="dxa" w:w="602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v1.1 — Official W2 Document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spacing w:after="120" w:before="340"/>
      </w:pPr>
      <w:r>
        <w:rPr>
          <w:rFonts w:ascii="Calibri" w:cs="Calibri" w:eastAsia="Calibri" w:hAnsi="Calibri"/>
          <w:b/>
          <w:bCs/>
          <w:color w:val="2E4A7A"/>
          <w:sz w:val="28"/>
          <w:szCs w:val="28"/>
        </w:rPr>
        <w:t xml:space="preserve">1. Comprehensive Stakeholder Map</w:t>
      </w:r>
    </w:p>
    <w:p>
      <w:pPr>
        <w:spacing w:after="80" w:before="60"/>
        <w:jc w:val="both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Based on the ecosystem decomposition of the digital agriculture infrastructure within the Mekong Delta, the project team identified and categorized key stakeholders into three groups: Primary, Secondary, and Regulatory. Two critical stakeholders omitted by the initial AI output were supplemented by the team based on field-level regulatory research, and are marked with (*).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500"/>
        <w:gridCol w:w="2700"/>
        <w:gridCol w:w="650"/>
        <w:gridCol w:w="700"/>
        <w:gridCol w:w="2276"/>
      </w:tblGrid>
      <w:tr>
        <w:trPr>
          <w:tblHeader/>
        </w:trPr>
        <w:tc>
          <w:tcPr>
            <w:tcW w:type="dxa" w:w="12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Classification</w:t>
            </w:r>
          </w:p>
        </w:tc>
        <w:tc>
          <w:tcPr>
            <w:tcW w:type="dxa" w:w="15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Stakeholder Group</w:t>
            </w:r>
          </w:p>
        </w:tc>
        <w:tc>
          <w:tcPr>
            <w:tcW w:type="dxa" w:w="27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Core Role &amp; System Expectations</w:t>
            </w:r>
          </w:p>
        </w:tc>
        <w:tc>
          <w:tcPr>
            <w:tcW w:type="dxa" w:w="65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Power
(1–5)</w:t>
            </w:r>
          </w:p>
        </w:tc>
        <w:tc>
          <w:tcPr>
            <w:tcW w:type="dxa" w:w="7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Interest
(1–5)</w:t>
            </w:r>
          </w:p>
        </w:tc>
        <w:tc>
          <w:tcPr>
            <w:tcW w:type="dxa" w:w="227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Strategic System Action</w:t>
            </w:r>
          </w:p>
        </w:tc>
      </w:tr>
      <w:tr>
        <w:tc>
          <w:tcPr>
            <w:tcW w:type="dxa" w:w="12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4A7A"/>
                <w:sz w:val="18"/>
                <w:szCs w:val="18"/>
              </w:rPr>
              <w:t xml:space="preserve">Primary</w:t>
            </w:r>
          </w:p>
        </w:tc>
        <w:tc>
          <w:tcPr>
            <w:tcW w:type="dxa" w:w="15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Cooperative Management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(HTX)</w:t>
            </w:r>
          </w:p>
        </w:tc>
        <w:tc>
          <w:tcPr>
            <w:tcW w:type="dxa" w:w="27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Optimize fleet scheduling and dispatching, reduce operational costs by 15–20%, and obtain verified digital records of pilot activity and pesticide usage.</w:t>
            </w:r>
          </w:p>
        </w:tc>
        <w:tc>
          <w:tcPr>
            <w:tcW w:type="dxa" w:w="65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5</w:t>
            </w:r>
          </w:p>
        </w:tc>
        <w:tc>
          <w:tcPr>
            <w:tcW w:type="dxa" w:w="7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5</w:t>
            </w:r>
          </w:p>
        </w:tc>
        <w:tc>
          <w:tcPr>
            <w:tcW w:type="dxa" w:w="227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Web Dashboard for real-time fleet scheduling, shift allocation, and compliance reporting.</w:t>
            </w:r>
          </w:p>
        </w:tc>
      </w:tr>
      <w:tr>
        <w:tc>
          <w:tcPr>
            <w:tcW w:type="dxa" w:w="12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4A7A"/>
                <w:sz w:val="18"/>
                <w:szCs w:val="18"/>
              </w:rPr>
              <w:t xml:space="preserve">Primary</w:t>
            </w:r>
          </w:p>
        </w:tc>
        <w:tc>
          <w:tcPr>
            <w:tcW w:type="dxa" w:w="15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Operators /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Drone Pilots</w:t>
            </w:r>
          </w:p>
        </w:tc>
        <w:tc>
          <w:tcPr>
            <w:tcW w:type="dxa" w:w="27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Receive clear flight assignments, view digital field boundary maps, navigate safely away from power lines, and log verified flight hours.</w:t>
            </w:r>
          </w:p>
        </w:tc>
        <w:tc>
          <w:tcPr>
            <w:tcW w:type="dxa" w:w="65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2</w:t>
            </w:r>
          </w:p>
        </w:tc>
        <w:tc>
          <w:tcPr>
            <w:tcW w:type="dxa" w:w="7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5</w:t>
            </w:r>
          </w:p>
        </w:tc>
        <w:tc>
          <w:tcPr>
            <w:tcW w:type="dxa" w:w="227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Lightweight Mobile App with GPS field navigation, check-in/out confirmation, and automated flight log generation.</w:t>
            </w:r>
          </w:p>
        </w:tc>
      </w:tr>
      <w:tr>
        <w:tc>
          <w:tcPr>
            <w:tcW w:type="dxa" w:w="12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4A7A"/>
                <w:sz w:val="18"/>
                <w:szCs w:val="18"/>
              </w:rPr>
              <w:t xml:space="preserve">Primary</w:t>
            </w:r>
          </w:p>
        </w:tc>
        <w:tc>
          <w:tcPr>
            <w:tcW w:type="dxa" w:w="15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Rice Farmers</w:t>
            </w:r>
          </w:p>
        </w:tc>
        <w:tc>
          <w:tcPr>
            <w:tcW w:type="dxa" w:w="27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Book spray services with minimum effort (≤5 min), track drone spray status in real-time, and verify actual pesticide volume dispensed. Avg. age ~51 (Nguyen 2026), limited IT experience.</w:t>
            </w:r>
          </w:p>
        </w:tc>
        <w:tc>
          <w:tcPr>
            <w:tcW w:type="dxa" w:w="65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3</w:t>
            </w:r>
          </w:p>
        </w:tc>
        <w:tc>
          <w:tcPr>
            <w:tcW w:type="dxa" w:w="7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4</w:t>
            </w:r>
          </w:p>
        </w:tc>
        <w:tc>
          <w:tcPr>
            <w:tcW w:type="dxa" w:w="227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Automated SMS/Zalo push notifications providing real-time spray order status updates.</w:t>
            </w:r>
          </w:p>
        </w:tc>
      </w:tr>
      <w:tr>
        <w:tc>
          <w:tcPr>
            <w:tcW w:type="dxa" w:w="12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4A7A"/>
                <w:sz w:val="18"/>
                <w:szCs w:val="18"/>
              </w:rPr>
              <w:t xml:space="preserve">Primary</w:t>
            </w:r>
          </w:p>
        </w:tc>
        <w:tc>
          <w:tcPr>
            <w:tcW w:type="dxa" w:w="15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Agricultural Engineers /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Agronomists</w:t>
            </w:r>
          </w:p>
        </w:tc>
        <w:tc>
          <w:tcPr>
            <w:tcW w:type="dxa" w:w="27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Define and validate spray formulas per crop type and pest category, manage approved pesticide registry, and confirm correct dosage application.</w:t>
            </w:r>
          </w:p>
        </w:tc>
        <w:tc>
          <w:tcPr>
            <w:tcW w:type="dxa" w:w="65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3</w:t>
            </w:r>
          </w:p>
        </w:tc>
        <w:tc>
          <w:tcPr>
            <w:tcW w:type="dxa" w:w="7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4</w:t>
            </w:r>
          </w:p>
        </w:tc>
        <w:tc>
          <w:tcPr>
            <w:tcW w:type="dxa" w:w="227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Formula management module with pesticide registry integration aligned to Plant Protection Dept approved chemical list.</w:t>
            </w:r>
          </w:p>
        </w:tc>
      </w:tr>
      <w:tr>
        <w:tc>
          <w:tcPr>
            <w:tcW w:type="dxa" w:w="12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4A7A"/>
                <w:sz w:val="18"/>
                <w:szCs w:val="18"/>
              </w:rPr>
              <w:t xml:space="preserve">Secondary</w:t>
            </w:r>
          </w:p>
        </w:tc>
        <w:tc>
          <w:tcPr>
            <w:tcW w:type="dxa" w:w="15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Agricultural Exporters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(Trung An, Minh Phu)</w:t>
            </w:r>
          </w:p>
        </w:tc>
        <w:tc>
          <w:tcPr>
            <w:tcW w:type="dxa" w:w="27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Trace full pesticide application history to demonstrate low residue compliance for EU/US export standards (VietGAP/GlobalGAP).</w:t>
            </w:r>
          </w:p>
        </w:tc>
        <w:tc>
          <w:tcPr>
            <w:tcW w:type="dxa" w:w="65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3</w:t>
            </w:r>
          </w:p>
        </w:tc>
        <w:tc>
          <w:tcPr>
            <w:tcW w:type="dxa" w:w="7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4</w:t>
            </w:r>
          </w:p>
        </w:tc>
        <w:tc>
          <w:tcPr>
            <w:tcW w:type="dxa" w:w="227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Exportable spray history report module formatted to VietGAP/GlobalGAP traceability standards.</w:t>
            </w:r>
          </w:p>
        </w:tc>
      </w:tr>
      <w:tr>
        <w:tc>
          <w:tcPr>
            <w:tcW w:type="dxa" w:w="12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4A7A"/>
                <w:sz w:val="18"/>
                <w:szCs w:val="18"/>
              </w:rPr>
              <w:t xml:space="preserve">Secondary</w:t>
            </w:r>
          </w:p>
        </w:tc>
        <w:tc>
          <w:tcPr>
            <w:tcW w:type="dxa" w:w="15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Drone Manufacturers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(DJI, XAG)</w:t>
            </w:r>
          </w:p>
        </w:tc>
        <w:tc>
          <w:tcPr>
            <w:tcW w:type="dxa" w:w="27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Expand market reach through platform compatibility; benefit from telemetry integration via MAVLink SDK.</w:t>
            </w:r>
          </w:p>
        </w:tc>
        <w:tc>
          <w:tcPr>
            <w:tcW w:type="dxa" w:w="65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2</w:t>
            </w:r>
          </w:p>
        </w:tc>
        <w:tc>
          <w:tcPr>
            <w:tcW w:type="dxa" w:w="7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3</w:t>
            </w:r>
          </w:p>
        </w:tc>
        <w:tc>
          <w:tcPr>
            <w:tcW w:type="dxa" w:w="227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MAVLink telemetry API integration roadmap (planned for post-MVP release).</w:t>
            </w:r>
          </w:p>
        </w:tc>
      </w:tr>
      <w:tr>
        <w:tc>
          <w:tcPr>
            <w:tcW w:type="dxa" w:w="12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4A7A"/>
                <w:sz w:val="18"/>
                <w:szCs w:val="18"/>
              </w:rPr>
              <w:t xml:space="preserve">Secondary</w:t>
            </w:r>
          </w:p>
        </w:tc>
        <w:tc>
          <w:tcPr>
            <w:tcW w:type="dxa" w:w="15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Banks /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Agricultural Credit Institutions</w:t>
            </w:r>
          </w:p>
        </w:tc>
        <w:tc>
          <w:tcPr>
            <w:tcW w:type="dxa" w:w="27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Use verified seasonal production data as a basis for agricultural lending risk assessment.</w:t>
            </w:r>
          </w:p>
        </w:tc>
        <w:tc>
          <w:tcPr>
            <w:tcW w:type="dxa" w:w="65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2</w:t>
            </w:r>
          </w:p>
        </w:tc>
        <w:tc>
          <w:tcPr>
            <w:tcW w:type="dxa" w:w="7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2</w:t>
            </w:r>
          </w:p>
        </w:tc>
        <w:tc>
          <w:tcPr>
            <w:tcW w:type="dxa" w:w="227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Seasonal operation summary export with verified flight logs usable as credit evidence.</w:t>
            </w:r>
          </w:p>
        </w:tc>
      </w:tr>
      <w:tr>
        <w:tc>
          <w:tcPr>
            <w:tcW w:type="dxa" w:w="12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4A7A"/>
                <w:sz w:val="18"/>
                <w:szCs w:val="18"/>
              </w:rPr>
              <w:t xml:space="preserve">Secondary (*)</w:t>
            </w:r>
          </w:p>
        </w:tc>
        <w:tc>
          <w:tcPr>
            <w:tcW w:type="dxa" w:w="15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Pesticide Retailers</w:t>
            </w:r>
          </w:p>
        </w:tc>
        <w:tc>
          <w:tcPr>
            <w:tcW w:type="dxa" w:w="27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Supply approved chemical inputs to HTX cooperatives; inventory sync prevents unapproved pesticide use. [Supplemented by team — AI omitted this actor]</w:t>
            </w:r>
          </w:p>
        </w:tc>
        <w:tc>
          <w:tcPr>
            <w:tcW w:type="dxa" w:w="65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2</w:t>
            </w:r>
          </w:p>
        </w:tc>
        <w:tc>
          <w:tcPr>
            <w:tcW w:type="dxa" w:w="7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2</w:t>
            </w:r>
          </w:p>
        </w:tc>
        <w:tc>
          <w:tcPr>
            <w:tcW w:type="dxa" w:w="227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Chemical inventory sync API connected to approved chemical registry for real-time stock validation.</w:t>
            </w:r>
          </w:p>
        </w:tc>
      </w:tr>
      <w:tr>
        <w:tc>
          <w:tcPr>
            <w:tcW w:type="dxa" w:w="12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4A7A"/>
                <w:sz w:val="18"/>
                <w:szCs w:val="18"/>
              </w:rPr>
              <w:t xml:space="preserve">Regulatory</w:t>
            </w:r>
          </w:p>
        </w:tc>
        <w:tc>
          <w:tcPr>
            <w:tcW w:type="dxa" w:w="15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Plant Protection Dept.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(Cục Trồng trọt &amp; BVTV)</w:t>
            </w:r>
          </w:p>
        </w:tc>
        <w:tc>
          <w:tcPr>
            <w:tcW w:type="dxa" w:w="27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Approve pesticide categories permitted for UAV application; monitor seasonal compliance reporting and chemical residue traceability.</w:t>
            </w:r>
          </w:p>
        </w:tc>
        <w:tc>
          <w:tcPr>
            <w:tcW w:type="dxa" w:w="65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5</w:t>
            </w:r>
          </w:p>
        </w:tc>
        <w:tc>
          <w:tcPr>
            <w:tcW w:type="dxa" w:w="7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3</w:t>
            </w:r>
          </w:p>
        </w:tc>
        <w:tc>
          <w:tcPr>
            <w:tcW w:type="dxa" w:w="227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Automated compliance export (PDF/Excel) containing drone IDs, pilot certificates, and pesticide usage logs per season.</w:t>
            </w:r>
          </w:p>
        </w:tc>
      </w:tr>
      <w:tr>
        <w:tc>
          <w:tcPr>
            <w:tcW w:type="dxa" w:w="12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4A7A"/>
                <w:sz w:val="18"/>
                <w:szCs w:val="18"/>
              </w:rPr>
              <w:t xml:space="preserve">Regulatory (*)</w:t>
            </w:r>
          </w:p>
        </w:tc>
        <w:tc>
          <w:tcPr>
            <w:tcW w:type="dxa" w:w="15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Operations Dept. / General Staff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(Cục Tác chiến — Bộ Tổng Tham mưu)</w:t>
            </w:r>
          </w:p>
        </w:tc>
        <w:tc>
          <w:tcPr>
            <w:tcW w:type="dxa" w:w="27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Sole military authority responsible for UAV flight permits and drone identification registration under Decree 288/2025/ND-CP. [Supplemented by team — AI omitted this actor]</w:t>
            </w:r>
          </w:p>
        </w:tc>
        <w:tc>
          <w:tcPr>
            <w:tcW w:type="dxa" w:w="65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4</w:t>
            </w:r>
          </w:p>
        </w:tc>
        <w:tc>
          <w:tcPr>
            <w:tcW w:type="dxa" w:w="7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2</w:t>
            </w:r>
          </w:p>
        </w:tc>
        <w:tc>
          <w:tcPr>
            <w:tcW w:type="dxa" w:w="227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Store and display device tracking UUIDs and certified pilot license numbers in compliance reports submitted per Decree 288.</w:t>
            </w:r>
          </w:p>
        </w:tc>
      </w:tr>
      <w:tr>
        <w:tc>
          <w:tcPr>
            <w:tcW w:type="dxa" w:w="12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4A7A"/>
                <w:sz w:val="18"/>
                <w:szCs w:val="18"/>
              </w:rPr>
              <w:t xml:space="preserve">Regulatory</w:t>
            </w:r>
          </w:p>
        </w:tc>
        <w:tc>
          <w:tcPr>
            <w:tcW w:type="dxa" w:w="15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Provincial Authorities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(UBND / Sở NN&amp;PTNT ĐBSCL)</w:t>
            </w:r>
          </w:p>
        </w:tc>
        <w:tc>
          <w:tcPr>
            <w:tcW w:type="dxa" w:w="27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Grant operational licenses for drone service providers at the provincial level; receive periodic area-sprayed reports.</w:t>
            </w:r>
          </w:p>
        </w:tc>
        <w:tc>
          <w:tcPr>
            <w:tcW w:type="dxa" w:w="65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3</w:t>
            </w:r>
          </w:p>
        </w:tc>
        <w:tc>
          <w:tcPr>
            <w:tcW w:type="dxa" w:w="7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3</w:t>
            </w:r>
          </w:p>
        </w:tc>
        <w:tc>
          <w:tcPr>
            <w:tcW w:type="dxa" w:w="227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Periodic provincial spraying area reports exportable for submission to Ministry of Agriculture.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spacing w:after="60" w:before="60"/>
      </w:pPr>
      <w:r>
        <w:rPr>
          <w:rFonts w:ascii="Calibri" w:cs="Calibri" w:eastAsia="Calibri" w:hAnsi="Calibri"/>
          <w:color w:val="555555"/>
          <w:sz w:val="17"/>
          <w:szCs w:val="17"/>
        </w:rPr>
        <w:t xml:space="preserve">(*) Supplemented by team — not identified in initial AI stakeholder output. Verified against Decree 288/2025/ND-CP (Operations Dept.) and domain knowledge of cooperative supply chains (Pesticide Retailers).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spacing w:after="120" w:before="340"/>
      </w:pPr>
      <w:r>
        <w:rPr>
          <w:rFonts w:ascii="Calibri" w:cs="Calibri" w:eastAsia="Calibri" w:hAnsi="Calibri"/>
          <w:b/>
          <w:bCs/>
          <w:color w:val="2E4A7A"/>
          <w:sz w:val="28"/>
          <w:szCs w:val="28"/>
        </w:rPr>
        <w:t xml:space="preserve">2. Current Process (AS-IS) &amp; Measurable Pain Points</w:t>
      </w:r>
    </w:p>
    <w:p>
      <w:pPr>
        <w:spacing w:after="80" w:before="60"/>
        <w:jc w:val="both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The existing operational flow within agricultural cooperatives follows five sequential phases. Field evidence and documented incidents expose critical pain points at each stage that require digital infrastructure solutions.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"/>
        <w:gridCol w:w="1500"/>
        <w:gridCol w:w="2900"/>
        <w:gridCol w:w="4176"/>
      </w:tblGrid>
      <w:tr>
        <w:trPr>
          <w:tblHeader/>
        </w:trPr>
        <w:tc>
          <w:tcPr>
            <w:tcW w:type="dxa" w:w="45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Seq</w:t>
            </w:r>
          </w:p>
        </w:tc>
        <w:tc>
          <w:tcPr>
            <w:tcW w:type="dxa" w:w="15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Operational Phase</w:t>
            </w:r>
          </w:p>
        </w:tc>
        <w:tc>
          <w:tcPr>
            <w:tcW w:type="dxa" w:w="29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As-Is Manual Workflow</w:t>
            </w:r>
          </w:p>
        </w:tc>
        <w:tc>
          <w:tcPr>
            <w:tcW w:type="dxa" w:w="417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Measurable Localized Pain Points</w:t>
            </w:r>
          </w:p>
        </w:tc>
      </w:tr>
      <w:tr>
        <w:tc>
          <w:tcPr>
            <w:tcW w:type="dxa" w:w="45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1</w:t>
            </w:r>
          </w:p>
        </w:tc>
        <w:tc>
          <w:tcPr>
            <w:tcW w:type="dxa" w:w="15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E4A7A"/>
                <w:sz w:val="18"/>
                <w:szCs w:val="18"/>
              </w:rPr>
              <w:t xml:space="preserve">Demand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E4A7A"/>
                <w:sz w:val="18"/>
                <w:szCs w:val="18"/>
              </w:rPr>
              <w:t xml:space="preserve">Intake</w:t>
            </w:r>
          </w:p>
        </w:tc>
        <w:tc>
          <w:tcPr>
            <w:tcW w:type="dxa" w:w="29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Farmers call or text the HTX manager via Zalo to request drone spraying, providing a rough verbal estimate of land area.</w:t>
            </w:r>
          </w:p>
        </w:tc>
        <w:tc>
          <w:tcPr>
            <w:tcW w:type="dxa" w:w="417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Lack of GPS Coordinates: Field plots are frequently misidentified due to absent digital boundary data, leading to accidental spraying on adjacent parcels and neighbor disputes.</w:t>
            </w:r>
          </w:p>
        </w:tc>
      </w:tr>
      <w:tr>
        <w:tc>
          <w:tcPr>
            <w:tcW w:type="dxa" w:w="45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2</w:t>
            </w:r>
          </w:p>
        </w:tc>
        <w:tc>
          <w:tcPr>
            <w:tcW w:type="dxa" w:w="15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E4A7A"/>
                <w:sz w:val="18"/>
                <w:szCs w:val="18"/>
              </w:rPr>
              <w:t xml:space="preserve">Scheduling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E4A7A"/>
                <w:sz w:val="18"/>
                <w:szCs w:val="18"/>
              </w:rPr>
              <w:t xml:space="preserve">&amp; Dispatch</w:t>
            </w:r>
          </w:p>
        </w:tc>
        <w:tc>
          <w:tcPr>
            <w:tcW w:type="dxa" w:w="29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The manager manually records dates in paper logbooks or a shared Excel file, then calls pilots individually to check availability.</w:t>
            </w:r>
          </w:p>
        </w:tc>
        <w:tc>
          <w:tcPr>
            <w:tcW w:type="dxa" w:w="417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Double-Booking &amp; Deadhead Flights: Manual scheduling causes persistent booking conflicts and misallocated dispatch routes, inflating operational costs by 15–20% per season.</w:t>
            </w:r>
          </w:p>
        </w:tc>
      </w:tr>
      <w:tr>
        <w:tc>
          <w:tcPr>
            <w:tcW w:type="dxa" w:w="45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3</w:t>
            </w:r>
          </w:p>
        </w:tc>
        <w:tc>
          <w:tcPr>
            <w:tcW w:type="dxa" w:w="15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E4A7A"/>
                <w:sz w:val="18"/>
                <w:szCs w:val="18"/>
              </w:rPr>
              <w:t xml:space="preserve">Flight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E4A7A"/>
                <w:sz w:val="18"/>
                <w:szCs w:val="18"/>
              </w:rPr>
              <w:t xml:space="preserve">Execution</w:t>
            </w:r>
          </w:p>
        </w:tc>
        <w:tc>
          <w:tcPr>
            <w:tcW w:type="dxa" w:w="29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Pilots operate drones based on visual memory or standalone hardware flight apps with no centralized telemetry.</w:t>
            </w:r>
          </w:p>
        </w:tc>
        <w:tc>
          <w:tcPr>
            <w:tcW w:type="dxa" w:w="417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Unverified Operator Activity: Absence of centralized telemetry verification allows operators to under-dose chemical mixtures or fabricate flight records to claim fuel and pesticide allowances without detection.</w:t>
            </w:r>
          </w:p>
        </w:tc>
      </w:tr>
      <w:tr>
        <w:tc>
          <w:tcPr>
            <w:tcW w:type="dxa" w:w="45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4</w:t>
            </w:r>
          </w:p>
        </w:tc>
        <w:tc>
          <w:tcPr>
            <w:tcW w:type="dxa" w:w="15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E4A7A"/>
                <w:sz w:val="18"/>
                <w:szCs w:val="18"/>
              </w:rPr>
              <w:t xml:space="preserve">Monitoring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E4A7A"/>
                <w:sz w:val="18"/>
                <w:szCs w:val="18"/>
              </w:rPr>
              <w:t xml:space="preserve">&amp; Control</w:t>
            </w:r>
          </w:p>
        </w:tc>
        <w:tc>
          <w:tcPr>
            <w:tcW w:type="dxa" w:w="29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No real-time operational dashboard exists. Management remains entirely blind until the pilot verbally reports completion by phone.</w:t>
            </w:r>
          </w:p>
        </w:tc>
        <w:tc>
          <w:tcPr>
            <w:tcW w:type="dxa" w:w="417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CRITICAL SAFETY RISK: Absence of geofencing has resulted in drone collisions with 110kV power transmission lines (Long An Province — 76,000 customers affected, Dan Viet 2024). Off-target chemical drift causes exposure to neighboring organic crops.</w:t>
            </w:r>
          </w:p>
        </w:tc>
      </w:tr>
      <w:tr>
        <w:tc>
          <w:tcPr>
            <w:tcW w:type="dxa" w:w="45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5</w:t>
            </w:r>
          </w:p>
        </w:tc>
        <w:tc>
          <w:tcPr>
            <w:tcW w:type="dxa" w:w="15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E4A7A"/>
                <w:sz w:val="18"/>
                <w:szCs w:val="18"/>
              </w:rPr>
              <w:t xml:space="preserve">Reconciliation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E4A7A"/>
                <w:sz w:val="18"/>
                <w:szCs w:val="18"/>
              </w:rPr>
              <w:t xml:space="preserve">&amp; Reporting</w:t>
            </w:r>
          </w:p>
        </w:tc>
        <w:tc>
          <w:tcPr>
            <w:tcW w:type="dxa" w:w="29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At month-end, HTX managers aggregate paper invoices to bill farmers and compile handwritten regulatory reports for submission.</w:t>
            </w:r>
          </w:p>
        </w:tc>
        <w:tc>
          <w:tcPr>
            <w:tcW w:type="dxa" w:w="417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Compliance Failure: Error-prone manual processes cannot satisfy Decree 288/2025/ND-CP, which mandates digital logs of unique drone IDs and pilot credentials. No verifiable audit trail exists.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spacing w:after="120" w:before="340"/>
      </w:pPr>
      <w:r>
        <w:rPr>
          <w:rFonts w:ascii="Calibri" w:cs="Calibri" w:eastAsia="Calibri" w:hAnsi="Calibri"/>
          <w:b/>
          <w:bCs/>
          <w:color w:val="2E4A7A"/>
          <w:sz w:val="28"/>
          <w:szCs w:val="28"/>
        </w:rPr>
        <w:t xml:space="preserve">3. Business Case Draft &amp; Economic Evaluation</w:t>
      </w:r>
    </w:p>
    <w:p>
      <w:pPr>
        <w:spacing w:after="80" w:before="220"/>
      </w:pPr>
      <w:r>
        <w:rPr>
          <w:rFonts w:ascii="Calibri" w:cs="Calibri" w:eastAsia="Calibri" w:hAnsi="Calibri"/>
          <w:b/>
          <w:bCs/>
          <w:color w:val="2E4A7A"/>
          <w:sz w:val="22"/>
          <w:szCs w:val="22"/>
        </w:rPr>
        <w:t xml:space="preserve">3.1. Ecosystem Gap Analysis — 3-Layer Model</w:t>
      </w:r>
    </w:p>
    <w:p>
      <w:pPr>
        <w:spacing w:after="80" w:before="60"/>
        <w:jc w:val="both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The Agricultural UAV ecosystem in Vietnam is structured across three distinct layers. The analysis below demonstrates the specific market gap that AgriUAV Platform is designed to occupy: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13"/>
        <w:gridCol w:w="3513"/>
      </w:tblGrid>
      <w:tr>
        <w:trPr>
          <w:tblHeader/>
        </w:trPr>
        <w:tc>
          <w:tcPr>
            <w:tcW w:type="dxa" w:w="20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Technology Layer</w:t>
            </w:r>
          </w:p>
        </w:tc>
        <w:tc>
          <w:tcPr>
            <w:tcW w:type="dxa" w:w="3513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Current Ecosystem Market State</w:t>
            </w:r>
          </w:p>
        </w:tc>
        <w:tc>
          <w:tcPr>
            <w:tcW w:type="dxa" w:w="3513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AgriUAV Platform Intervention</w:t>
            </w:r>
          </w:p>
        </w:tc>
      </w:tr>
      <w:tr>
        <w:tc>
          <w:tcPr>
            <w:tcW w:type="dxa" w:w="20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E4A7A"/>
                <w:sz w:val="19"/>
                <w:szCs w:val="19"/>
              </w:rPr>
              <w:t xml:space="preserve">Hardware Layer</w:t>
            </w:r>
          </w:p>
        </w:tc>
        <w:tc>
          <w:tcPr>
            <w:tcW w:type="dxa" w:w="3513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Dominated by mature global manufacturers (DJI Agras ~80%, XAG ~15%, domestic ~5%). Market is highly commoditized and saturated. Hardware availability is not a bottleneck.</w:t>
            </w:r>
          </w:p>
        </w:tc>
        <w:tc>
          <w:tcPr>
            <w:tcW w:type="dxa" w:w="3513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Integration via mobile GPS telemetry at MVP stage. Planned native integration via MAVLink protocols in future versions.</w:t>
            </w:r>
          </w:p>
        </w:tc>
      </w:tr>
      <w:tr>
        <w:tc>
          <w:tcPr>
            <w:tcW w:type="dxa" w:w="20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E4A7A"/>
                <w:sz w:val="19"/>
                <w:szCs w:val="19"/>
              </w:rPr>
              <w:t xml:space="preserve">Service Layer</w:t>
            </w:r>
          </w:p>
        </w:tc>
        <w:tc>
          <w:tcPr>
            <w:tcW w:type="dxa" w:w="3513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Local cooperatives (HTX) provide commercial spraying services (~150,000 VND/ha) but operate on entirely manual, fragmented processes (Zalo/Excel/paper logbooks).</w:t>
            </w:r>
          </w:p>
        </w:tc>
        <w:tc>
          <w:tcPr>
            <w:tcW w:type="dxa" w:w="3513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Provides the end-to-end digital coordination fabric to automate internal scheduling, dispatch, and compliance workflows for these service providers.</w:t>
            </w:r>
          </w:p>
        </w:tc>
      </w:tr>
      <w:tr>
        <w:tc>
          <w:tcPr>
            <w:tcW w:type="dxa" w:w="20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E4A7A"/>
                <w:sz w:val="19"/>
                <w:szCs w:val="19"/>
              </w:rPr>
              <w:t xml:space="preserve">Platform Layer</w:t>
            </w:r>
          </w:p>
        </w:tc>
        <w:tc>
          <w:tcPr>
            <w:tcW w:type="dxa" w:w="3513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COMPLETELY VACANT — No dedicated, localized IS for fleet coordination, pilot dispatch, scheduling, or regulatory compliance logging currently exists in Vietnam.</w:t>
            </w:r>
          </w:p>
        </w:tc>
        <w:tc>
          <w:tcPr>
            <w:tcW w:type="dxa" w:w="3513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AgriUAV Platform fills this strategic gap, serving as the enterprise-grade operational coordination system for drone service cooperatives.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spacing w:after="80" w:before="220"/>
      </w:pPr>
      <w:r>
        <w:rPr>
          <w:rFonts w:ascii="Calibri" w:cs="Calibri" w:eastAsia="Calibri" w:hAnsi="Calibri"/>
          <w:b/>
          <w:bCs/>
          <w:color w:val="2E4A7A"/>
          <w:sz w:val="22"/>
          <w:szCs w:val="22"/>
        </w:rPr>
        <w:t xml:space="preserve">3.2. Market Sizing Estimates (TAM / SAM / SOM)</w:t>
      </w:r>
    </w:p>
    <w:p>
      <w:pPr>
        <w:spacing w:after="80" w:before="60"/>
        <w:jc w:val="both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Market sizing is derived from official field statistics and empirical research to ensure figures are verifiable rather than estimated: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3326"/>
        <w:gridCol w:w="2500"/>
      </w:tblGrid>
      <w:tr>
        <w:trPr>
          <w:tblHeader/>
        </w:trPr>
        <w:tc>
          <w:tcPr>
            <w:tcW w:type="dxa" w:w="12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Segment</w:t>
            </w:r>
          </w:p>
        </w:tc>
        <w:tc>
          <w:tcPr>
            <w:tcW w:type="dxa" w:w="20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Drone Count &amp; Data Source</w:t>
            </w:r>
          </w:p>
        </w:tc>
        <w:tc>
          <w:tcPr>
            <w:tcW w:type="dxa" w:w="332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Target Customer Profile</w:t>
            </w:r>
          </w:p>
        </w:tc>
        <w:tc>
          <w:tcPr>
            <w:tcW w:type="dxa" w:w="25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Strategic Rationale</w:t>
            </w:r>
          </w:p>
        </w:tc>
      </w:tr>
      <w:tr>
        <w:tc>
          <w:tcPr>
            <w:tcW w:type="dxa" w:w="12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2E4A7A"/>
                <w:sz w:val="19"/>
                <w:szCs w:val="19"/>
              </w:rPr>
              <w:t xml:space="preserve">TAM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E4A7A"/>
                <w:sz w:val="19"/>
                <w:szCs w:val="19"/>
              </w:rPr>
              <w:t xml:space="preserve">(Total Addressable Market)</w:t>
            </w:r>
          </w:p>
        </w:tc>
        <w:tc>
          <w:tcPr>
            <w:tcW w:type="dxa" w:w="20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~4,000 agricultural drones active across 1.5 million ha of rice cultivation land in the Mekong Delta.</w:t>
            </w:r>
          </w:p>
        </w:tc>
        <w:tc>
          <w:tcPr>
            <w:tcW w:type="dxa" w:w="332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Full Mekong Delta drone fleet</w:t>
            </w:r>
          </w:p>
        </w:tc>
        <w:tc>
          <w:tcPr>
            <w:tcW w:type="dxa" w:w="25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No digital platform in market = full addressable market</w:t>
            </w:r>
          </w:p>
        </w:tc>
      </w:tr>
      <w:tr>
        <w:tc>
          <w:tcPr>
            <w:tcW w:type="dxa" w:w="12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2E4A7A"/>
                <w:sz w:val="19"/>
                <w:szCs w:val="19"/>
              </w:rPr>
              <w:t xml:space="preserve">SAM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E4A7A"/>
                <w:sz w:val="19"/>
                <w:szCs w:val="19"/>
              </w:rPr>
              <w:t xml:space="preserve">(Serviceable Addressable Market)</w:t>
            </w:r>
          </w:p>
        </w:tc>
        <w:tc>
          <w:tcPr>
            <w:tcW w:type="dxa" w:w="20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1,215 active drones in 3 priority provinces: Kien Giang (690), An Giang (265), Dong Thap (260). Source: Thanh Nien, June 2025.</w:t>
            </w:r>
          </w:p>
        </w:tc>
        <w:tc>
          <w:tcPr>
            <w:tcW w:type="dxa" w:w="332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HTX and commercial drone service operators</w:t>
            </w:r>
          </w:p>
        </w:tc>
        <w:tc>
          <w:tcPr>
            <w:tcW w:type="dxa" w:w="25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Operationally reachable in Year 1 rollout</w:t>
            </w:r>
          </w:p>
        </w:tc>
      </w:tr>
      <w:tr>
        <w:tc>
          <w:tcPr>
            <w:tcW w:type="dxa" w:w="12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2E4A7A"/>
                <w:sz w:val="19"/>
                <w:szCs w:val="19"/>
              </w:rPr>
              <w:t xml:space="preserve">SOM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E4A7A"/>
                <w:sz w:val="19"/>
                <w:szCs w:val="19"/>
              </w:rPr>
              <w:t xml:space="preserve">(Serviceable Obtainable Market)</w:t>
            </w:r>
          </w:p>
        </w:tc>
        <w:tc>
          <w:tcPr>
            <w:tcW w:type="dxa" w:w="20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200 drones managed by pilot-partner cooperatives linked with Can Tho University research network.</w:t>
            </w:r>
          </w:p>
        </w:tc>
        <w:tc>
          <w:tcPr>
            <w:tcW w:type="dxa" w:w="332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Strategic pilot HTX partners</w:t>
            </w:r>
          </w:p>
        </w:tc>
        <w:tc>
          <w:tcPr>
            <w:tcW w:type="dxa" w:w="25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Direct partnership channel for initial deployment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spacing w:after="80" w:before="60"/>
        <w:jc w:val="both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Monetization Model: B2B SaaS licensing at 500,000 VND / drone / month. Projected annual recurring revenue from SOM segment: 200 × 500,000 × 12 = 1,200,000,000 VND/year.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spacing w:after="80" w:before="220"/>
      </w:pPr>
      <w:r>
        <w:rPr>
          <w:rFonts w:ascii="Calibri" w:cs="Calibri" w:eastAsia="Calibri" w:hAnsi="Calibri"/>
          <w:b/>
          <w:bCs/>
          <w:color w:val="2E4A7A"/>
          <w:sz w:val="22"/>
          <w:szCs w:val="22"/>
        </w:rPr>
        <w:t xml:space="preserve">3.3. Cost-Benefit Analysis (Reference: 1 HTX — 10 drones, 500 ha/season)</w:t>
      </w:r>
    </w:p>
    <w:p>
      <w:pPr>
        <w:spacing w:after="80" w:before="60"/>
        <w:jc w:val="both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The following cost-benefit breakdown uses a representative mid-size cooperative as the reference unit. All figures are conservative estimates derived from operational benchmarks reported in Nguyen et al. (2026) and field reporting: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142"/>
        <w:gridCol w:w="2142"/>
        <w:gridCol w:w="2142"/>
      </w:tblGrid>
      <w:tr>
        <w:trPr>
          <w:tblHeader/>
        </w:trPr>
        <w:tc>
          <w:tcPr>
            <w:tcW w:type="dxa" w:w="26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Cost Category</w:t>
            </w:r>
          </w:p>
        </w:tc>
        <w:tc>
          <w:tcPr>
            <w:tcW w:type="dxa" w:w="2142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AS-IS (Manual Operations)</w:t>
            </w:r>
          </w:p>
        </w:tc>
        <w:tc>
          <w:tcPr>
            <w:tcW w:type="dxa" w:w="2142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TO-BE (With AgriUAV Platform)</w:t>
            </w:r>
          </w:p>
        </w:tc>
        <w:tc>
          <w:tcPr>
            <w:tcW w:type="dxa" w:w="2142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Estimated Savings</w:t>
            </w:r>
          </w:p>
        </w:tc>
      </w:tr>
      <w:tr>
        <w:tc>
          <w:tcPr>
            <w:tcW w:type="dxa" w:w="26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4A7A"/>
                <w:sz w:val="18"/>
                <w:szCs w:val="18"/>
              </w:rPr>
              <w:t xml:space="preserve">Pesticide wastage (imprecise spraying)</w:t>
            </w:r>
          </w:p>
        </w:tc>
        <w:tc>
          <w:tcPr>
            <w:tcW w:type="dxa" w:w="2142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~45 million VND/season</w:t>
            </w:r>
          </w:p>
        </w:tc>
        <w:tc>
          <w:tcPr>
            <w:tcW w:type="dxa" w:w="2142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~31.5 million VND/season</w:t>
            </w:r>
          </w:p>
        </w:tc>
        <w:tc>
          <w:tcPr>
            <w:tcW w:type="dxa" w:w="2142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–30% = 13.5M VND</w:t>
            </w:r>
          </w:p>
        </w:tc>
      </w:tr>
      <w:tr>
        <w:tc>
          <w:tcPr>
            <w:tcW w:type="dxa" w:w="26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4A7A"/>
                <w:sz w:val="18"/>
                <w:szCs w:val="18"/>
              </w:rPr>
              <w:t xml:space="preserve">Drone fuel (duplicate flights, wrong zones)</w:t>
            </w:r>
          </w:p>
        </w:tc>
        <w:tc>
          <w:tcPr>
            <w:tcW w:type="dxa" w:w="2142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~12 million VND/season</w:t>
            </w:r>
          </w:p>
        </w:tc>
        <w:tc>
          <w:tcPr>
            <w:tcW w:type="dxa" w:w="2142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~9.6 million VND/season</w:t>
            </w:r>
          </w:p>
        </w:tc>
        <w:tc>
          <w:tcPr>
            <w:tcW w:type="dxa" w:w="2142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–20% = 2.4M VND</w:t>
            </w:r>
          </w:p>
        </w:tc>
      </w:tr>
      <w:tr>
        <w:tc>
          <w:tcPr>
            <w:tcW w:type="dxa" w:w="26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4A7A"/>
                <w:sz w:val="18"/>
                <w:szCs w:val="18"/>
              </w:rPr>
              <w:t xml:space="preserve">Coordination &amp; reporting labor</w:t>
            </w:r>
          </w:p>
        </w:tc>
        <w:tc>
          <w:tcPr>
            <w:tcW w:type="dxa" w:w="2142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~8 million VND/season</w:t>
            </w:r>
          </w:p>
        </w:tc>
        <w:tc>
          <w:tcPr>
            <w:tcW w:type="dxa" w:w="2142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~2 million VND/season</w:t>
            </w:r>
          </w:p>
        </w:tc>
        <w:tc>
          <w:tcPr>
            <w:tcW w:type="dxa" w:w="2142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–75% = 6.0M VND</w:t>
            </w:r>
          </w:p>
        </w:tc>
      </w:tr>
      <w:tr>
        <w:tc>
          <w:tcPr>
            <w:tcW w:type="dxa" w:w="26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4A7A"/>
                <w:sz w:val="18"/>
                <w:szCs w:val="18"/>
              </w:rPr>
              <w:t xml:space="preserve">Legal penalty risk (Decree 288 non-compliance)</w:t>
            </w:r>
          </w:p>
        </w:tc>
        <w:tc>
          <w:tcPr>
            <w:tcW w:type="dxa" w:w="2142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Unquantified — ongoing exposure</w:t>
            </w:r>
          </w:p>
        </w:tc>
        <w:tc>
          <w:tcPr>
            <w:tcW w:type="dxa" w:w="2142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Significantly reduced</w:t>
            </w:r>
          </w:p>
        </w:tc>
        <w:tc>
          <w:tcPr>
            <w:tcW w:type="dxa" w:w="2142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Compliance built-in</w:t>
            </w:r>
          </w:p>
        </w:tc>
      </w:tr>
      <w:tr>
        <w:tc>
          <w:tcPr>
            <w:tcW w:type="dxa" w:w="26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TOTAL ESTIMATED SAVINGS / SEASON</w:t>
            </w:r>
          </w:p>
        </w:tc>
        <w:tc>
          <w:tcPr>
            <w:tcW w:type="dxa" w:w="2142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2142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2142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~21.9 million VND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spacing w:after="80" w:before="60"/>
        <w:jc w:val="both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Platform operating cost estimate: ~1,200,000 VND/month (cloud infrastructure + API services). For a 3-month rice season, platform cost = 3,600,000 VND vs. estimated savings of 21,900,000 VND → Positive ROI from the first season of deployment.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spacing w:after="80" w:before="220"/>
      </w:pPr>
      <w:r>
        <w:rPr>
          <w:rFonts w:ascii="Calibri" w:cs="Calibri" w:eastAsia="Calibri" w:hAnsi="Calibri"/>
          <w:b/>
          <w:bCs/>
          <w:color w:val="2E4A7A"/>
          <w:sz w:val="22"/>
          <w:szCs w:val="22"/>
        </w:rPr>
        <w:t xml:space="preserve">3.4. Preliminary Cost-Benefit Metric Overview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313"/>
        <w:gridCol w:w="3313"/>
      </w:tblGrid>
      <w:tr>
        <w:trPr>
          <w:tblHeader/>
        </w:trPr>
        <w:tc>
          <w:tcPr>
            <w:tcW w:type="dxa" w:w="24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Key Metric</w:t>
            </w:r>
          </w:p>
        </w:tc>
        <w:tc>
          <w:tcPr>
            <w:tcW w:type="dxa" w:w="3313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Pre-System Baseline (AS-IS)</w:t>
            </w:r>
          </w:p>
        </w:tc>
        <w:tc>
          <w:tcPr>
            <w:tcW w:type="dxa" w:w="3313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Post-System Intervention Target</w:t>
            </w:r>
          </w:p>
        </w:tc>
      </w:tr>
      <w:tr>
        <w:tc>
          <w:tcPr>
            <w:tcW w:type="dxa" w:w="24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E4A7A"/>
                <w:sz w:val="19"/>
                <w:szCs w:val="19"/>
              </w:rPr>
              <w:t xml:space="preserve">Operational Fleet Cost / Season</w:t>
            </w:r>
          </w:p>
        </w:tc>
        <w:tc>
          <w:tcPr>
            <w:tcW w:type="dxa" w:w="3313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Baseline manual inefficiencies; costs inflated 15–20% through scheduling waste and deadhead flights.</w:t>
            </w:r>
          </w:p>
        </w:tc>
        <w:tc>
          <w:tcPr>
            <w:tcW w:type="dxa" w:w="3313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15–20% cost reduction via elimination of duplicate bookings and route optimization.</w:t>
            </w:r>
          </w:p>
        </w:tc>
      </w:tr>
      <w:tr>
        <w:tc>
          <w:tcPr>
            <w:tcW w:type="dxa" w:w="24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E4A7A"/>
                <w:sz w:val="19"/>
                <w:szCs w:val="19"/>
              </w:rPr>
              <w:t xml:space="preserve">Compliance Report Turnaround</w:t>
            </w:r>
          </w:p>
        </w:tc>
        <w:tc>
          <w:tcPr>
            <w:tcW w:type="dxa" w:w="3313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Requires 3–5 business days of manual data entry and paper compilation per reporting batch.</w:t>
            </w:r>
          </w:p>
        </w:tc>
        <w:tc>
          <w:tcPr>
            <w:tcW w:type="dxa" w:w="3313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Under 1 hour via automated compliance export engine (PDF/Excel).</w:t>
            </w:r>
          </w:p>
        </w:tc>
      </w:tr>
      <w:tr>
        <w:tc>
          <w:tcPr>
            <w:tcW w:type="dxa" w:w="24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E4A7A"/>
                <w:sz w:val="19"/>
                <w:szCs w:val="19"/>
              </w:rPr>
              <w:t xml:space="preserve">Critical Flight Safety Events</w:t>
            </w:r>
          </w:p>
        </w:tc>
        <w:tc>
          <w:tcPr>
            <w:tcW w:type="dxa" w:w="3313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Zero visibility; no geofencing — highly prone to infrastructure collision incidents.</w:t>
            </w:r>
          </w:p>
        </w:tc>
        <w:tc>
          <w:tcPr>
            <w:tcW w:type="dxa" w:w="3313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Proactive geofencing blocks drone entry into registered high-voltage transmission line corridors.</w:t>
            </w:r>
          </w:p>
        </w:tc>
      </w:tr>
      <w:tr>
        <w:tc>
          <w:tcPr>
            <w:tcW w:type="dxa" w:w="24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E4A7A"/>
                <w:sz w:val="19"/>
                <w:szCs w:val="19"/>
              </w:rPr>
              <w:t xml:space="preserve">Operator Activity Verification</w:t>
            </w:r>
          </w:p>
        </w:tc>
        <w:tc>
          <w:tcPr>
            <w:tcW w:type="dxa" w:w="3313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Entirely unverifiable; exposed to under-dosing and inflated flight hour claims.</w:t>
            </w:r>
          </w:p>
        </w:tc>
        <w:tc>
          <w:tcPr>
            <w:tcW w:type="dxa" w:w="3313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GPS-based field check-in/out protocols enforce verified physical presence at spray sites.</w:t>
            </w:r>
          </w:p>
        </w:tc>
      </w:tr>
      <w:tr>
        <w:tc>
          <w:tcPr>
            <w:tcW w:type="dxa" w:w="24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E4A7A"/>
                <w:sz w:val="19"/>
                <w:szCs w:val="19"/>
              </w:rPr>
              <w:t xml:space="preserve">Potential Annual Revenue (SOM)</w:t>
            </w:r>
          </w:p>
        </w:tc>
        <w:tc>
          <w:tcPr>
            <w:tcW w:type="dxa" w:w="3313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Not applicable — no platform revenue model exists.</w:t>
            </w:r>
          </w:p>
        </w:tc>
        <w:tc>
          <w:tcPr>
            <w:tcW w:type="dxa" w:w="3313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200 drones × 500,000 VND × 12 months = 1,200,000,000 VND/year (B2B SaaS model).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spacing w:after="80" w:before="220"/>
      </w:pPr>
      <w:r>
        <w:rPr>
          <w:rFonts w:ascii="Calibri" w:cs="Calibri" w:eastAsia="Calibri" w:hAnsi="Calibri"/>
          <w:b/>
          <w:bCs/>
          <w:color w:val="2E4A7A"/>
          <w:sz w:val="22"/>
          <w:szCs w:val="22"/>
        </w:rPr>
        <w:t xml:space="preserve">3.5. Business Value Summary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Operational Efficiency: 15–20% reduction in per-season operational costs — validated by Nguyen et al. (2026), N=940 farms surveyed.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Regulatory Compliance: Full alignment with Decree 288/2025/ND-CP — eliminates legal liability from non-compliant manual logging.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Flight Safety: Automated geofencing and power-line hazard alerts — directly address documented safety incidents (Long An 110kV collision, Dan Viet 2024).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Environmental Impact: Targeted dosage delivery reduces agrochemical wastage by 20–30%; water usage reduction up to 70% versus conventional spraying (Vietnam News, 2026).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First-Mover Advantage: Platform layer is entirely unoccupied in the Vietnamese agricultural UAV market — no domestic competitor currently operates at this coordination layer.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spacing w:after="120" w:before="340"/>
      </w:pPr>
      <w:r>
        <w:rPr>
          <w:rFonts w:ascii="Calibri" w:cs="Calibri" w:eastAsia="Calibri" w:hAnsi="Calibri"/>
          <w:b/>
          <w:bCs/>
          <w:color w:val="2E4A7A"/>
          <w:sz w:val="28"/>
          <w:szCs w:val="28"/>
        </w:rPr>
        <w:t xml:space="preserve">4. AI Artifact Audit Log — v1.1</w:t>
      </w:r>
    </w:p>
    <w:p>
      <w:pPr>
        <w:spacing w:after="80" w:before="60"/>
        <w:jc w:val="both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This audit log documents the iterative cycle of prompt engineering, human critique, and systematic refinement executed by Team 3 during Week 2. Entries continue from #04 in sequence with the Week 1 log (entries #01–#03). Each entry highlights the Human Delta — the critical scholarly adjustments made to correct generic AI gaps and anchor the analysis in local Vietnamese field realities.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1050"/>
        <w:gridCol w:w="580"/>
        <w:gridCol w:w="1900"/>
        <w:gridCol w:w="1950"/>
        <w:gridCol w:w="1696"/>
        <w:gridCol w:w="1550"/>
      </w:tblGrid>
      <w:tr>
        <w:trPr>
          <w:tblHeader/>
        </w:trPr>
        <w:tc>
          <w:tcPr>
            <w:tcW w:type="dxa" w:w="3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No.</w:t>
            </w:r>
          </w:p>
        </w:tc>
        <w:tc>
          <w:tcPr>
            <w:tcW w:type="dxa" w:w="105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DTC Component</w:t>
            </w:r>
          </w:p>
        </w:tc>
        <w:tc>
          <w:tcPr>
            <w:tcW w:type="dxa" w:w="58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AI Tool</w:t>
            </w:r>
          </w:p>
        </w:tc>
        <w:tc>
          <w:tcPr>
            <w:tcW w:type="dxa" w:w="19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Prompt (Full Context)</w:t>
            </w:r>
          </w:p>
        </w:tc>
        <w:tc>
          <w:tcPr>
            <w:tcW w:type="dxa" w:w="195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AI Output (Summary)</w:t>
            </w:r>
          </w:p>
        </w:tc>
        <w:tc>
          <w:tcPr>
            <w:tcW w:type="dxa" w:w="169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Decision &amp; Human Delta</w:t>
            </w:r>
          </w:p>
        </w:tc>
        <w:tc>
          <w:tcPr>
            <w:tcW w:type="dxa" w:w="155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Verification</w:t>
            </w:r>
          </w:p>
        </w:tc>
      </w:tr>
      <w:tr>
        <w:tc>
          <w:tcPr>
            <w:tcW w:type="dxa" w:w="3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04</w:t>
            </w:r>
          </w:p>
        </w:tc>
        <w:tc>
          <w:tcPr>
            <w:tcW w:type="dxa" w:w="105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E4A7A"/>
                <w:sz w:val="18"/>
                <w:szCs w:val="18"/>
              </w:rPr>
              <w:t xml:space="preserve">Decomposition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E4A7A"/>
                <w:sz w:val="18"/>
                <w:szCs w:val="18"/>
              </w:rPr>
              <w:t xml:space="preserve">(Stakeholder Mapping)</w:t>
            </w:r>
          </w:p>
        </w:tc>
        <w:tc>
          <w:tcPr>
            <w:tcW w:type="dxa" w:w="58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Claude</w:t>
            </w:r>
          </w:p>
        </w:tc>
        <w:tc>
          <w:tcPr>
            <w:tcW w:type="dxa" w:w="19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"Project: AgriUAV Platform for drone spraying in Mekong Delta. List all stakeholders, classify as Primary/Secondary/Regulatory, and outline core roles and expectations for each."</w:t>
            </w:r>
          </w:p>
        </w:tc>
        <w:tc>
          <w:tcPr>
            <w:tcW w:type="dxa" w:w="195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Suggested 6 general groups: Farmers, HTX, Pilots, Drone Manufacturers (DJI), Software Developers, and Local Government — totaling ~12 stakeholders.</w:t>
            </w:r>
          </w:p>
        </w:tc>
        <w:tc>
          <w:tcPr>
            <w:tcW w:type="dxa" w:w="169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8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✅ Accepted 5 core stakeholder groups.</w:t>
            </w:r>
          </w:p>
          <w:p>
            <w:pPr>
              <w:spacing w:after="28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❌ Removed 'Software Developer Team' — this is the project team, not an external stakeholder.</w:t>
            </w:r>
          </w:p>
          <w:p>
            <w:pPr>
              <w:spacing w:after="28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➕ SUPPLEMENTED 2 critical actors AI omitted:</w:t>
            </w:r>
          </w:p>
          <w:p>
            <w:pPr>
              <w:spacing w:after="28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• Operations Dept. / General Staff — sole authority for UAV flight permits under Decree 288/2025 (confirmed via Vietnam Naval News).</w:t>
            </w:r>
          </w:p>
          <w:p>
            <w:pPr>
              <w:spacing w:after="28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• Pesticide Retailers — essential for inventory/compliance integration in cooperative supply chains.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➕ Split generic 'Government' into 2 specific regulatory bodies: Plant Protection Dept. + Operations Dept.</w:t>
            </w:r>
          </w:p>
        </w:tc>
        <w:tc>
          <w:tcPr>
            <w:tcW w:type="dxa" w:w="155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Operations Dept. authority confirmed: Vietnam Naval News — 'all flight permit records must be submitted to Cuc Tac chien, causing administrative delays.'</w:t>
            </w:r>
          </w:p>
        </w:tc>
      </w:tr>
      <w:tr>
        <w:tc>
          <w:tcPr>
            <w:tcW w:type="dxa" w:w="3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05</w:t>
            </w:r>
          </w:p>
        </w:tc>
        <w:tc>
          <w:tcPr>
            <w:tcW w:type="dxa" w:w="105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E4A7A"/>
                <w:sz w:val="18"/>
                <w:szCs w:val="18"/>
              </w:rPr>
              <w:t xml:space="preserve">Decomposition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E4A7A"/>
                <w:sz w:val="18"/>
                <w:szCs w:val="18"/>
              </w:rPr>
              <w:t xml:space="preserve">(AS-IS Process Analysis)</w:t>
            </w:r>
          </w:p>
        </w:tc>
        <w:tc>
          <w:tcPr>
            <w:tcW w:type="dxa" w:w="58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Claude</w:t>
            </w:r>
          </w:p>
        </w:tc>
        <w:tc>
          <w:tcPr>
            <w:tcW w:type="dxa" w:w="19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"Decompose the AS-IS business process of an agricultural cooperative in Vietnam executing drone spraying services. List each step, the actor responsible, and pain points at each stage. Context: currently managed via Zalo/Excel."</w:t>
            </w:r>
          </w:p>
        </w:tc>
        <w:tc>
          <w:tcPr>
            <w:tcW w:type="dxa" w:w="195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Proposed a basic 4-step generic workflow: Intake → Dispatch → Execution → Reporting. Identified high-level pain points: lack of tracking, slow report compilation.</w:t>
            </w:r>
          </w:p>
        </w:tc>
        <w:tc>
          <w:tcPr>
            <w:tcW w:type="dxa" w:w="169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8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✅ Accepted 4-step structure as baseline.</w:t>
            </w:r>
          </w:p>
          <w:p>
            <w:pPr>
              <w:spacing w:after="28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➕ Expanded to 5 steps — added 'Monitoring &amp; Control' as a distinct phase (AI merged this into Execution).</w:t>
            </w:r>
          </w:p>
          <w:p>
            <w:pPr>
              <w:spacing w:after="28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➕ Localized pain points with field-verified data:</w:t>
            </w:r>
          </w:p>
          <w:p>
            <w:pPr>
              <w:spacing w:after="28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• Phase 3: Operators may under-dose chemicals or inflate flight hours; no audit trail — AI completely missed this risk.</w:t>
            </w:r>
          </w:p>
          <w:p>
            <w:pPr>
              <w:spacing w:after="28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• Phase 4: Integrated the documented 110kV power line collision in Long An (Dan Viet 2024) as concrete evidence for geofencing necessity.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• Phase 5: Linked compliance failure directly to Decree 288/2025/ND-CP specific requirements.</w:t>
            </w:r>
          </w:p>
        </w:tc>
        <w:tc>
          <w:tcPr>
            <w:tcW w:type="dxa" w:w="155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110kV incident: Dan Viet (2024) — drone collision in Long An Province, 76,000 customer blackout. Decree 288/2025/ND-CP text: Article on drone ID and pilot credential logging requirements.</w:t>
            </w:r>
          </w:p>
        </w:tc>
      </w:tr>
      <w:tr>
        <w:tc>
          <w:tcPr>
            <w:tcW w:type="dxa" w:w="3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06</w:t>
            </w:r>
          </w:p>
        </w:tc>
        <w:tc>
          <w:tcPr>
            <w:tcW w:type="dxa" w:w="105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E4A7A"/>
                <w:sz w:val="18"/>
                <w:szCs w:val="18"/>
              </w:rPr>
              <w:t xml:space="preserve">Process / Algorithm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E4A7A"/>
                <w:sz w:val="18"/>
                <w:szCs w:val="18"/>
              </w:rPr>
              <w:t xml:space="preserve">(Business Case Structure)</w:t>
            </w:r>
          </w:p>
        </w:tc>
        <w:tc>
          <w:tcPr>
            <w:tcW w:type="dxa" w:w="58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Claude</w:t>
            </w:r>
          </w:p>
        </w:tc>
        <w:tc>
          <w:tcPr>
            <w:tcW w:type="dxa" w:w="19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"Provide an industry-standard business case structure for an IS research project, including a preliminary ROI template and a formal problem statement formulation suitable for a university-level IS analysis project."</w:t>
            </w:r>
          </w:p>
        </w:tc>
        <w:tc>
          <w:tcPr>
            <w:tcW w:type="dxa" w:w="195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Provided a standard 5-part structure (Context → Problem → Impact → Solution → Scope) and a generic theoretical ROI formula: (cost saved / investment) × 100%.</w:t>
            </w:r>
          </w:p>
        </w:tc>
        <w:tc>
          <w:tcPr>
            <w:tcW w:type="dxa" w:w="169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8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✅ Adopted structural blueprint as foundation.</w:t>
            </w:r>
          </w:p>
          <w:p>
            <w:pPr>
              <w:spacing w:after="28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✅ Applied Mekong Delta data localization:</w:t>
            </w:r>
          </w:p>
          <w:p>
            <w:pPr>
              <w:spacing w:after="28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• Impact metric: 15–20% operational cost increase (Nguyen et al. 2026, N=940) — not AI's generic estimate.</w:t>
            </w:r>
          </w:p>
          <w:p>
            <w:pPr>
              <w:spacing w:after="28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• Market size: 1,215 drones across 3 provinces from Thanh Nien June 2025 — hard figures replacing AI's generic framing.</w:t>
            </w:r>
          </w:p>
          <w:p>
            <w:pPr>
              <w:spacing w:after="28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• Added HTX-level Cost-Benefit table (not in AI output): pesticide –30%, fuel –20%, labor –75% = ~21.9M VND savings/season vs. 3.6M VND platform cost → positive ROI from Season 1.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• Established 45% unmanaged area ratio as the addressable market segment (Nguyen 2026).</w:t>
            </w:r>
          </w:p>
        </w:tc>
        <w:tc>
          <w:tcPr>
            <w:tcW w:type="dxa" w:w="155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15–20% operational cost: Nguyen et al. (2026). Drone count by province: Thanh Nien (June 2025). Cost-benefit figures: team derivation from published operational benchmarks, conservative estimates.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spacing w:after="120" w:before="340"/>
      </w:pPr>
      <w:r>
        <w:rPr>
          <w:rFonts w:ascii="Calibri" w:cs="Calibri" w:eastAsia="Calibri" w:hAnsi="Calibri"/>
          <w:b/>
          <w:bCs/>
          <w:color w:val="2E4A7A"/>
          <w:sz w:val="28"/>
          <w:szCs w:val="28"/>
        </w:rPr>
        <w:t xml:space="preserve">5. Verified Academic &amp; Regulatory References</w:t>
      </w:r>
    </w:p>
    <w:p>
      <w:pPr>
        <w:spacing w:after="60" w:before="6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[1] Nguyen, D.L. et al. (2026). "The Effect of Farm Size on the Decision to Adopt Digital Technology: The Case of Unmanned Aerial Vehicles in Rice Production in Vietnam." Research on World Agricultural Economy. (N=940). https://journals.nasspublishing.com/index.php/rwae/article/view/2358</w:t>
      </w:r>
    </w:p>
    <w:p>
      <w:pPr>
        <w:spacing w:after="60" w:before="6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[2] Government of Vietnam. Decree No. 288/2025/ND-CP — Regulatory Framework for Unmanned Aerial Vehicle Flights and Light-UAV Digital Registry (Effective: November 05, 2025). https://thuvienphapluat.vn/van-ban/Giao-thong-Van-tai/Nghi-dinh-288-2025-ND-CP-quan-ly-tau-bay-khong-nguoi-lai-va-phuong-tien-bay-khac-679996.aspx</w:t>
      </w:r>
    </w:p>
    <w:p>
      <w:pPr>
        <w:spacing w:after="60" w:before="6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[3] Thanh Nien Newspaper. (June 2025). Province-Level Statistical Breakdown of Active Agricultural Drone Fleets in the Mekong Delta Region. https://thanhnien.vn/bung-no-uav-nong-nghiep-o-mien-tay-185250617232615926.htm</w:t>
      </w:r>
    </w:p>
    <w:p>
      <w:pPr>
        <w:spacing w:after="60" w:before="6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[4] Dan Viet Digital News. (2024). Investigation Report: Agricultural Drone Incident Involving 110kV Transmission Line Contact, Causing Outages for 76,000 Customers in Long An Province. https://tuoitre.vn/drone-phun-thuoc-tru-sau-va-vao-day-110kv-gay-mat-dien-o-5-huyen-tai-long-an-20241014173928997.htm</w:t>
      </w:r>
    </w:p>
    <w:p>
      <w:pPr>
        <w:spacing w:after="60" w:before="6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[5] Vietnam Naval News. (2024). Management of Unmanned Aerial Systems and Flight Permit Processes via the Operations Department (Cuc Tac chien). https://baohaiquanvietnam.vn/tin-tuc/quan-ly-thiet-bi-bay-khong-nguoi-lai-trong-nong-nghiep-khong-de-cong-nghe-tro-thanh-hiem-hoa</w:t>
      </w:r>
    </w:p>
    <w:p>
      <w:pPr>
        <w:spacing w:after="60" w:before="6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[6] Vietnam News. (2026). Use of Agricultural Drones on the Rise in the Mekong Delta. https://vietnamnews.vn/society/1688198/use-of-agricultural-drones-on-the-rise-in-the-mekong-delta.html</w:t>
      </w:r>
    </w:p>
    <w:p>
      <w:pPr>
        <w:spacing w:after="60" w:before="6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[7] Lao Dong Newspaper. (2025). Digital Transformation Gaps in Mekong Delta Cooperatives: The Unresolved Software Problem. https://laodong.vn/xa-hoi/drone-nong-nghiep-va-bai-toan-so-hoa-o-dbscl-1498970.ldo</w:t>
      </w:r>
    </w:p>
    <w:p>
      <w:pPr>
        <w:spacing w:after="60" w:before="6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[8] CropLife Vietnam. (2025). Forum: Making Drones an Effective Assistant for Farmers. https://croplifevietnam.org/toa-dam-dua-drone-tro-thanh-tro-thu-dac-luc-cua-nha-nong.html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2026-05-30T16:13:05.040Z</dcterms:created>
  <dcterms:modified xsi:type="dcterms:W3CDTF">2026-05-30T16:13:05.040Z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