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r>
    </w:p>
    <w:p>
      <w:r>
        <w:rPr>
          <w:b w:val="0"/>
          <w:i w:val="0"/>
        </w:rPr>
      </w:r>
    </w:p>
    <w:p>
      <w:r>
        <w:rPr>
          <w:b w:val="0"/>
          <w:i w:val="0"/>
        </w:rPr>
      </w:r>
    </w:p>
    <w:p>
      <w:pPr>
        <w:jc w:val="center"/>
      </w:pPr>
      <w:r>
        <w:rPr>
          <w:b/>
          <w:color w:val="A81D1D"/>
          <w:sz w:val="56"/>
        </w:rPr>
        <w:t>Manuel de formation</w:t>
      </w:r>
    </w:p>
    <w:p>
      <w:pPr>
        <w:jc w:val="center"/>
      </w:pPr>
      <w:r>
        <w:rPr>
          <w:b/>
          <w:sz w:val="40"/>
        </w:rPr>
        <w:t>interopRapprochement</w:t>
      </w:r>
    </w:p>
    <w:p>
      <w:pPr>
        <w:jc w:val="center"/>
      </w:pPr>
      <w:r>
        <w:rPr>
          <w:color w:val="5A5A5A"/>
          <w:sz w:val="26"/>
        </w:rPr>
        <w:t>Plateforme de reconciliation des transferts Wallet-to-Bank et Bank-to-Wallet</w:t>
        <w:br/>
        <w:t>MVOLA et Orange Money</w:t>
      </w:r>
    </w:p>
    <w:p>
      <w:r>
        <w:rPr>
          <w:b w:val="0"/>
          <w:i w:val="0"/>
        </w:rPr>
      </w:r>
    </w:p>
    <w:p>
      <w:r>
        <w:rPr>
          <w:b w:val="0"/>
          <w:i w:val="0"/>
        </w:rPr>
      </w:r>
    </w:p>
    <w:p>
      <w:r>
        <w:rPr>
          <w:b w:val="0"/>
          <w:i w:val="0"/>
        </w:rPr>
      </w:r>
    </w:p>
    <w:p>
      <w:r>
        <w:rPr>
          <w:b w:val="0"/>
          <w:i w:val="0"/>
        </w:rPr>
      </w:r>
    </w:p>
    <w:p>
      <w:r>
        <w:rPr>
          <w:b w:val="0"/>
          <w:i w:val="0"/>
        </w:rPr>
      </w:r>
    </w:p>
    <w:p>
      <w:r>
        <w:rPr>
          <w:b w:val="0"/>
          <w:i w:val="0"/>
        </w:rPr>
      </w:r>
    </w:p>
    <w:p>
      <w:pPr>
        <w:jc w:val="center"/>
      </w:pPr>
      <w:r>
        <w:rPr>
          <w:b/>
        </w:rPr>
        <w:t>PAMF Madagascar</w:t>
        <w:br/>
      </w:r>
      <w:r>
        <w:t>Version 1.0 – Septembre 2026</w:t>
        <w:br/>
      </w:r>
      <w:r>
        <w:t>Document interne – usage reserve aux utilisateurs de l’application</w:t>
      </w:r>
    </w:p>
    <w:p>
      <w:r>
        <w:br w:type="page"/>
      </w:r>
    </w:p>
    <w:p>
      <w:pPr>
        <w:pStyle w:val="Heading1"/>
      </w:pPr>
      <w:r>
        <w:t>Sommaire</w:t>
      </w:r>
    </w:p>
    <w:p>
      <w:r>
        <w:fldChar w:fldCharType="begin"/>
        <w:instrText xml:space="preserve">TOC \o "1-3" \h \z \u</w:instrText>
        <w:fldChar w:fldCharType="separate">
          <w:t>Clic droit sur cette zone puis « Mettre a jour les champs » pour generer le sommaire.</w:t>
        </w:fldChar>
        <w:fldChar w:fldCharType="end"/>
      </w:r>
    </w:p>
    <w:p>
      <w:r>
        <w:br w:type="page"/>
      </w:r>
    </w:p>
    <w:p>
      <w:pPr>
        <w:pStyle w:val="Heading1"/>
      </w:pPr>
      <w:r>
        <w:t>1. Presentation generale</w:t>
      </w:r>
    </w:p>
    <w:p>
      <w:pPr>
        <w:pStyle w:val="Heading2"/>
      </w:pPr>
      <w:r>
        <w:t>1.1 Objectif de l’outil</w:t>
      </w:r>
    </w:p>
    <w:p>
      <w:r>
        <w:rPr>
          <w:b w:val="0"/>
          <w:i w:val="0"/>
        </w:rPr>
        <w:t>interopRapprochement est l’outil interne PAMF de reconciliation des transferts de fonds entre le mobile money et le systeme bancaire (CBS). Il compare automatiquement deux sources de transactions pour chaque journee :</w:t>
      </w:r>
    </w:p>
    <w:p>
      <w:pPr>
        <w:pStyle w:val="ListBullet"/>
      </w:pPr>
      <w:r>
        <w:t>les transactions declarees par l’operateur mobile money (fichier MVOLA ou Orange Money) ;</w:t>
      </w:r>
    </w:p>
    <w:p>
      <w:pPr>
        <w:pStyle w:val="ListBullet"/>
      </w:pPr>
      <w:r>
        <w:t>les transactions effectivement traitees par le core bancaire PAMF (base CBS).</w:t>
      </w:r>
    </w:p>
    <w:p>
      <w:r>
        <w:rPr>
          <w:b w:val="0"/>
          <w:i w:val="0"/>
        </w:rPr>
        <w:t>Le but est de detecter automatiquement les ecarts entre ces deux sources (une transaction presente d’un cote et absente ou en echec de l’autre) afin de les faire traiter et regulariser par les equipes, avec un historique complet de qui a fait quoi et quand.</w:t>
      </w:r>
    </w:p>
    <w:p>
      <w:pPr>
        <w:pStyle w:val="Heading2"/>
      </w:pPr>
      <w:r>
        <w:t>1.2 Services couverts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rPr>
              <w:t>Service</w:t>
            </w:r>
          </w:p>
        </w:tc>
        <w:tc>
          <w:tcPr>
            <w:tcW w:type="dxa" w:w="2436"/>
          </w:tcPr>
          <w:p>
            <w:r/>
            <w:r>
              <w:rPr>
                <w:b/>
              </w:rPr>
              <w:t>Statut</w:t>
            </w:r>
          </w:p>
        </w:tc>
        <w:tc>
          <w:tcPr>
            <w:tcW w:type="dxa" w:w="2436"/>
          </w:tcPr>
          <w:p>
            <w:r/>
            <w:r>
              <w:rPr>
                <w:b/>
              </w:rPr>
              <w:t>Fichier source</w:t>
            </w:r>
          </w:p>
        </w:tc>
        <w:tc>
          <w:tcPr>
            <w:tcW w:type="dxa" w:w="2436"/>
          </w:tcPr>
          <w:p>
            <w:r/>
            <w:r>
              <w:rPr>
                <w:b/>
              </w:rPr>
              <w:t>Cle de rapprochement</w:t>
            </w:r>
          </w:p>
        </w:tc>
      </w:tr>
      <w:tr>
        <w:tc>
          <w:tcPr>
            <w:tcW w:type="dxa" w:w="2436"/>
          </w:tcPr>
          <w:p>
            <w:r>
              <w:t>MVOLA</w:t>
            </w:r>
          </w:p>
        </w:tc>
        <w:tc>
          <w:tcPr>
            <w:tcW w:type="dxa" w:w="2436"/>
          </w:tcPr>
          <w:p>
            <w:r>
              <w:t>Actif</w:t>
            </w:r>
          </w:p>
        </w:tc>
        <w:tc>
          <w:tcPr>
            <w:tcW w:type="dxa" w:w="2436"/>
          </w:tcPr>
          <w:p>
            <w:r>
              <w:t>CSV (YYYY-MM-DD_reporting_PAMF.csv)</w:t>
            </w:r>
          </w:p>
        </w:tc>
        <w:tc>
          <w:tcPr>
            <w:tcW w:type="dxa" w:w="2436"/>
          </w:tcPr>
          <w:p>
            <w:r>
              <w:t>TRANSID_MVOLA</w:t>
            </w:r>
          </w:p>
        </w:tc>
      </w:tr>
      <w:tr>
        <w:tc>
          <w:tcPr>
            <w:tcW w:type="dxa" w:w="2436"/>
          </w:tcPr>
          <w:p>
            <w:r>
              <w:t>Orange Money</w:t>
            </w:r>
          </w:p>
        </w:tc>
        <w:tc>
          <w:tcPr>
            <w:tcW w:type="dxa" w:w="2436"/>
          </w:tcPr>
          <w:p>
            <w:r>
              <w:t>Actif</w:t>
            </w:r>
          </w:p>
        </w:tc>
        <w:tc>
          <w:tcPr>
            <w:tcW w:type="dxa" w:w="2436"/>
          </w:tcPr>
          <w:p>
            <w:r>
              <w:t>XLS (Daily-ChannelUserTransactionReport-...)</w:t>
            </w:r>
          </w:p>
        </w:tc>
        <w:tc>
          <w:tcPr>
            <w:tcW w:type="dxa" w:w="2436"/>
          </w:tcPr>
          <w:p>
            <w:r>
              <w:t>transid_om</w:t>
            </w:r>
          </w:p>
        </w:tc>
      </w:tr>
      <w:tr>
        <w:tc>
          <w:tcPr>
            <w:tcW w:type="dxa" w:w="2436"/>
          </w:tcPr>
          <w:p>
            <w:r>
              <w:t>Airtel Money</w:t>
            </w:r>
          </w:p>
        </w:tc>
        <w:tc>
          <w:tcPr>
            <w:tcW w:type="dxa" w:w="2436"/>
          </w:tcPr>
          <w:p>
            <w:r>
              <w:t>A venir (affiche en attente dans le menu)</w:t>
            </w:r>
          </w:p>
        </w:tc>
        <w:tc>
          <w:tcPr>
            <w:tcW w:type="dxa" w:w="2436"/>
          </w:tcPr>
          <w:p>
            <w:r>
              <w:t>-</w:t>
            </w:r>
          </w:p>
        </w:tc>
        <w:tc>
          <w:tcPr>
            <w:tcW w:type="dxa" w:w="2436"/>
          </w:tcPr>
          <w:p>
            <w:r>
              <w:t>-</w:t>
            </w:r>
          </w:p>
        </w:tc>
      </w:tr>
    </w:tbl>
    <w:p/>
    <w:p>
      <w:pPr>
        <w:pStyle w:val="Heading2"/>
      </w:pPr>
      <w:r>
        <w:t>1.3 Principe general du rapprochement</w:t>
      </w:r>
    </w:p>
    <w:p>
      <w:r>
        <w:rPr>
          <w:b w:val="0"/>
          <w:i w:val="0"/>
        </w:rPr>
        <w:t>Pour chaque service, le traitement suit toujours le meme enchainement :</w:t>
      </w:r>
    </w:p>
    <w:p>
      <w:pPr>
        <w:pStyle w:val="ListNumber"/>
      </w:pPr>
      <w:r>
        <w:t>Un utilisateur autorise depose manuellement le fichier du jour (CSV MVOLA ou XLS Orange Money).</w:t>
      </w:r>
    </w:p>
    <w:p>
      <w:pPr>
        <w:pStyle w:val="ListNumber"/>
      </w:pPr>
      <w:r>
        <w:t>Un utilisateur autorise choisit une date (ou une plage de dates) et lance le rapprochement.</w:t>
      </w:r>
    </w:p>
    <w:p>
      <w:pPr>
        <w:pStyle w:val="ListNumber"/>
      </w:pPr>
      <w:r>
        <w:t>L’application interroge automatiquement la base CBS pour cette date : il n’y a pas d’ecran d’import manuel pour les donnees PAMF, cet appel est toujours declenche par le lancement du rapprochement.</w:t>
      </w:r>
    </w:p>
    <w:p>
      <w:pPr>
        <w:pStyle w:val="ListNumber"/>
      </w:pPr>
      <w:r>
        <w:t>Les deux jeux de donnees sont compares sur la cle de rapprochement (TRANSID). Chaque transaction obtient un statut : Rapprochee (SUCCESS), Orpheline MVOLA/OM, Orpheline PAMF, ou Doublon PAMF.</w:t>
      </w:r>
    </w:p>
    <w:p>
      <w:pPr>
        <w:pStyle w:val="ListNumber"/>
      </w:pPr>
      <w:r>
        <w:t>Un écart est cree automatiquement pour chaque transaction orpheline ou en doublon, avec une action recommandee, et une notification email est envoyee aux utilisateurs concernes.</w:t>
      </w:r>
    </w:p>
    <w:tbl>
      <w:tblPr>
        <w:tblW w:type="auto" w:w="0"/>
        <w:jc w:val="center"/>
        <w:tblLook w:firstColumn="1" w:firstRow="1" w:lastColumn="0" w:lastRow="0" w:noHBand="0" w:noVBand="1" w:val="04A0"/>
      </w:tblPr>
      <w:tblGrid>
        <w:gridCol w:w="9746"/>
      </w:tblGrid>
      <w:tr>
        <w:tc>
          <w:tcPr>
            <w:tcW w:type="dxa" w:w="9746"/>
            <w:shd w:val="clear" w:color="auto" w:fill="F8D7DA"/>
          </w:tcPr>
          <w:p>
            <w:r>
              <w:rPr>
                <w:b/>
              </w:rPr>
              <w:t xml:space="preserve">A retenir : </w:t>
            </w:r>
            <w:r>
              <w:t>relancer le rapprochement d’une date deja traitee EFFACE et RECALCULE entierement ses resultats. Tout le travail de traitement deja fait sur les ecarts de cette date (commentaires, statuts, tickets, pieces jointes) est perdu. Ne relancez une date que si c’est reellement necessaire (ex. donnees source corrigees).</w:t>
            </w:r>
          </w:p>
        </w:tc>
      </w:tr>
    </w:tbl>
    <w:p/>
    <w:p>
      <w:r>
        <w:br w:type="page"/>
      </w:r>
    </w:p>
    <w:p>
      <w:pPr>
        <w:pStyle w:val="Heading1"/>
      </w:pPr>
      <w:r>
        <w:t>2. Acces a l’application</w:t>
      </w:r>
    </w:p>
    <w:p>
      <w:pPr>
        <w:pStyle w:val="Heading2"/>
      </w:pPr>
      <w:r>
        <w:t>2.1 Creer un compte</w:t>
      </w:r>
    </w:p>
    <w:p>
      <w:r>
        <w:rPr>
          <w:b w:val="0"/>
          <w:i w:val="0"/>
        </w:rPr>
        <w:t>Depuis la page de connexion, cliquez sur « S’inscrire » et renseignez le formulaire d’inscription.</w:t>
      </w:r>
    </w:p>
    <w:p>
      <w:r>
        <w:rPr>
          <w:b w:val="0"/>
          <w:i w:val="0"/>
        </w:rPr>
        <w:t>Un email de validation est automatiquement envoye a l’adresse indiquee. Le compte reste inactif tant que le lien recu par email n’a pas ete ouvert : c’est cette validation qui active le compte et permet de se connecter.</w:t>
      </w:r>
    </w:p>
    <w:tbl>
      <w:tblPr>
        <w:tblW w:type="auto" w:w="0"/>
        <w:jc w:val="center"/>
        <w:tblLook w:firstColumn="1" w:firstRow="1" w:lastColumn="0" w:lastRow="0" w:noHBand="0" w:noVBand="1" w:val="04A0"/>
      </w:tblPr>
      <w:tblGrid>
        <w:gridCol w:w="9746"/>
      </w:tblGrid>
      <w:tr>
        <w:tc>
          <w:tcPr>
            <w:tcW w:type="dxa" w:w="9746"/>
            <w:shd w:val="clear" w:color="auto" w:fill="FFF3CD"/>
          </w:tcPr>
          <w:p>
            <w:r>
              <w:rPr>
                <w:b/>
              </w:rPr>
              <w:t xml:space="preserve">Remarque : </w:t>
            </w:r>
            <w:r>
              <w:t>un compte cree directement par un administrateur (menu Administration &gt; Utilisateurs) est actif immediatement et n’a pas besoin de cette validation par email.</w:t>
            </w:r>
          </w:p>
        </w:tc>
      </w:tr>
    </w:tbl>
    <w:p/>
    <w:p>
      <w:pPr>
        <w:pStyle w:val="Heading2"/>
      </w:pPr>
      <w:r>
        <w:t>2.2 Se connecter / se deconnecter</w:t>
      </w:r>
    </w:p>
    <w:p>
      <w:r>
        <w:rPr>
          <w:b w:val="0"/>
          <w:i w:val="0"/>
        </w:rPr>
        <w:t>Utilisez votre identifiant et votre mot de passe sur la page de connexion.</w:t>
      </w:r>
    </w:p>
    <w:p>
      <w:r>
        <w:rPr>
          <w:b w:val="0"/>
          <w:i w:val="0"/>
        </w:rPr>
        <w:t>Le bouton « Deconnexion » est disponible en haut a droite de l’ecran sur toutes les pages, une fois connecte.</w:t>
      </w:r>
    </w:p>
    <w:p>
      <w:pPr>
        <w:pStyle w:val="Heading2"/>
      </w:pPr>
      <w:r>
        <w:t>2.3 Roles et privileges : ce que vous pouvez voir et faire</w:t>
      </w:r>
    </w:p>
    <w:p>
      <w:r>
        <w:rPr>
          <w:b w:val="0"/>
          <w:i w:val="0"/>
        </w:rPr>
        <w:t>L’acces aux fonctionnalites depend des privileges accordes a votre compte via un ou plusieurs roles (attribues par un administrateur, cf. section 7). Les menus et boutons auxquels vous n’avez pas droit n’apparaissent simplement pas dans votre interface.</w:t>
      </w:r>
    </w:p>
    <w:tbl>
      <w:tblPr>
        <w:tblStyle w:val="LightGrid-Accent1"/>
        <w:tblW w:type="auto" w:w="0"/>
        <w:tblLook w:firstColumn="1" w:firstRow="1" w:lastColumn="0" w:lastRow="0" w:noHBand="0" w:noVBand="1" w:val="04A0"/>
      </w:tblPr>
      <w:tblGrid>
        <w:gridCol w:w="4873"/>
        <w:gridCol w:w="4873"/>
      </w:tblGrid>
      <w:tr>
        <w:tc>
          <w:tcPr>
            <w:tcW w:type="dxa" w:w="4873"/>
          </w:tcPr>
          <w:p>
            <w:r/>
            <w:r>
              <w:rPr>
                <w:b/>
              </w:rPr>
              <w:t>Privilege</w:t>
            </w:r>
          </w:p>
        </w:tc>
        <w:tc>
          <w:tcPr>
            <w:tcW w:type="dxa" w:w="4873"/>
          </w:tcPr>
          <w:p>
            <w:r/>
            <w:r>
              <w:rPr>
                <w:b/>
              </w:rPr>
              <w:t>Donne acces a</w:t>
            </w:r>
          </w:p>
        </w:tc>
      </w:tr>
      <w:tr>
        <w:tc>
          <w:tcPr>
            <w:tcW w:type="dxa" w:w="4873"/>
          </w:tcPr>
          <w:p>
            <w:r>
              <w:t>Importer un fichier CSV MVOLA</w:t>
            </w:r>
          </w:p>
        </w:tc>
        <w:tc>
          <w:tcPr>
            <w:tcW w:type="dxa" w:w="4873"/>
          </w:tcPr>
          <w:p>
            <w:r>
              <w:t>Deposer le fichier CSV MVOLA du jour</w:t>
            </w:r>
          </w:p>
        </w:tc>
      </w:tr>
      <w:tr>
        <w:tc>
          <w:tcPr>
            <w:tcW w:type="dxa" w:w="4873"/>
          </w:tcPr>
          <w:p>
            <w:r>
              <w:t>Importer un fichier Orange Money</w:t>
            </w:r>
          </w:p>
        </w:tc>
        <w:tc>
          <w:tcPr>
            <w:tcW w:type="dxa" w:w="4873"/>
          </w:tcPr>
          <w:p>
            <w:r>
              <w:t>Deposer le fichier XLS Orange Money du jour</w:t>
            </w:r>
          </w:p>
        </w:tc>
      </w:tr>
      <w:tr>
        <w:tc>
          <w:tcPr>
            <w:tcW w:type="dxa" w:w="4873"/>
          </w:tcPr>
          <w:p>
            <w:r>
              <w:t>Lancer un rapprochement</w:t>
            </w:r>
          </w:p>
        </w:tc>
        <w:tc>
          <w:tcPr>
            <w:tcW w:type="dxa" w:w="4873"/>
          </w:tcPr>
          <w:p>
            <w:r>
              <w:t>Declencher le rapprochement pour une date ou une plage de dates</w:t>
            </w:r>
          </w:p>
        </w:tc>
      </w:tr>
      <w:tr>
        <w:tc>
          <w:tcPr>
            <w:tcW w:type="dxa" w:w="4873"/>
          </w:tcPr>
          <w:p>
            <w:r>
              <w:t>Traiter les ecarts</w:t>
            </w:r>
          </w:p>
        </w:tc>
        <w:tc>
          <w:tcPr>
            <w:tcW w:type="dxa" w:w="4873"/>
          </w:tcPr>
          <w:p>
            <w:r>
              <w:t>Agir sur un ecart : changer son statut, commenter, joindre un fichier, enregistrer un ticket Aspekt, confirmer un rollback, choisir un posting en cas de doublon — y compris en mise a jour en masse</w:t>
            </w:r>
          </w:p>
        </w:tc>
      </w:tr>
      <w:tr>
        <w:tc>
          <w:tcPr>
            <w:tcW w:type="dxa" w:w="4873"/>
          </w:tcPr>
          <w:p>
            <w:r>
              <w:t>Gerer les roles et privileges</w:t>
            </w:r>
          </w:p>
        </w:tc>
        <w:tc>
          <w:tcPr>
            <w:tcW w:type="dxa" w:w="4873"/>
          </w:tcPr>
          <w:p>
            <w:r>
              <w:t>Creer/modifier/supprimer des roles (menu Administration)</w:t>
            </w:r>
          </w:p>
        </w:tc>
      </w:tr>
      <w:tr>
        <w:tc>
          <w:tcPr>
            <w:tcW w:type="dxa" w:w="4873"/>
          </w:tcPr>
          <w:p>
            <w:r>
              <w:t>Gerer les utilisateurs</w:t>
            </w:r>
          </w:p>
        </w:tc>
        <w:tc>
          <w:tcPr>
            <w:tcW w:type="dxa" w:w="4873"/>
          </w:tcPr>
          <w:p>
            <w:r>
              <w:t>Creer des utilisateurs, activer/desactiver, reinitialiser un mot de passe, assigner des roles</w:t>
            </w:r>
          </w:p>
        </w:tc>
      </w:tr>
      <w:tr>
        <w:tc>
          <w:tcPr>
            <w:tcW w:type="dxa" w:w="4873"/>
          </w:tcPr>
          <w:p>
            <w:r>
              <w:t>Consultation seule</w:t>
            </w:r>
          </w:p>
        </w:tc>
        <w:tc>
          <w:tcPr>
            <w:tcW w:type="dxa" w:w="4873"/>
          </w:tcPr>
          <w:p>
            <w:r>
              <w:t>Acces en lecture aux listes et details, sans aucune action de traitement</w:t>
            </w:r>
          </w:p>
        </w:tc>
      </w:tr>
    </w:tbl>
    <w:p/>
    <w:p>
      <w:r>
        <w:rPr>
          <w:b w:val="0"/>
          <w:i w:val="0"/>
        </w:rPr>
        <w:t>Tous les utilisateurs connectes, quel que soit leur role, peuvent consulter les listes de transactions et d’ecarts, ouvrir le detail d’un ecart, et utiliser les exports Excel/PDF.</w:t>
      </w:r>
    </w:p>
    <w:p>
      <w:r>
        <w:br w:type="page"/>
      </w:r>
    </w:p>
    <w:p>
      <w:pPr>
        <w:pStyle w:val="Heading1"/>
      </w:pPr>
      <w:r>
        <w:t>3. Prise en main de l’interface</w:t>
      </w:r>
    </w:p>
    <w:p>
      <w:pPr>
        <w:pStyle w:val="Heading2"/>
      </w:pPr>
      <w:r>
        <w:t>3.1 La barre laterale</w:t>
      </w:r>
    </w:p>
    <w:p>
      <w:r>
        <w:rPr>
          <w:b w:val="0"/>
          <w:i w:val="0"/>
        </w:rPr>
        <w:t>La colonne de gauche liste les services de reconciliation disponibles :</w:t>
      </w:r>
    </w:p>
    <w:p>
      <w:pPr>
        <w:pStyle w:val="ListBullet"/>
      </w:pPr>
      <w:r>
        <w:t>MVOLA</w:t>
      </w:r>
    </w:p>
    <w:p>
      <w:pPr>
        <w:pStyle w:val="ListBullet"/>
      </w:pPr>
      <w:r>
        <w:t>Orange Money</w:t>
      </w:r>
    </w:p>
    <w:p>
      <w:pPr>
        <w:pStyle w:val="ListBullet"/>
      </w:pPr>
      <w:r>
        <w:t>Airtel Money (grise, « bientot disponible » — aucune action possible pour l’instant)</w:t>
      </w:r>
    </w:p>
    <w:p>
      <w:r>
        <w:rPr>
          <w:b w:val="0"/>
          <w:i w:val="0"/>
        </w:rPr>
        <w:t>Une section « Administration » apparait en bas de la barre laterale uniquement pour les utilisateurs disposant du privilege « Gerer les roles » et/ou « Gerer les utilisateurs ».</w:t>
      </w:r>
    </w:p>
    <w:p>
      <w:pPr>
        <w:pStyle w:val="Heading2"/>
      </w:pPr>
      <w:r>
        <w:t>3.2 Organisation d’un ecran de service</w:t>
      </w:r>
    </w:p>
    <w:p>
      <w:r>
        <w:rPr>
          <w:b w:val="0"/>
          <w:i w:val="0"/>
        </w:rPr>
        <w:t>Chaque service (MVOLA, Orange Money) est organise en 4 onglets, dans cet ordre :</w:t>
      </w:r>
    </w:p>
    <w:p>
      <w:pPr>
        <w:pStyle w:val="ListNumber"/>
      </w:pPr>
      <w:r>
        <w:t>Import &lt;service&gt; — deposer le fichier du jour (necessite le privilege d’import correspondant) ;</w:t>
      </w:r>
    </w:p>
    <w:p>
      <w:pPr>
        <w:pStyle w:val="ListNumber"/>
      </w:pPr>
      <w:r>
        <w:t>Lancement rapprochement — lancer un rapprochement et consulter l’historique des rapprochements (necessite le privilege « Lancer un rapprochement ») ;</w:t>
      </w:r>
    </w:p>
    <w:p>
      <w:pPr>
        <w:pStyle w:val="ListNumber"/>
      </w:pPr>
      <w:r>
        <w:t>Transactions &lt;service&gt; — consulter la liste des transactions issues du fichier source ;</w:t>
      </w:r>
    </w:p>
    <w:p>
      <w:pPr>
        <w:pStyle w:val="ListNumber"/>
      </w:pPr>
      <w:r>
        <w:t>Transactions PAMF — consulter la liste des transactions issues de la base CBS ;</w:t>
      </w:r>
    </w:p>
    <w:p>
      <w:pPr>
        <w:pStyle w:val="ListNumber"/>
      </w:pPr>
      <w:r>
        <w:t>Ecarts — consulter et traiter les ecarts detectes.</w:t>
      </w:r>
    </w:p>
    <w:p>
      <w:r>
        <w:rPr>
          <w:b w:val="0"/>
          <w:i w:val="0"/>
        </w:rPr>
        <w:t>Les onglets Import et Lancement rapprochement n’apparaissent que si vous avez le privilege correspondant ; les onglets de consultation (Transactions, PAMF, Ecarts) sont toujours visibles.</w:t>
      </w:r>
    </w:p>
    <w:p>
      <w:pPr>
        <w:pStyle w:val="Heading2"/>
      </w:pPr>
      <w:r>
        <w:t>3.3 Filtres, pagination et export : le meme reflexe partout</w:t>
      </w:r>
    </w:p>
    <w:p>
      <w:r>
        <w:rPr>
          <w:b w:val="0"/>
          <w:i w:val="0"/>
        </w:rPr>
        <w:t>Toutes les listes de l’application (transactions MVOLA/OM, transactions PAMF, ecarts) fonctionnent de la meme maniere :</w:t>
      </w:r>
    </w:p>
    <w:p>
      <w:pPr>
        <w:pStyle w:val="ListBullet"/>
      </w:pPr>
      <w:r>
        <w:t>un formulaire de filtre en haut de l’ecran (dates, TRANSID, statut, etc.) — le tableau se met a jour automatiquement des qu’un filtre change, sans recharger la page ;</w:t>
      </w:r>
    </w:p>
    <w:p>
      <w:pPr>
        <w:pStyle w:val="ListBullet"/>
      </w:pPr>
      <w:r>
        <w:t>une pagination en bas de tableau (boutons Precedent / Suivant) ;</w:t>
      </w:r>
    </w:p>
    <w:p>
      <w:pPr>
        <w:pStyle w:val="ListBullet"/>
      </w:pPr>
      <w:r>
        <w:t>un bandeau au-dessus du tableau rappelant la source des donnees, les filtres actifs, le nombre total de lignes, et qui a genere l’affichage ;</w:t>
      </w:r>
    </w:p>
    <w:p>
      <w:pPr>
        <w:pStyle w:val="ListBullet"/>
      </w:pPr>
      <w:r>
        <w:t>deux boutons « Export Excel » et « Export PDF », qui exportent TOUTES les lignes correspondant aux filtres actifs (pas seulement la page affichee a l’ecran).</w:t>
      </w:r>
    </w:p>
    <w:p>
      <w:r>
        <w:br w:type="page"/>
      </w:r>
    </w:p>
    <w:p>
      <w:pPr>
        <w:pStyle w:val="Heading1"/>
      </w:pPr>
      <w:r>
        <w:t>4. Module MVOLA</w:t>
      </w:r>
    </w:p>
    <w:p>
      <w:pPr>
        <w:pStyle w:val="Heading2"/>
      </w:pPr>
      <w:r>
        <w:t>4.1 Importer le fichier CSV MVOLA</w:t>
      </w:r>
    </w:p>
    <w:p>
      <w:r>
        <w:rPr>
          <w:b w:val="0"/>
          <w:i w:val="0"/>
        </w:rPr>
        <w:t>Onglet « Import MVOLA ».</w:t>
      </w:r>
    </w:p>
    <w:p>
      <w:pPr>
        <w:pStyle w:val="ListNumber"/>
      </w:pPr>
      <w:r>
        <w:t>Cliquez sur le champ fichier et selectionnez le fichier du jour. Le nom doit respecter le format YYYY-MM-DD_reporting_PAMF.csv (ex. 2026-09-07_reporting_PAMF.csv).</w:t>
      </w:r>
    </w:p>
    <w:p>
      <w:pPr>
        <w:pStyle w:val="ListNumber"/>
      </w:pPr>
      <w:r>
        <w:t>Cliquez sur « Importer ».</w:t>
      </w:r>
    </w:p>
    <w:p>
      <w:pPr>
        <w:pStyle w:val="ListNumber"/>
      </w:pPr>
      <w:r>
        <w:t>Le resultat de l’import (nombre de lignes lues, inserees, doublons, erreurs) apparait dans l’historique des imports, en bas de la page.</w:t>
      </w:r>
    </w:p>
    <w:tbl>
      <w:tblPr>
        <w:tblW w:type="auto" w:w="0"/>
        <w:jc w:val="center"/>
        <w:tblLook w:firstColumn="1" w:firstRow="1" w:lastColumn="0" w:lastRow="0" w:noHBand="0" w:noVBand="1" w:val="04A0"/>
      </w:tblPr>
      <w:tblGrid>
        <w:gridCol w:w="9746"/>
      </w:tblGrid>
      <w:tr>
        <w:tc>
          <w:tcPr>
            <w:tcW w:type="dxa" w:w="9746"/>
            <w:shd w:val="clear" w:color="auto" w:fill="FFF3CD"/>
          </w:tcPr>
          <w:p>
            <w:r>
              <w:rPr>
                <w:b/>
              </w:rPr>
              <w:t xml:space="preserve">En cas d’erreur : </w:t>
            </w:r>
            <w:r>
              <w:t>un fichier mal nomme, avec un en-tete incorrect, ou contenant des doublons est rejete avec un message explicite. Verifiez le nom du fichier et son contenu avant de reessayer.</w:t>
            </w:r>
          </w:p>
        </w:tc>
      </w:tr>
    </w:tbl>
    <w:p/>
    <w:p>
      <w:pPr>
        <w:pStyle w:val="Heading2"/>
      </w:pPr>
      <w:r>
        <w:t>4.2 Lancer un rapprochement</w:t>
      </w:r>
    </w:p>
    <w:p>
      <w:r>
        <w:rPr>
          <w:b w:val="0"/>
          <w:i w:val="0"/>
        </w:rPr>
        <w:t>Onglet « Lancement rapprochement ».</w:t>
      </w:r>
    </w:p>
    <w:p>
      <w:pPr>
        <w:pStyle w:val="ListNumber"/>
      </w:pPr>
      <w:r>
        <w:t>Renseignez une date de debut (« Du ») et une date de fin (« Au »). Pour une seule journee, indiquez la meme date dans les deux champs.</w:t>
      </w:r>
    </w:p>
    <w:p>
      <w:pPr>
        <w:pStyle w:val="ListNumber"/>
      </w:pPr>
      <w:r>
        <w:t>Cliquez sur « Lancer le rapprochement ».</w:t>
      </w:r>
    </w:p>
    <w:p>
      <w:pPr>
        <w:pStyle w:val="ListNumber"/>
      </w:pPr>
      <w:r>
        <w:t>Une fenetre de progression s’affiche et traite chaque date de la plage l’une apres l’autre (succes ou echec affiche pour chaque date). Ne fermez pas ni ne rechargez la page pendant le traitement.</w:t>
      </w:r>
    </w:p>
    <w:tbl>
      <w:tblPr>
        <w:tblW w:type="auto" w:w="0"/>
        <w:jc w:val="center"/>
        <w:tblLook w:firstColumn="1" w:firstRow="1" w:lastColumn="0" w:lastRow="0" w:noHBand="0" w:noVBand="1" w:val="04A0"/>
      </w:tblPr>
      <w:tblGrid>
        <w:gridCol w:w="9746"/>
      </w:tblGrid>
      <w:tr>
        <w:tc>
          <w:tcPr>
            <w:tcW w:type="dxa" w:w="9746"/>
            <w:shd w:val="clear" w:color="auto" w:fill="FFF3CD"/>
          </w:tcPr>
          <w:p>
            <w:r>
              <w:rPr>
                <w:b/>
              </w:rPr>
              <w:t xml:space="preserve">Conditions requises : </w:t>
            </w:r>
            <w:r>
              <w:t>le fichier CSV MVOLA de la date doit deja avoir ete importe (etape 4.1), sinon le rapprochement de cette date echoue avec un message explicite. La plage de dates ne peut pas depasser 31 jours en une seule fois.</w:t>
            </w:r>
          </w:p>
        </w:tc>
      </w:tr>
    </w:tbl>
    <w:p/>
    <w:p>
      <w:pPr>
        <w:pStyle w:val="Heading2"/>
      </w:pPr>
      <w:r>
        <w:t>4.3 Consulter le detail d’un rapprochement</w:t>
      </w:r>
    </w:p>
    <w:p>
      <w:r>
        <w:rPr>
          <w:b w:val="0"/>
          <w:i w:val="0"/>
        </w:rPr>
        <w:t>Dans l’historique des rapprochements (meme onglet), chaque ligne indique les compteurs du jour (transactions MVOLA, PAMF, rapprochees, orphelines MVOLA, orphelines PAMF, doublons PAMF) et un bouton « Details » qui ouvre une fenetre avec 3 sous-onglets :</w:t>
      </w:r>
    </w:p>
    <w:p>
      <w:pPr>
        <w:pStyle w:val="ListBullet"/>
      </w:pPr>
      <w:r>
        <w:t>Transactions MVOLA — toutes les lignes du fichier importe pour cette date ;</w:t>
      </w:r>
    </w:p>
    <w:p>
      <w:pPr>
        <w:pStyle w:val="ListBullet"/>
      </w:pPr>
      <w:r>
        <w:t>Transactions PAMF — toutes les lignes remontees par la base CBS pour cette date ;</w:t>
      </w:r>
    </w:p>
    <w:p>
      <w:pPr>
        <w:pStyle w:val="ListBullet"/>
      </w:pPr>
      <w:r>
        <w:t>Orphelines — uniquement les transactions en ecart pour cette date.</w:t>
      </w:r>
    </w:p>
    <w:p>
      <w:pPr>
        <w:pStyle w:val="Heading2"/>
      </w:pPr>
      <w:r>
        <w:t>4.4 Consulter les transactions MVOLA</w:t>
      </w:r>
    </w:p>
    <w:p>
      <w:r>
        <w:rPr>
          <w:b w:val="0"/>
          <w:i w:val="0"/>
        </w:rPr>
        <w:t>Onglet « Transactions MVOLA » : filtrable par date, TRANSID, MSISDN, nom du client et type d’operation (WTB/BTW).</w:t>
      </w:r>
    </w:p>
    <w:p>
      <w:pPr>
        <w:pStyle w:val="Heading2"/>
      </w:pPr>
      <w:r>
        <w:t>4.5 Consulter les transactions PAMF</w:t>
      </w:r>
    </w:p>
    <w:p>
      <w:r>
        <w:rPr>
          <w:b w:val="0"/>
          <w:i w:val="0"/>
        </w:rPr>
        <w:t>Onglet « Transactions PAMF » : filtrable par date, TRANSID, rAutotransactionID (identifiant de la transaction cote CBS) et statut CBS (Succes/Echec).</w:t>
      </w:r>
    </w:p>
    <w:p>
      <w:r>
        <w:br w:type="page"/>
      </w:r>
    </w:p>
    <w:p>
      <w:pPr>
        <w:pStyle w:val="Heading1"/>
      </w:pPr>
      <w:r>
        <w:t>5. Module Orange Money</w:t>
      </w:r>
    </w:p>
    <w:p>
      <w:pPr>
        <w:pStyle w:val="Heading2"/>
      </w:pPr>
      <w:r>
        <w:t>5.1 Ce qui differe de MVOLA</w:t>
      </w:r>
    </w:p>
    <w:p>
      <w:r>
        <w:rPr>
          <w:b w:val="0"/>
          <w:i w:val="0"/>
        </w:rPr>
        <w:t>Le module Orange Money suit exactement le meme principe que MVOLA (import &gt; rapprochement &gt; ecarts), avec les differences suivantes :</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rPr>
            </w:r>
          </w:p>
        </w:tc>
        <w:tc>
          <w:tcPr>
            <w:tcW w:type="dxa" w:w="3249"/>
          </w:tcPr>
          <w:p>
            <w:r/>
            <w:r>
              <w:rPr>
                <w:b/>
              </w:rPr>
              <w:t>MVOLA</w:t>
            </w:r>
          </w:p>
        </w:tc>
        <w:tc>
          <w:tcPr>
            <w:tcW w:type="dxa" w:w="3249"/>
          </w:tcPr>
          <w:p>
            <w:r/>
            <w:r>
              <w:rPr>
                <w:b/>
              </w:rPr>
              <w:t>Orange Money</w:t>
            </w:r>
          </w:p>
        </w:tc>
      </w:tr>
      <w:tr>
        <w:tc>
          <w:tcPr>
            <w:tcW w:type="dxa" w:w="3249"/>
          </w:tcPr>
          <w:p>
            <w:r>
              <w:t>Fichier source</w:t>
            </w:r>
          </w:p>
        </w:tc>
        <w:tc>
          <w:tcPr>
            <w:tcW w:type="dxa" w:w="3249"/>
          </w:tcPr>
          <w:p>
            <w:r>
              <w:t>CSV (YYYY-MM-DD_reporting_PAMF.csv)</w:t>
            </w:r>
          </w:p>
        </w:tc>
        <w:tc>
          <w:tcPr>
            <w:tcW w:type="dxa" w:w="3249"/>
          </w:tcPr>
          <w:p>
            <w:r>
              <w:t>XLS (Daily-ChannelUserTransactionReport-&lt;compte&gt;-YYYYMMDD.xls)</w:t>
            </w:r>
          </w:p>
        </w:tc>
      </w:tr>
      <w:tr>
        <w:tc>
          <w:tcPr>
            <w:tcW w:type="dxa" w:w="3249"/>
          </w:tcPr>
          <w:p>
            <w:r>
              <w:t>Identifiant de transaction</w:t>
            </w:r>
          </w:p>
        </w:tc>
        <w:tc>
          <w:tcPr>
            <w:tcW w:type="dxa" w:w="3249"/>
          </w:tcPr>
          <w:p>
            <w:r>
              <w:t>TRANSID_MVOLA</w:t>
            </w:r>
          </w:p>
        </w:tc>
        <w:tc>
          <w:tcPr>
            <w:tcW w:type="dxa" w:w="3249"/>
          </w:tcPr>
          <w:p>
            <w:r>
              <w:t>transid_om (reference transactionnelle OM)</w:t>
            </w:r>
          </w:p>
        </w:tc>
      </w:tr>
      <w:tr>
        <w:tc>
          <w:tcPr>
            <w:tcW w:type="dxa" w:w="3249"/>
          </w:tcPr>
          <w:p>
            <w:r>
              <w:t>Privilege d’import</w:t>
            </w:r>
          </w:p>
        </w:tc>
        <w:tc>
          <w:tcPr>
            <w:tcW w:type="dxa" w:w="3249"/>
          </w:tcPr>
          <w:p>
            <w:r>
              <w:t>Importer un fichier CSV MVOLA</w:t>
            </w:r>
          </w:p>
        </w:tc>
        <w:tc>
          <w:tcPr>
            <w:tcW w:type="dxa" w:w="3249"/>
          </w:tcPr>
          <w:p>
            <w:r>
              <w:t>Importer un fichier Orange Money</w:t>
            </w:r>
          </w:p>
        </w:tc>
      </w:tr>
    </w:tbl>
    <w:p/>
    <w:p>
      <w:r>
        <w:rPr>
          <w:b w:val="0"/>
          <w:i w:val="0"/>
        </w:rPr>
        <w:t>A l’import du fichier Orange Money, seules les lignes au statut « Succes » sont conservees ; les lignes « Echec » sont comptabilisees a part et non importees.</w:t>
      </w:r>
    </w:p>
    <w:p>
      <w:pPr>
        <w:pStyle w:val="Heading2"/>
      </w:pPr>
      <w:r>
        <w:t>5.2 Importer le fichier Orange Money</w:t>
      </w:r>
    </w:p>
    <w:p>
      <w:r>
        <w:rPr>
          <w:b w:val="0"/>
          <w:i w:val="0"/>
        </w:rPr>
        <w:t>Onglet « Import Orange Money » : meme principe que pour MVOLA (section 4.1), avec un fichier .xls au lieu d’un .csv.</w:t>
      </w:r>
    </w:p>
    <w:p>
      <w:pPr>
        <w:pStyle w:val="Heading2"/>
      </w:pPr>
      <w:r>
        <w:t>5.3 Lancer un rapprochement / consulter le detail</w:t>
      </w:r>
    </w:p>
    <w:p>
      <w:r>
        <w:rPr>
          <w:b w:val="0"/>
          <w:i w:val="0"/>
        </w:rPr>
        <w:t>Identique a MVOLA (sections 4.2 et 4.3), onglet « Lancement rapprochement » du module Orange Money.</w:t>
      </w:r>
    </w:p>
    <w:p>
      <w:pPr>
        <w:pStyle w:val="Heading2"/>
      </w:pPr>
      <w:r>
        <w:t>5.4 Consulter les transactions Orange Money et PAMF</w:t>
      </w:r>
    </w:p>
    <w:p>
      <w:r>
        <w:rPr>
          <w:b w:val="0"/>
          <w:i w:val="0"/>
        </w:rPr>
        <w:t>Identique a MVOLA (sections 4.4 et 4.5), avec le filtre « Reference OM » a la place de « TRANSID ».</w:t>
      </w:r>
    </w:p>
    <w:p>
      <w:r>
        <w:br w:type="page"/>
      </w:r>
    </w:p>
    <w:p>
      <w:pPr>
        <w:pStyle w:val="Heading1"/>
      </w:pPr>
      <w:r>
        <w:t>6. Traiter les ecarts</w:t>
      </w:r>
    </w:p>
    <w:p>
      <w:pPr>
        <w:pStyle w:val="Heading2"/>
      </w:pPr>
      <w:r>
        <w:t>6.1 Les types d’ecart</w:t>
      </w:r>
    </w:p>
    <w:tbl>
      <w:tblPr>
        <w:tblStyle w:val="LightGrid-Accent1"/>
        <w:tblW w:type="auto" w:w="0"/>
        <w:tblLook w:firstColumn="1" w:firstRow="1" w:lastColumn="0" w:lastRow="0" w:noHBand="0" w:noVBand="1" w:val="04A0"/>
      </w:tblPr>
      <w:tblGrid>
        <w:gridCol w:w="4873"/>
        <w:gridCol w:w="4873"/>
      </w:tblGrid>
      <w:tr>
        <w:tc>
          <w:tcPr>
            <w:tcW w:type="dxa" w:w="4873"/>
          </w:tcPr>
          <w:p>
            <w:r/>
            <w:r>
              <w:rPr>
                <w:b/>
              </w:rPr>
              <w:t>Type d’ecart</w:t>
            </w:r>
          </w:p>
        </w:tc>
        <w:tc>
          <w:tcPr>
            <w:tcW w:type="dxa" w:w="4873"/>
          </w:tcPr>
          <w:p>
            <w:r/>
            <w:r>
              <w:rPr>
                <w:b/>
              </w:rPr>
              <w:t>Signification</w:t>
            </w:r>
          </w:p>
        </w:tc>
      </w:tr>
      <w:tr>
        <w:tc>
          <w:tcPr>
            <w:tcW w:type="dxa" w:w="4873"/>
          </w:tcPr>
          <w:p>
            <w:r>
              <w:t>Orpheline MVOLA / Orpheline OM</w:t>
            </w:r>
          </w:p>
        </w:tc>
        <w:tc>
          <w:tcPr>
            <w:tcW w:type="dxa" w:w="4873"/>
          </w:tcPr>
          <w:p>
            <w:r>
              <w:t>La transaction existe cote wallet mobile money mais est absente ou en echec cote CBS. C’est le cas le plus frequent (le wallet est debite en premier dans le flux Wallet-to-Bank).</w:t>
            </w:r>
          </w:p>
        </w:tc>
      </w:tr>
      <w:tr>
        <w:tc>
          <w:tcPr>
            <w:tcW w:type="dxa" w:w="4873"/>
          </w:tcPr>
          <w:p>
            <w:r>
              <w:t>Orpheline PAMF</w:t>
            </w:r>
          </w:p>
        </w:tc>
        <w:tc>
          <w:tcPr>
            <w:tcW w:type="dxa" w:w="4873"/>
          </w:tcPr>
          <w:p>
            <w:r>
              <w:t>La transaction existe cote CBS mais est absente du fichier wallet mobile money.</w:t>
            </w:r>
          </w:p>
        </w:tc>
      </w:tr>
      <w:tr>
        <w:tc>
          <w:tcPr>
            <w:tcW w:type="dxa" w:w="4873"/>
          </w:tcPr>
          <w:p>
            <w:r>
              <w:t>Doublon PAMF</w:t>
            </w:r>
          </w:p>
        </w:tc>
        <w:tc>
          <w:tcPr>
            <w:tcW w:type="dxa" w:w="4873"/>
          </w:tcPr>
          <w:p>
            <w:r>
              <w:t>Plusieurs lignes CBS correspondent a la meme transaction (paiement scinde par le CBS sur plusieurs comptes/prets) : une resolution manuelle est necessaire pour choisir la bonne ligne.</w:t>
            </w:r>
          </w:p>
        </w:tc>
      </w:tr>
    </w:tbl>
    <w:p/>
    <w:p>
      <w:pPr>
        <w:pStyle w:val="Heading2"/>
      </w:pPr>
      <w:r>
        <w:t>6.2 Comprendre l’action recommandee</w:t>
      </w:r>
    </w:p>
    <w:p>
      <w:r>
        <w:rPr>
          <w:b w:val="0"/>
          <w:i w:val="0"/>
        </w:rPr>
        <w:t>Pour une orpheline MVOLA/OM, l’application propose automatiquement une action, selon que la requete a atteint ou non le CBS :</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rPr>
              <w:t>Action recommandee</w:t>
            </w:r>
          </w:p>
        </w:tc>
        <w:tc>
          <w:tcPr>
            <w:tcW w:type="dxa" w:w="3249"/>
          </w:tcPr>
          <w:p>
            <w:r/>
            <w:r>
              <w:rPr>
                <w:b/>
              </w:rPr>
              <w:t>Situation</w:t>
            </w:r>
          </w:p>
        </w:tc>
        <w:tc>
          <w:tcPr>
            <w:tcW w:type="dxa" w:w="3249"/>
          </w:tcPr>
          <w:p>
            <w:r/>
            <w:r>
              <w:rPr>
                <w:b/>
              </w:rPr>
              <w:t>Ce que cela signifie</w:t>
            </w:r>
          </w:p>
        </w:tc>
      </w:tr>
      <w:tr>
        <w:tc>
          <w:tcPr>
            <w:tcW w:type="dxa" w:w="3249"/>
          </w:tcPr>
          <w:p>
            <w:r>
              <w:t>Creation ticket Aspekt</w:t>
            </w:r>
          </w:p>
        </w:tc>
        <w:tc>
          <w:tcPr>
            <w:tcW w:type="dxa" w:w="3249"/>
          </w:tcPr>
          <w:p>
            <w:r>
              <w:t>Une ligne CBS existe mais est en echec</w:t>
            </w:r>
          </w:p>
        </w:tc>
        <w:tc>
          <w:tcPr>
            <w:tcW w:type="dxa" w:w="3249"/>
          </w:tcPr>
          <w:p>
            <w:r>
              <w:t>La demande a bien atteint le CBS, qui peut donc corriger le traitement : creez un ticket dans Aspekt (hors de cette application) puis enregistrez sa reference.</w:t>
            </w:r>
          </w:p>
        </w:tc>
      </w:tr>
      <w:tr>
        <w:tc>
          <w:tcPr>
            <w:tcW w:type="dxa" w:w="3249"/>
          </w:tcPr>
          <w:p>
            <w:r>
              <w:t>Rollback cote MVOLA/OM</w:t>
            </w:r>
          </w:p>
        </w:tc>
        <w:tc>
          <w:tcPr>
            <w:tcW w:type="dxa" w:w="3249"/>
          </w:tcPr>
          <w:p>
            <w:r>
              <w:t>Aucune ligne CBS trouvee</w:t>
            </w:r>
          </w:p>
        </w:tc>
        <w:tc>
          <w:tcPr>
            <w:tcW w:type="dxa" w:w="3249"/>
          </w:tcPr>
          <w:p>
            <w:r>
              <w:t>La demande n’a meme pas atteint le CBS, qui n’a rien a corriger : le wallet doit etre credite en retour (rollback), a effectuer hors de cette application, puis a confirmer.</w:t>
            </w:r>
          </w:p>
        </w:tc>
      </w:tr>
      <w:tr>
        <w:tc>
          <w:tcPr>
            <w:tcW w:type="dxa" w:w="3249"/>
          </w:tcPr>
          <w:p>
            <w:r>
              <w:t>Choisir le posting PAMF de reference</w:t>
            </w:r>
          </w:p>
        </w:tc>
        <w:tc>
          <w:tcPr>
            <w:tcW w:type="dxa" w:w="3249"/>
          </w:tcPr>
          <w:p>
            <w:r>
              <w:t>Plusieurs lignes CBS pour la meme transaction</w:t>
            </w:r>
          </w:p>
        </w:tc>
        <w:tc>
          <w:tcPr>
            <w:tcW w:type="dxa" w:w="3249"/>
          </w:tcPr>
          <w:p>
            <w:r>
              <w:t>Comparez les lignes candidates (identifiant, heure, note, statut) et choisissez celle a retenir comme reference.</w:t>
            </w:r>
          </w:p>
        </w:tc>
      </w:tr>
    </w:tbl>
    <w:p/>
    <w:tbl>
      <w:tblPr>
        <w:tblW w:type="auto" w:w="0"/>
        <w:jc w:val="center"/>
        <w:tblLook w:firstColumn="1" w:firstRow="1" w:lastColumn="0" w:lastRow="0" w:noHBand="0" w:noVBand="1" w:val="04A0"/>
      </w:tblPr>
      <w:tblGrid>
        <w:gridCol w:w="9746"/>
      </w:tblGrid>
      <w:tr>
        <w:tc>
          <w:tcPr>
            <w:tcW w:type="dxa" w:w="9746"/>
            <w:shd w:val="clear" w:color="auto" w:fill="FFF3CD"/>
          </w:tcPr>
          <w:p>
            <w:r>
              <w:rPr>
                <w:b/>
              </w:rPr>
              <w:t xml:space="preserve">A savoir : </w:t>
            </w:r>
            <w:r>
              <w:t>l’application n’a pas d’acces en ecriture au wallet mobile money ni a Aspekt. Elle ne fait qu’afficher la recommandation et tracer l’action effectuee ailleurs par l’agent.</w:t>
            </w:r>
          </w:p>
        </w:tc>
      </w:tr>
    </w:tbl>
    <w:p/>
    <w:p>
      <w:pPr>
        <w:pStyle w:val="Heading2"/>
      </w:pPr>
      <w:r>
        <w:t>6.3 Consulter et filtrer la liste des ecarts</w:t>
      </w:r>
    </w:p>
    <w:p>
      <w:r>
        <w:rPr>
          <w:b w:val="0"/>
          <w:i w:val="0"/>
        </w:rPr>
        <w:t>Onglet « Ecarts » : filtrable par dates, TRANSID, type d’ecart, statut de traitement et action recommandee.</w:t>
      </w:r>
    </w:p>
    <w:tbl>
      <w:tblPr>
        <w:tblStyle w:val="LightGrid-Accent1"/>
        <w:tblW w:type="auto" w:w="0"/>
        <w:tblLook w:firstColumn="1" w:firstRow="1" w:lastColumn="0" w:lastRow="0" w:noHBand="0" w:noVBand="1" w:val="04A0"/>
      </w:tblPr>
      <w:tblGrid>
        <w:gridCol w:w="4873"/>
        <w:gridCol w:w="4873"/>
      </w:tblGrid>
      <w:tr>
        <w:tc>
          <w:tcPr>
            <w:tcW w:type="dxa" w:w="4873"/>
          </w:tcPr>
          <w:p>
            <w:r/>
            <w:r>
              <w:rPr>
                <w:b/>
              </w:rPr>
              <w:t>Statut de traitement</w:t>
            </w:r>
          </w:p>
        </w:tc>
        <w:tc>
          <w:tcPr>
            <w:tcW w:type="dxa" w:w="4873"/>
          </w:tcPr>
          <w:p>
            <w:r/>
            <w:r>
              <w:rPr>
                <w:b/>
              </w:rPr>
              <w:t>Signification</w:t>
            </w:r>
          </w:p>
        </w:tc>
      </w:tr>
      <w:tr>
        <w:tc>
          <w:tcPr>
            <w:tcW w:type="dxa" w:w="4873"/>
          </w:tcPr>
          <w:p>
            <w:r>
              <w:t>Detecte</w:t>
            </w:r>
          </w:p>
        </w:tc>
        <w:tc>
          <w:tcPr>
            <w:tcW w:type="dxa" w:w="4873"/>
          </w:tcPr>
          <w:p>
            <w:r>
              <w:t>Etat initial, aucune action encore effectuee</w:t>
            </w:r>
          </w:p>
        </w:tc>
      </w:tr>
      <w:tr>
        <w:tc>
          <w:tcPr>
            <w:tcW w:type="dxa" w:w="4873"/>
          </w:tcPr>
          <w:p>
            <w:r>
              <w:t>En cours de traitement</w:t>
            </w:r>
          </w:p>
        </w:tc>
        <w:tc>
          <w:tcPr>
            <w:tcW w:type="dxa" w:w="4873"/>
          </w:tcPr>
          <w:p>
            <w:r>
              <w:t>Un agent travaille sur cet ecart</w:t>
            </w:r>
          </w:p>
        </w:tc>
      </w:tr>
      <w:tr>
        <w:tc>
          <w:tcPr>
            <w:tcW w:type="dxa" w:w="4873"/>
          </w:tcPr>
          <w:p>
            <w:r>
              <w:t>Regularise</w:t>
            </w:r>
          </w:p>
        </w:tc>
        <w:tc>
          <w:tcPr>
            <w:tcW w:type="dxa" w:w="4873"/>
          </w:tcPr>
          <w:p>
            <w:r>
              <w:t>L’ecart est resolu</w:t>
            </w:r>
          </w:p>
        </w:tc>
      </w:tr>
    </w:tbl>
    <w:p/>
    <w:p>
      <w:pPr>
        <w:pStyle w:val="Heading2"/>
      </w:pPr>
      <w:r>
        <w:t>6.4 Ouvrir et traiter un ecart individuellement</w:t>
      </w:r>
    </w:p>
    <w:p>
      <w:r>
        <w:rPr>
          <w:b w:val="0"/>
          <w:i w:val="0"/>
        </w:rPr>
        <w:t>Cliquez sur « Details » sur une ligne de la liste des ecarts. L’ecran de detail permet de :</w:t>
      </w:r>
    </w:p>
    <w:p>
      <w:pPr>
        <w:pStyle w:val="ListBullet"/>
      </w:pPr>
      <w:r>
        <w:t>comparer cote a cote la transaction MVOLA/OM et la transaction PAMF (avec le contenu brut de la reponse CBS, repliable) ;</w:t>
      </w:r>
    </w:p>
    <w:p>
      <w:pPr>
        <w:pStyle w:val="ListBullet"/>
      </w:pPr>
      <w:r>
        <w:t>changer le statut de traitement (Detecte / En cours / Regularise) ;</w:t>
      </w:r>
    </w:p>
    <w:p>
      <w:pPr>
        <w:pStyle w:val="ListBullet"/>
      </w:pPr>
      <w:r>
        <w:t>ajouter un commentaire libre ;</w:t>
      </w:r>
    </w:p>
    <w:p>
      <w:pPr>
        <w:pStyle w:val="ListBullet"/>
      </w:pPr>
      <w:r>
        <w:t>joindre un fichier (preuve, capture d’ecran, echange email...) ;</w:t>
      </w:r>
    </w:p>
    <w:p>
      <w:pPr>
        <w:pStyle w:val="ListBullet"/>
      </w:pPr>
      <w:r>
        <w:t>selon l’action recommandee : enregistrer une reference de ticket Aspekt, confirmer un rollback effectue, ou choisir le posting PAMF de reference (cas de doublon) ;</w:t>
      </w:r>
    </w:p>
    <w:p>
      <w:pPr>
        <w:pStyle w:val="ListBullet"/>
      </w:pPr>
      <w:r>
        <w:t>consulter l’historique complet de l’ecart (qui, quand, quelle action), en bas de la page.</w:t>
      </w:r>
    </w:p>
    <w:p>
      <w:pPr>
        <w:pStyle w:val="Heading2"/>
      </w:pPr>
      <w:r>
        <w:t>6.5 Mise a jour en masse (plusieurs ecarts a la fois)</w:t>
      </w:r>
    </w:p>
    <w:p>
      <w:r>
        <w:rPr>
          <w:b w:val="0"/>
          <w:i w:val="0"/>
        </w:rPr>
        <w:t>Depuis la liste des ecarts (MVOLA ou Orange Money), il est possible d’appliquer la meme action a plusieurs ecarts en une seule fois :</w:t>
      </w:r>
    </w:p>
    <w:p>
      <w:pPr>
        <w:pStyle w:val="ListNumber"/>
      </w:pPr>
      <w:r>
        <w:t>Cochez les ecarts concernes dans la premiere colonne du tableau (ou utilisez la case « tout selectionner » en haut de colonne pour cocher toute la page affichee).</w:t>
      </w:r>
    </w:p>
    <w:p>
      <w:pPr>
        <w:pStyle w:val="ListNumber"/>
      </w:pPr>
      <w:r>
        <w:t>Choisissez l’action a appliquer dans la liste deroulante « Action en masse » : Changer le statut, Ajouter un commentaire, ou Enregistrer un ticket Aspekt.</w:t>
      </w:r>
    </w:p>
    <w:p>
      <w:pPr>
        <w:pStyle w:val="ListNumber"/>
      </w:pPr>
      <w:r>
        <w:t>Renseignez la valeur correspondante (le nouveau statut, le texte du commentaire, ou la reference du ticket).</w:t>
      </w:r>
    </w:p>
    <w:p>
      <w:pPr>
        <w:pStyle w:val="ListNumber"/>
      </w:pPr>
      <w:r>
        <w:t>Cliquez sur « Appliquer aux ecarts coches ».</w:t>
      </w:r>
    </w:p>
    <w:tbl>
      <w:tblPr>
        <w:tblW w:type="auto" w:w="0"/>
        <w:jc w:val="center"/>
        <w:tblLook w:firstColumn="1" w:firstRow="1" w:lastColumn="0" w:lastRow="0" w:noHBand="0" w:noVBand="1" w:val="04A0"/>
      </w:tblPr>
      <w:tblGrid>
        <w:gridCol w:w="9746"/>
      </w:tblGrid>
      <w:tr>
        <w:tc>
          <w:tcPr>
            <w:tcW w:type="dxa" w:w="9746"/>
            <w:shd w:val="clear" w:color="auto" w:fill="FFF3CD"/>
          </w:tcPr>
          <w:p>
            <w:r>
              <w:rPr>
                <w:b/>
              </w:rPr>
              <w:t xml:space="preserve">Limites : </w:t>
            </w:r>
            <w:r>
              <w:t>la selection « tout selectionner » ne porte que sur la page actuellement affichee (pas sur l’ensemble des pages du filtre). La piece jointe et la confirmation de rollback restent des actions individuelles, propres a chaque transaction, et ne sont pas disponibles en masse.</w:t>
            </w:r>
          </w:p>
        </w:tc>
      </w:tr>
    </w:tbl>
    <w:p/>
    <w:p>
      <w:pPr>
        <w:pStyle w:val="Heading2"/>
      </w:pPr>
      <w:r>
        <w:t>6.6 Notifications par email</w:t>
      </w:r>
    </w:p>
    <w:p>
      <w:r>
        <w:rPr>
          <w:b w:val="0"/>
          <w:i w:val="0"/>
        </w:rPr>
        <w:t>A chaque rapprochement qui detecte de nouveaux ecarts, un email recapitulatif est envoye automatiquement aux utilisateurs actifs ayant valide leur adresse email, ainsi qu’aux comptes administrateurs. Un rapprochement qui ne detecte aucun nouvel ecart n’envoie pas d’email.</w:t>
      </w:r>
    </w:p>
    <w:tbl>
      <w:tblPr>
        <w:tblW w:type="auto" w:w="0"/>
        <w:jc w:val="center"/>
        <w:tblLook w:firstColumn="1" w:firstRow="1" w:lastColumn="0" w:lastRow="0" w:noHBand="0" w:noVBand="1" w:val="04A0"/>
      </w:tblPr>
      <w:tblGrid>
        <w:gridCol w:w="9746"/>
      </w:tblGrid>
      <w:tr>
        <w:tc>
          <w:tcPr>
            <w:tcW w:type="dxa" w:w="9746"/>
            <w:shd w:val="clear" w:color="auto" w:fill="FFF3CD"/>
          </w:tcPr>
          <w:p>
            <w:r>
              <w:rPr>
                <w:b/>
              </w:rPr>
              <w:t xml:space="preserve">Important : </w:t>
            </w:r>
            <w:r>
              <w:t>relancer une date deja traitee recree tous ses ecarts : l’email envoye a la suite d’une relance contiendra alors TOUS les ecarts actuellement detectes pour cette date, pas seulement les nouveaux.</w:t>
            </w:r>
          </w:p>
        </w:tc>
      </w:tr>
    </w:tbl>
    <w:p/>
    <w:p>
      <w:r>
        <w:br w:type="page"/>
      </w:r>
    </w:p>
    <w:p>
      <w:pPr>
        <w:pStyle w:val="Heading1"/>
      </w:pPr>
      <w:r>
        <w:t>7. Administration (reserve aux administrateurs)</w:t>
      </w:r>
    </w:p>
    <w:p>
      <w:r>
        <w:rPr>
          <w:b w:val="0"/>
          <w:i w:val="0"/>
        </w:rPr>
        <w:t>Cette section concerne les utilisateurs disposant des privileges « Gerer les roles » et/ou « Gerer les utilisateurs ». Les ecrans correspondants apparaissent dans la section « Administration » de la barre laterale.</w:t>
      </w:r>
    </w:p>
    <w:p>
      <w:pPr>
        <w:pStyle w:val="Heading2"/>
      </w:pPr>
      <w:r>
        <w:t>7.1 Gerer les roles et privileges</w:t>
      </w:r>
    </w:p>
    <w:p>
      <w:r>
        <w:rPr>
          <w:b w:val="0"/>
          <w:i w:val="0"/>
        </w:rPr>
        <w:t>Menu Administration &gt; Roles.</w:t>
      </w:r>
    </w:p>
    <w:p>
      <w:pPr>
        <w:pStyle w:val="ListBullet"/>
      </w:pPr>
      <w:r>
        <w:t>Creer un role : bouton « Nouveau role », donnez-lui un nom et cochez les privileges souhaites (cf. tableau des privileges, section 2.3).</w:t>
      </w:r>
    </w:p>
    <w:p>
      <w:pPr>
        <w:pStyle w:val="ListBullet"/>
      </w:pPr>
      <w:r>
        <w:t>Modifier un role : bouton « Modifier » sur la ligne du role, pour ajouter ou retirer des privileges.</w:t>
      </w:r>
    </w:p>
    <w:p>
      <w:pPr>
        <w:pStyle w:val="ListBullet"/>
      </w:pPr>
      <w:r>
        <w:t>Supprimer un role : bouton « Supprimer » — impossible tant que le role est assigne a au moins un utilisateur (l’application l’indique clairement, il faut d’abord retirer le role de tous les utilisateurs concernes).</w:t>
      </w:r>
    </w:p>
    <w:p>
      <w:pPr>
        <w:pStyle w:val="Heading2"/>
      </w:pPr>
      <w:r>
        <w:t>7.2 Gerer les utilisateurs</w:t>
      </w:r>
    </w:p>
    <w:p>
      <w:r>
        <w:rPr>
          <w:b w:val="0"/>
          <w:i w:val="0"/>
        </w:rPr>
        <w:t>Menu Administration &gt; Utilisateurs.</w:t>
      </w:r>
    </w:p>
    <w:p>
      <w:pPr>
        <w:pStyle w:val="ListBullet"/>
      </w:pPr>
      <w:r>
        <w:t>Creer un utilisateur : bouton « Nouvel utilisateur » — le compte est actif immediatement, sans passer par la validation par email (contrairement a l’auto-inscription, cf. section 2.1).</w:t>
      </w:r>
    </w:p>
    <w:p>
      <w:pPr>
        <w:pStyle w:val="ListBullet"/>
      </w:pPr>
      <w:r>
        <w:t>Assigner des roles : bouton « Roles » sur la ligne de l’utilisateur.</w:t>
      </w:r>
    </w:p>
    <w:p>
      <w:pPr>
        <w:pStyle w:val="ListBullet"/>
      </w:pPr>
      <w:r>
        <w:t>Reinitialiser un mot de passe : bouton « Mot de passe » — l’administrateur definit directement le nouveau mot de passe (il n’existe pas encore de changement de mot de passe en libre-service par l’utilisateur lui-meme).</w:t>
      </w:r>
    </w:p>
    <w:p>
      <w:pPr>
        <w:pStyle w:val="ListBullet"/>
      </w:pPr>
      <w:r>
        <w:t>Activer / desactiver un compte : bouton correspondant sur la ligne de l’utilisateur. Un compte desactive ne peut plus se connecter. Vous ne pouvez pas desactiver votre propre compte.</w:t>
      </w:r>
    </w:p>
    <w:p>
      <w:r>
        <w:br w:type="page"/>
      </w:r>
    </w:p>
    <w:p>
      <w:pPr>
        <w:pStyle w:val="Heading1"/>
      </w:pPr>
      <w:r>
        <w:t>8. Questions frequentes</w:t>
      </w:r>
    </w:p>
    <w:p>
      <w:r>
        <w:rPr>
          <w:b/>
          <w:i w:val="0"/>
        </w:rPr>
        <w:t>Le rapprochement d’une date refuse de se lancer, pourquoi ?</w:t>
      </w:r>
    </w:p>
    <w:p>
      <w:r>
        <w:rPr>
          <w:b w:val="0"/>
          <w:i w:val="0"/>
        </w:rPr>
        <w:t>Le fichier source (CSV MVOLA ou XLS Orange Money) de cette date n’a probablement pas encore ete importe. Verifiez l’onglet Import du service concerne.</w:t>
      </w:r>
    </w:p>
    <w:p/>
    <w:p>
      <w:r>
        <w:rPr>
          <w:b/>
          <w:i w:val="0"/>
        </w:rPr>
        <w:t>Puis-je relancer un rapprochement deja fait pour corriger une erreur ?</w:t>
      </w:r>
    </w:p>
    <w:p>
      <w:r>
        <w:rPr>
          <w:b w:val="0"/>
          <w:i w:val="0"/>
        </w:rPr>
        <w:t>Oui, mais cela efface et recalcule entierement les resultats de cette date, y compris tout le travail de traitement des ecarts deja effectue (statuts, commentaires, tickets, pieces jointes). A n’utiliser qu’en connaissance de cause.</w:t>
      </w:r>
    </w:p>
    <w:p/>
    <w:p>
      <w:r>
        <w:rPr>
          <w:b/>
          <w:i w:val="0"/>
        </w:rPr>
        <w:t>Je ne vois pas certains onglets ou boutons, est-ce normal ?</w:t>
      </w:r>
    </w:p>
    <w:p>
      <w:r>
        <w:rPr>
          <w:b w:val="0"/>
          <w:i w:val="0"/>
        </w:rPr>
        <w:t>Oui : l’interface n’affiche que les fonctionnalites correspondant a vos privileges. Contactez un administrateur si vous pensez avoir besoin d’un acces supplementaire.</w:t>
      </w:r>
    </w:p>
    <w:p/>
    <w:p>
      <w:r>
        <w:rPr>
          <w:b/>
          <w:i w:val="0"/>
        </w:rPr>
        <w:t>Une transaction orpheline MVOLA n’a pas d’action recommandee affichee, pourquoi ?</w:t>
      </w:r>
    </w:p>
    <w:p>
      <w:r>
        <w:rPr>
          <w:b w:val="0"/>
          <w:i w:val="0"/>
        </w:rPr>
        <w:t>Cela concerne uniquement les orphelines MVOLA/OM (voir section 6.2) ; les orphelines PAMF n’ont pas d’action recommandee automatique car ce cas est plus rare et traite au cas par cas.</w:t>
      </w:r>
    </w:p>
    <w:p/>
    <w:p>
      <w:r>
        <w:rPr>
          <w:b/>
          <w:i w:val="0"/>
        </w:rPr>
        <w:t>A qui envoyer les references de ticket Aspekt ou de rollback ?</w:t>
      </w:r>
    </w:p>
    <w:p>
      <w:r>
        <w:rPr>
          <w:b w:val="0"/>
          <w:i w:val="0"/>
        </w:rPr>
        <w:t>Ces actions sont realisees en dehors de cette application (dans Aspekt, ou directement cote wallet mobile money) ; l’application sert uniquement a tracer que l’action a bien ete faite, via les boutons dedies sur l’ecran de detail d’un ecart.</w:t>
      </w:r>
    </w:p>
    <w:p/>
    <w:p>
      <w:r>
        <w:rPr>
          <w:b/>
          <w:i w:val="0"/>
        </w:rPr>
        <w:t>Qui contacter en cas de probleme technique (erreur, blocage, acces) ?</w:t>
      </w:r>
    </w:p>
    <w:p>
      <w:r>
        <w:rPr>
          <w:b w:val="0"/>
          <w:i w:val="0"/>
        </w:rPr>
        <w:t>Contactez l’equipe informatique / le referent applicatif interopRapprochement au sein de PAMF.</w:t>
      </w:r>
    </w:p>
    <w:p/>
    <w:p>
      <w:r>
        <w:br w:type="page"/>
      </w:r>
    </w:p>
    <w:p>
      <w:pPr>
        <w:pStyle w:val="Heading1"/>
      </w:pPr>
      <w:r>
        <w:t>9. Glossaire</w:t>
      </w:r>
    </w:p>
    <w:tbl>
      <w:tblPr>
        <w:tblStyle w:val="LightGrid-Accent1"/>
        <w:tblW w:type="auto" w:w="0"/>
        <w:tblLook w:firstColumn="1" w:firstRow="1" w:lastColumn="0" w:lastRow="0" w:noHBand="0" w:noVBand="1" w:val="04A0"/>
      </w:tblPr>
      <w:tblGrid>
        <w:gridCol w:w="4873"/>
        <w:gridCol w:w="4873"/>
      </w:tblGrid>
      <w:tr>
        <w:tc>
          <w:tcPr>
            <w:tcW w:type="dxa" w:w="4873"/>
          </w:tcPr>
          <w:p>
            <w:r/>
            <w:r>
              <w:rPr>
                <w:b/>
              </w:rPr>
              <w:t>Terme</w:t>
            </w:r>
          </w:p>
        </w:tc>
        <w:tc>
          <w:tcPr>
            <w:tcW w:type="dxa" w:w="4873"/>
          </w:tcPr>
          <w:p>
            <w:r/>
            <w:r>
              <w:rPr>
                <w:b/>
              </w:rPr>
              <w:t>Definition</w:t>
            </w:r>
          </w:p>
        </w:tc>
      </w:tr>
      <w:tr>
        <w:tc>
          <w:tcPr>
            <w:tcW w:type="dxa" w:w="4873"/>
          </w:tcPr>
          <w:p>
            <w:r>
              <w:t>WTB</w:t>
            </w:r>
          </w:p>
        </w:tc>
        <w:tc>
          <w:tcPr>
            <w:tcW w:type="dxa" w:w="4873"/>
          </w:tcPr>
          <w:p>
            <w:r>
              <w:t>Wallet-to-Bank : transfert d’argent du wallet mobile money vers un compte bancaire.</w:t>
            </w:r>
          </w:p>
        </w:tc>
      </w:tr>
      <w:tr>
        <w:tc>
          <w:tcPr>
            <w:tcW w:type="dxa" w:w="4873"/>
          </w:tcPr>
          <w:p>
            <w:r>
              <w:t>BTW</w:t>
            </w:r>
          </w:p>
        </w:tc>
        <w:tc>
          <w:tcPr>
            <w:tcW w:type="dxa" w:w="4873"/>
          </w:tcPr>
          <w:p>
            <w:r>
              <w:t>Bank-to-Wallet : transfert d’argent d’un compte bancaire vers le wallet mobile money.</w:t>
            </w:r>
          </w:p>
        </w:tc>
      </w:tr>
      <w:tr>
        <w:tc>
          <w:tcPr>
            <w:tcW w:type="dxa" w:w="4873"/>
          </w:tcPr>
          <w:p>
            <w:r>
              <w:t>CBS</w:t>
            </w:r>
          </w:p>
        </w:tc>
        <w:tc>
          <w:tcPr>
            <w:tcW w:type="dxa" w:w="4873"/>
          </w:tcPr>
          <w:p>
            <w:r>
              <w:t>Core Banking System : le systeme bancaire central de PAMF (base SQL Server).</w:t>
            </w:r>
          </w:p>
        </w:tc>
      </w:tr>
      <w:tr>
        <w:tc>
          <w:tcPr>
            <w:tcW w:type="dxa" w:w="4873"/>
          </w:tcPr>
          <w:p>
            <w:r>
              <w:t>TRANSID / transid_om</w:t>
            </w:r>
          </w:p>
        </w:tc>
        <w:tc>
          <w:tcPr>
            <w:tcW w:type="dxa" w:w="4873"/>
          </w:tcPr>
          <w:p>
            <w:r>
              <w:t>Identifiant unique d’une transaction, utilise pour rapprocher les deux sources.</w:t>
            </w:r>
          </w:p>
        </w:tc>
      </w:tr>
      <w:tr>
        <w:tc>
          <w:tcPr>
            <w:tcW w:type="dxa" w:w="4873"/>
          </w:tcPr>
          <w:p>
            <w:r>
              <w:t>rAutotransactionID</w:t>
            </w:r>
          </w:p>
        </w:tc>
        <w:tc>
          <w:tcPr>
            <w:tcW w:type="dxa" w:w="4873"/>
          </w:tcPr>
          <w:p>
            <w:r>
              <w:t>Identifiant technique d’une ligne de transaction cote CBS.</w:t>
            </w:r>
          </w:p>
        </w:tc>
      </w:tr>
      <w:tr>
        <w:tc>
          <w:tcPr>
            <w:tcW w:type="dxa" w:w="4873"/>
          </w:tcPr>
          <w:p>
            <w:r>
              <w:t>MSISDN</w:t>
            </w:r>
          </w:p>
        </w:tc>
        <w:tc>
          <w:tcPr>
            <w:tcW w:type="dxa" w:w="4873"/>
          </w:tcPr>
          <w:p>
            <w:r>
              <w:t>Numero de telephone mobile du client.</w:t>
            </w:r>
          </w:p>
        </w:tc>
      </w:tr>
      <w:tr>
        <w:tc>
          <w:tcPr>
            <w:tcW w:type="dxa" w:w="4873"/>
          </w:tcPr>
          <w:p>
            <w:r>
              <w:t>Ecart</w:t>
            </w:r>
          </w:p>
        </w:tc>
        <w:tc>
          <w:tcPr>
            <w:tcW w:type="dxa" w:w="4873"/>
          </w:tcPr>
          <w:p>
            <w:r>
              <w:t>Anomalie detectee entre les deux sources pour une transaction donnee.</w:t>
            </w:r>
          </w:p>
        </w:tc>
      </w:tr>
      <w:tr>
        <w:tc>
          <w:tcPr>
            <w:tcW w:type="dxa" w:w="4873"/>
          </w:tcPr>
          <w:p>
            <w:r>
              <w:t>Orpheline</w:t>
            </w:r>
          </w:p>
        </w:tc>
        <w:tc>
          <w:tcPr>
            <w:tcW w:type="dxa" w:w="4873"/>
          </w:tcPr>
          <w:p>
            <w:r>
              <w:t>Transaction presente d’un seul cote (MVOLA/OM ou PAMF), absente ou en echec de l’autre.</w:t>
            </w:r>
          </w:p>
        </w:tc>
      </w:tr>
      <w:tr>
        <w:tc>
          <w:tcPr>
            <w:tcW w:type="dxa" w:w="4873"/>
          </w:tcPr>
          <w:p>
            <w:r>
              <w:t>Doublon PAMF</w:t>
            </w:r>
          </w:p>
        </w:tc>
        <w:tc>
          <w:tcPr>
            <w:tcW w:type="dxa" w:w="4873"/>
          </w:tcPr>
          <w:p>
            <w:r>
              <w:t>Plusieurs lignes CBS correspondant a la meme transaction (paiement scinde).</w:t>
            </w:r>
          </w:p>
        </w:tc>
      </w:tr>
      <w:tr>
        <w:tc>
          <w:tcPr>
            <w:tcW w:type="dxa" w:w="4873"/>
          </w:tcPr>
          <w:p>
            <w:r>
              <w:t>Rapprochement</w:t>
            </w:r>
          </w:p>
        </w:tc>
        <w:tc>
          <w:tcPr>
            <w:tcW w:type="dxa" w:w="4873"/>
          </w:tcPr>
          <w:p>
            <w:r>
              <w:t>Le traitement, lance pour une date donnee, qui compare les deux sources.</w:t>
            </w:r>
          </w:p>
        </w:tc>
      </w:tr>
      <w:tr>
        <w:tc>
          <w:tcPr>
            <w:tcW w:type="dxa" w:w="4873"/>
          </w:tcPr>
          <w:p>
            <w:r>
              <w:t>Aspekt</w:t>
            </w:r>
          </w:p>
        </w:tc>
        <w:tc>
          <w:tcPr>
            <w:tcW w:type="dxa" w:w="4873"/>
          </w:tcPr>
          <w:p>
            <w:r>
              <w:t>Outil externe de gestion de tickets utilise pour la regularisation manuelle cote CBS.</w:t>
            </w:r>
          </w:p>
        </w:tc>
      </w:tr>
    </w:tbl>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A81D1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A81D1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A5A5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