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</w:pPr>
      <w:r>
        <w:rPr>
          <w:rFonts w:ascii="Noto Sans KR" w:hAnsi="Noto Sans KR" w:eastAsia="Noto Sans KR"/>
          <w:b/>
          <w:color w:val="637783"/>
          <w:sz w:val="14"/>
        </w:rPr>
        <w:t>RESEARCH KNOWLEDGE / CONCEPT ONE-PAGER</w:t>
      </w:r>
    </w:p>
    <w:p>
      <w:pPr>
        <w:spacing w:before="0" w:after="20" w:line="240" w:lineRule="auto"/>
      </w:pPr>
      <w:r>
        <w:rPr>
          <w:rFonts w:ascii="Noto Sans KR" w:hAnsi="Noto Sans KR" w:eastAsia="Noto Sans KR"/>
          <w:b w:val="0"/>
          <w:color w:val="111820"/>
          <w:sz w:val="34"/>
        </w:rPr>
        <w:t>Alpha 합성 한 장 이해하기</w:t>
      </w:r>
    </w:p>
    <w:p>
      <w:pPr>
        <w:spacing w:before="0" w:after="100" w:line="240" w:lineRule="auto"/>
      </w:pPr>
      <w:r>
        <w:rPr>
          <w:rFonts w:ascii="Noto Sans KR" w:hAnsi="Noto Sans KR" w:eastAsia="Noto Sans KR"/>
          <w:b w:val="0"/>
          <w:color w:val="48545E"/>
          <w:sz w:val="17"/>
        </w:rPr>
        <w:t>투명도와 레이어가 최종 이미지를 만드는 방식</w:t>
      </w:r>
    </w:p>
    <w:p>
      <w:pPr>
        <w:spacing w:before="0" w:after="20" w:line="240" w:lineRule="auto"/>
      </w:pPr>
      <w:r>
        <w:rPr>
          <w:rFonts w:ascii="Noto Sans KR" w:hAnsi="Noto Sans KR" w:eastAsia="Noto Sans KR"/>
          <w:b/>
          <w:color w:val="111820"/>
          <w:sz w:val="17"/>
        </w:rPr>
        <w:t>01. 한 줄 정의</w:t>
      </w:r>
    </w:p>
    <w:p>
      <w:pPr>
        <w:spacing w:before="0" w:after="80" w:line="240" w:lineRule="auto"/>
      </w:pPr>
      <w:r>
        <w:rPr>
          <w:rFonts w:ascii="Noto Sans KR" w:hAnsi="Noto Sans KR" w:eastAsia="Noto Sans KR"/>
          <w:b w:val="0"/>
          <w:color w:val="48545E"/>
          <w:sz w:val="16"/>
        </w:rPr>
        <w:t>Alpha 합성은 앞 이미지의 투명도(Alpha)를 기준으로 앞·뒤 픽셀의 색을 섞어 한 화면으로 만드는 계산입니다.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2D9DE"/>
          <w:left w:val="single" w:sz="4" w:space="0" w:color="D2D9DE"/>
          <w:bottom w:val="single" w:sz="4" w:space="0" w:color="D2D9DE"/>
          <w:right w:val="single" w:sz="4" w:space="0" w:color="D2D9DE"/>
          <w:insideH w:val="single" w:sz="4" w:space="0" w:color="D2D9DE"/>
          <w:insideV w:val="single" w:sz="4" w:space="0" w:color="D2D9DE"/>
        </w:tblBorders>
      </w:tblPr>
      <w:tblGrid>
        <w:gridCol w:w="1515"/>
        <w:gridCol w:w="1515"/>
        <w:gridCol w:w="1515"/>
        <w:gridCol w:w="1515"/>
        <w:gridCol w:w="1515"/>
        <w:gridCol w:w="1515"/>
        <w:gridCol w:w="1515"/>
      </w:tblGrid>
      <w:tr>
        <w:tc>
          <w:tcPr>
            <w:tcW w:type="dxa" w:w="2331"/>
            <w:vAlign w:val="center"/>
            <w:shd w:fill="F0E0E3"/>
          </w:tcPr>
          <w:p>
            <w:pPr>
              <w:spacing w:after="0" w:line="228" w:lineRule="auto"/>
              <w:jc w:val="center"/>
            </w:pPr>
            <w:r>
              <w:rPr>
                <w:rFonts w:ascii="Noto Sans KR" w:hAnsi="Noto Sans KR" w:eastAsia="Noto Sans KR"/>
                <w:b w:val="0"/>
                <w:color w:val="111820"/>
                <w:sz w:val="13"/>
              </w:rPr>
              <w:t>전경 레이어</w:t>
            </w:r>
          </w:p>
        </w:tc>
        <w:tc>
          <w:tcPr>
            <w:tcW w:type="dxa" w:w="369"/>
            <w:vAlign w:val="center"/>
          </w:tcPr>
          <w:p>
            <w:pPr>
              <w:spacing w:after="0" w:line="228" w:lineRule="auto"/>
              <w:jc w:val="center"/>
            </w:pPr>
            <w:r>
              <w:rPr>
                <w:rFonts w:ascii="Noto Sans KR" w:hAnsi="Noto Sans KR" w:eastAsia="Noto Sans KR"/>
                <w:b/>
                <w:color w:val="111820"/>
                <w:sz w:val="13"/>
              </w:rPr>
              <w:t>→</w:t>
            </w:r>
          </w:p>
        </w:tc>
        <w:tc>
          <w:tcPr>
            <w:tcW w:type="dxa" w:w="2331"/>
            <w:vAlign w:val="center"/>
            <w:shd w:fill="DCE6EC"/>
          </w:tcPr>
          <w:p>
            <w:pPr>
              <w:spacing w:after="0" w:line="228" w:lineRule="auto"/>
              <w:jc w:val="center"/>
            </w:pPr>
            <w:r>
              <w:rPr>
                <w:rFonts w:ascii="Noto Sans KR" w:hAnsi="Noto Sans KR" w:eastAsia="Noto Sans KR"/>
                <w:b w:val="0"/>
                <w:color w:val="111820"/>
                <w:sz w:val="13"/>
              </w:rPr>
              <w:t>Alpha 계산</w:t>
            </w:r>
          </w:p>
        </w:tc>
        <w:tc>
          <w:tcPr>
            <w:tcW w:type="dxa" w:w="369"/>
            <w:vAlign w:val="center"/>
          </w:tcPr>
          <w:p>
            <w:pPr>
              <w:spacing w:after="0" w:line="228" w:lineRule="auto"/>
              <w:jc w:val="center"/>
            </w:pPr>
            <w:r>
              <w:rPr>
                <w:rFonts w:ascii="Noto Sans KR" w:hAnsi="Noto Sans KR" w:eastAsia="Noto Sans KR"/>
                <w:b/>
                <w:color w:val="111820"/>
                <w:sz w:val="13"/>
              </w:rPr>
              <w:t>→</w:t>
            </w:r>
          </w:p>
        </w:tc>
        <w:tc>
          <w:tcPr>
            <w:tcW w:type="dxa" w:w="2331"/>
            <w:vAlign w:val="center"/>
            <w:shd w:fill="D9E6DF"/>
          </w:tcPr>
          <w:p>
            <w:pPr>
              <w:spacing w:after="0" w:line="228" w:lineRule="auto"/>
              <w:jc w:val="center"/>
            </w:pPr>
            <w:r>
              <w:rPr>
                <w:rFonts w:ascii="Noto Sans KR" w:hAnsi="Noto Sans KR" w:eastAsia="Noto Sans KR"/>
                <w:b w:val="0"/>
                <w:color w:val="111820"/>
                <w:sz w:val="13"/>
              </w:rPr>
              <w:t>배경 결합</w:t>
            </w:r>
          </w:p>
        </w:tc>
        <w:tc>
          <w:tcPr>
            <w:tcW w:type="dxa" w:w="369"/>
            <w:vAlign w:val="center"/>
          </w:tcPr>
          <w:p>
            <w:pPr>
              <w:spacing w:after="0" w:line="228" w:lineRule="auto"/>
              <w:jc w:val="center"/>
            </w:pPr>
            <w:r>
              <w:rPr>
                <w:rFonts w:ascii="Noto Sans KR" w:hAnsi="Noto Sans KR" w:eastAsia="Noto Sans KR"/>
                <w:b/>
                <w:color w:val="111820"/>
                <w:sz w:val="13"/>
              </w:rPr>
              <w:t>→</w:t>
            </w:r>
          </w:p>
        </w:tc>
        <w:tc>
          <w:tcPr>
            <w:tcW w:type="dxa" w:w="2331"/>
            <w:vAlign w:val="center"/>
            <w:shd w:fill="EEE7D7"/>
          </w:tcPr>
          <w:p>
            <w:pPr>
              <w:spacing w:after="0" w:line="228" w:lineRule="auto"/>
              <w:jc w:val="center"/>
            </w:pPr>
            <w:r>
              <w:rPr>
                <w:rFonts w:ascii="Noto Sans KR" w:hAnsi="Noto Sans KR" w:eastAsia="Noto Sans KR"/>
                <w:b w:val="0"/>
                <w:color w:val="111820"/>
                <w:sz w:val="13"/>
              </w:rPr>
              <w:t>합성 화면</w:t>
            </w:r>
          </w:p>
        </w:tc>
      </w:tr>
    </w:tbl>
    <w:p>
      <w:pPr>
        <w:spacing w:before="0" w:after="40" w:line="240" w:lineRule="auto"/>
      </w:pPr>
      <w:r>
        <w:rPr>
          <w:rFonts w:ascii="Noto Sans KR" w:hAnsi="Noto Sans KR" w:eastAsia="Noto Sans KR"/>
          <w:b w:val="0"/>
          <w:color w:val="48545E"/>
          <w:sz w:val="2"/>
        </w:rPr>
      </w:r>
    </w:p>
    <w:p>
      <w:pPr>
        <w:spacing w:before="20" w:after="10" w:line="240" w:lineRule="auto"/>
      </w:pPr>
      <w:r>
        <w:rPr>
          <w:rFonts w:ascii="Noto Sans KR" w:hAnsi="Noto Sans KR" w:eastAsia="Noto Sans KR"/>
          <w:b/>
          <w:color w:val="111820"/>
          <w:sz w:val="17"/>
        </w:rPr>
        <w:t>02. 왜 알아야 하는가</w:t>
      </w:r>
    </w:p>
    <w:p>
      <w:pPr>
        <w:spacing w:before="0" w:after="40" w:line="240" w:lineRule="auto"/>
      </w:pPr>
      <w:r>
        <w:rPr>
          <w:rFonts w:ascii="Noto Sans KR" w:hAnsi="Noto Sans KR" w:eastAsia="Noto Sans KR"/>
          <w:b w:val="0"/>
          <w:color w:val="48545E"/>
          <w:sz w:val="15"/>
        </w:rPr>
        <w:t>AI 이미지 편집에서 결과를 RGBA 레이어로 나누어도, 다시 합쳤을 때 의도한 화면이 나오지 않으면 재사용성이 낮습니다. LayerEditor는 편집 이미지와 레이어를 함께 예측하므로 합성 결과를 별도로 확인해야 합니다.</w:t>
      </w:r>
    </w:p>
    <w:p>
      <w:pPr>
        <w:spacing w:before="20" w:after="10" w:line="240" w:lineRule="auto"/>
      </w:pPr>
      <w:r>
        <w:rPr>
          <w:rFonts w:ascii="Noto Sans KR" w:hAnsi="Noto Sans KR" w:eastAsia="Noto Sans KR"/>
          <w:b/>
          <w:color w:val="111820"/>
          <w:sz w:val="17"/>
        </w:rPr>
        <w:t>03. 쉬운 비유와 작동 원리</w:t>
      </w:r>
    </w:p>
    <w:p>
      <w:pPr>
        <w:spacing w:before="0" w:after="40" w:line="240" w:lineRule="auto"/>
      </w:pPr>
      <w:r>
        <w:rPr>
          <w:rFonts w:ascii="Noto Sans KR" w:hAnsi="Noto Sans KR" w:eastAsia="Noto Sans KR"/>
          <w:b w:val="0"/>
          <w:color w:val="48545E"/>
          <w:sz w:val="15"/>
        </w:rPr>
        <w:t>투명 필름을 그림 위에 겹치는 것과 비슷합니다. Alpha 1은 완전히 불투명, 0은 완전히 투명, 그 사이는 일부가 비치는 상태입니다. 불투명한 배경에서는 결과 색 = Alpha × 앞색 + (1 − Alpha) × 배경색으로 계산합니다.</w:t>
      </w:r>
    </w:p>
    <w:p>
      <w:pPr>
        <w:spacing w:before="20" w:after="10" w:line="240" w:lineRule="auto"/>
      </w:pPr>
      <w:r>
        <w:rPr>
          <w:rFonts w:ascii="Noto Sans KR" w:hAnsi="Noto Sans KR" w:eastAsia="Noto Sans KR"/>
          <w:b/>
          <w:color w:val="111820"/>
          <w:sz w:val="17"/>
        </w:rPr>
        <w:t>04. 실제 활용 사례</w:t>
      </w:r>
    </w:p>
    <w:p>
      <w:pPr>
        <w:spacing w:before="0" w:after="40" w:line="240" w:lineRule="auto"/>
      </w:pPr>
      <w:r>
        <w:rPr>
          <w:rFonts w:ascii="Noto Sans KR" w:hAnsi="Noto Sans KR" w:eastAsia="Noto Sans KR"/>
          <w:b w:val="0"/>
          <w:color w:val="48545E"/>
          <w:sz w:val="15"/>
        </w:rPr>
        <w:t>투명 PNG, 웹 화면의 오버레이, 영상 효과, 여러 레이어로 구성한 포스터를 한 화면에 표시할 때 사용합니다. 브라우저 Canvas 2D는 source-over를 기본 합성 방식으로 둡니다.</w:t>
      </w:r>
    </w:p>
    <w:p>
      <w:pPr>
        <w:spacing w:before="20" w:after="10" w:line="240" w:lineRule="auto"/>
      </w:pPr>
      <w:r>
        <w:rPr>
          <w:rFonts w:ascii="Noto Sans KR" w:hAnsi="Noto Sans KR" w:eastAsia="Noto Sans KR"/>
          <w:b/>
          <w:color w:val="111820"/>
          <w:sz w:val="17"/>
        </w:rPr>
        <w:t>05. 비슷한 개념과의 차이</w:t>
      </w:r>
    </w:p>
    <w:p>
      <w:pPr>
        <w:spacing w:before="0" w:after="40" w:line="240" w:lineRule="auto"/>
      </w:pPr>
      <w:r>
        <w:rPr>
          <w:rFonts w:ascii="Noto Sans KR" w:hAnsi="Noto Sans KR" w:eastAsia="Noto Sans KR"/>
          <w:b w:val="0"/>
          <w:color w:val="48545E"/>
          <w:sz w:val="15"/>
        </w:rPr>
        <w:t>합성은 앞·뒤 이미지의 기여율을 결합합니다. 블렌딩은 multiply처럼 겹치는 색의 상호작용을 정합니다. 분할·매팅은 합성 전에 객체 픽셀이나 경계의 투명도를 찾아냅니다.</w:t>
      </w:r>
    </w:p>
    <w:p>
      <w:pPr>
        <w:spacing w:before="20" w:after="10" w:line="240" w:lineRule="auto"/>
      </w:pPr>
      <w:r>
        <w:rPr>
          <w:rFonts w:ascii="Noto Sans KR" w:hAnsi="Noto Sans KR" w:eastAsia="Noto Sans KR"/>
          <w:b/>
          <w:color w:val="111820"/>
          <w:sz w:val="17"/>
        </w:rPr>
        <w:t>06. HR 업무에서 볼 점</w:t>
      </w:r>
    </w:p>
    <w:p>
      <w:pPr>
        <w:spacing w:before="0" w:after="40" w:line="240" w:lineRule="auto"/>
      </w:pPr>
      <w:r>
        <w:rPr>
          <w:rFonts w:ascii="Noto Sans KR" w:hAnsi="Noto Sans KR" w:eastAsia="Noto Sans KR"/>
          <w:b w:val="0"/>
          <w:color w:val="48545E"/>
          <w:sz w:val="15"/>
        </w:rPr>
        <w:t>인재·조직 의사결정에 직접 적용되는 개념은 아닙니다. 다만 사내 포스터나 채용 콘텐츠를 레이어 단위로 수정할 때, AI가 만든 RGBA 레이어가 텍스트 편집과 경계 보존까지 보장하지는 않으므로 재사용 전에 확인해야 합니다.</w:t>
      </w:r>
    </w:p>
    <w:p>
      <w:pPr>
        <w:spacing w:before="20" w:after="10" w:line="240" w:lineRule="auto"/>
      </w:pPr>
      <w:r>
        <w:rPr>
          <w:rFonts w:ascii="Noto Sans KR" w:hAnsi="Noto Sans KR" w:eastAsia="Noto Sans KR"/>
          <w:b/>
          <w:color w:val="111820"/>
          <w:sz w:val="17"/>
        </w:rPr>
        <w:t>07. Key takeaway</w:t>
      </w:r>
    </w:p>
    <w:p>
      <w:pPr>
        <w:spacing w:before="0" w:after="40" w:line="240" w:lineRule="auto"/>
      </w:pPr>
      <w:r>
        <w:rPr>
          <w:rFonts w:ascii="Noto Sans KR" w:hAnsi="Noto Sans KR" w:eastAsia="Noto Sans KR"/>
          <w:b w:val="0"/>
          <w:color w:val="48545E"/>
          <w:sz w:val="15"/>
        </w:rPr>
        <w:t>레이어를 나누는 것만으로 편집성이 보장되지는 않습니다. 다시 합친 결과의 충실도와, 각 레이어를 바꾼 뒤에도 다른 내용이 유지되는지를 함께 확인하세요.</w:t>
      </w:r>
    </w:p>
    <w:p>
      <w:pPr>
        <w:spacing w:before="40" w:after="20" w:line="240" w:lineRule="auto"/>
      </w:pPr>
      <w:r>
        <w:rPr>
          <w:rFonts w:ascii="Noto Sans KR" w:hAnsi="Noto Sans KR" w:eastAsia="Noto Sans KR"/>
          <w:b/>
          <w:color w:val="637783"/>
          <w:sz w:val="14"/>
        </w:rPr>
        <w:t>SOURCES</w:t>
      </w:r>
    </w:p>
    <w:p>
      <w:pPr>
        <w:spacing w:before="0" w:after="0" w:line="240" w:lineRule="auto"/>
      </w:pPr>
      <w:r>
        <w:rPr>
          <w:rFonts w:ascii="Noto Sans KR" w:hAnsi="Noto Sans KR" w:eastAsia="Noto Sans KR"/>
          <w:b w:val="0"/>
          <w:color w:val="48545E"/>
          <w:sz w:val="12"/>
        </w:rPr>
        <w:t>W3C, Compositing and Blending Level 1, https://www.w3.org/TR/compositing-1/</w:t>
      </w:r>
    </w:p>
    <w:p>
      <w:pPr>
        <w:spacing w:before="0" w:after="0" w:line="240" w:lineRule="auto"/>
      </w:pPr>
      <w:r>
        <w:rPr>
          <w:rFonts w:ascii="Noto Sans KR" w:hAnsi="Noto Sans KR" w:eastAsia="Noto Sans KR"/>
          <w:b w:val="0"/>
          <w:color w:val="48545E"/>
          <w:sz w:val="12"/>
        </w:rPr>
        <w:t>Porter &amp; Duff, Compositing Digital Images, 1984, https://graphics.pixar.com/library/Compositing/paper.pdf</w:t>
      </w:r>
    </w:p>
    <w:p>
      <w:pPr>
        <w:spacing w:before="0" w:after="0" w:line="240" w:lineRule="auto"/>
      </w:pPr>
      <w:r>
        <w:rPr>
          <w:rFonts w:ascii="Noto Sans KR" w:hAnsi="Noto Sans KR" w:eastAsia="Noto Sans KR"/>
          <w:b w:val="0"/>
          <w:color w:val="48545E"/>
          <w:sz w:val="12"/>
        </w:rPr>
        <w:t>Xue et al., arXiv:2610.24738v1, https://arxiv.org/abs/2610.24738v1</w:t>
      </w:r>
    </w:p>
    <w:sectPr w:rsidR="00FC693F" w:rsidRPr="0006063C" w:rsidSect="00034616">
      <w:pgSz w:w="11906" w:h="16838"/>
      <w:pgMar w:top="539" w:right="652" w:bottom="510" w:left="6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Noto Sans KR" w:hAnsi="Noto Sans KR" w:eastAsia="Noto Sans KR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Alpha 합성 한 장 이해하기</dc:title>
  <dc:subject>A4 Concept One-Pager</dc:subject>
  <dc:creator>Minho Lee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