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Noto Sans KR" w:hAnsi="Noto Sans KR" w:eastAsia="Noto Sans KR"/>
          <w:b/>
          <w:color w:val="637783"/>
          <w:sz w:val="14"/>
        </w:rPr>
        <w:t>RESEARCH KNOWLEDGE / CONCEPT ONE-PAGER</w:t>
      </w:r>
    </w:p>
    <w:p>
      <w:pPr>
        <w:spacing w:before="0" w:after="20" w:line="240" w:lineRule="auto"/>
      </w:pPr>
      <w:r>
        <w:rPr>
          <w:rFonts w:ascii="Noto Sans KR" w:hAnsi="Noto Sans KR" w:eastAsia="Noto Sans KR"/>
          <w:b w:val="0"/>
          <w:color w:val="111820"/>
          <w:sz w:val="34"/>
        </w:rPr>
        <w:t>Masked language modeling (마스크 언어 모델링)</w:t>
      </w:r>
    </w:p>
    <w:p>
      <w:pPr>
        <w:spacing w:before="0" w:after="100" w:line="240" w:lineRule="auto"/>
      </w:pPr>
      <w:r>
        <w:rPr>
          <w:rFonts w:ascii="Noto Sans KR" w:hAnsi="Noto Sans KR" w:eastAsia="Noto Sans KR"/>
          <w:b w:val="0"/>
          <w:color w:val="48545E"/>
          <w:sz w:val="17"/>
        </w:rPr>
        <w:t>마스크 언어 모델링은 양방향 인코더가 주변 문맥에서 가린 토큰을 복원하도록 학습합니다.</w:t>
      </w:r>
    </w:p>
    <w:p>
      <w:pPr>
        <w:spacing w:before="0" w:after="2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01. 한 줄 정의</w:t>
      </w:r>
    </w:p>
    <w:p>
      <w:pPr>
        <w:spacing w:before="0" w:after="80" w:line="240" w:lineRule="auto"/>
      </w:pPr>
      <w:r>
        <w:rPr>
          <w:rFonts w:ascii="Noto Sans KR" w:hAnsi="Noto Sans KR" w:eastAsia="Noto Sans KR"/>
          <w:b w:val="0"/>
          <w:color w:val="48545E"/>
          <w:sz w:val="16"/>
        </w:rPr>
        <w:t>MLM은 빠진 토큰 복원을 확장 가능한 사전 학습 목표로 삼아 인코더가 양쪽 문맥을 활용하게 합니다.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2D9DE"/>
          <w:left w:val="single" w:sz="4" w:space="0" w:color="D2D9DE"/>
          <w:bottom w:val="single" w:sz="4" w:space="0" w:color="D2D9DE"/>
          <w:right w:val="single" w:sz="4" w:space="0" w:color="D2D9DE"/>
          <w:insideH w:val="single" w:sz="4" w:space="0" w:color="D2D9DE"/>
          <w:insideV w:val="single" w:sz="4" w:space="0" w:color="D2D9DE"/>
        </w:tblBorders>
      </w:tblPr>
      <w:tblGrid>
        <w:gridCol w:w="1515"/>
        <w:gridCol w:w="1515"/>
        <w:gridCol w:w="1515"/>
        <w:gridCol w:w="1515"/>
        <w:gridCol w:w="1515"/>
        <w:gridCol w:w="1515"/>
        <w:gridCol w:w="1515"/>
      </w:tblGrid>
      <w:tr>
        <w:tc>
          <w:tcPr>
            <w:tcW w:type="dxa" w:w="2331"/>
            <w:vAlign w:val="center"/>
            <w:shd w:fill="F0E0E3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문장 토큰</w:t>
            </w:r>
          </w:p>
        </w:tc>
        <w:tc>
          <w:tcPr>
            <w:tcW w:type="dxa" w:w="369"/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/>
                <w:color w:val="111820"/>
                <w:sz w:val="13"/>
              </w:rPr>
              <w:t>→</w:t>
            </w:r>
          </w:p>
        </w:tc>
        <w:tc>
          <w:tcPr>
            <w:tcW w:type="dxa" w:w="2331"/>
            <w:vAlign w:val="center"/>
            <w:shd w:fill="DCE6EC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일부 위치 가리기</w:t>
            </w:r>
          </w:p>
        </w:tc>
        <w:tc>
          <w:tcPr>
            <w:tcW w:type="dxa" w:w="369"/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/>
                <w:color w:val="111820"/>
                <w:sz w:val="13"/>
              </w:rPr>
              <w:t>→</w:t>
            </w:r>
          </w:p>
        </w:tc>
        <w:tc>
          <w:tcPr>
            <w:tcW w:type="dxa" w:w="2331"/>
            <w:vAlign w:val="center"/>
            <w:shd w:fill="D9E6DF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양방향 문맥</w:t>
            </w:r>
          </w:p>
        </w:tc>
        <w:tc>
          <w:tcPr>
            <w:tcW w:type="dxa" w:w="369"/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/>
                <w:color w:val="111820"/>
                <w:sz w:val="13"/>
              </w:rPr>
              <w:t>→</w:t>
            </w:r>
          </w:p>
        </w:tc>
        <w:tc>
          <w:tcPr>
            <w:tcW w:type="dxa" w:w="2331"/>
            <w:vAlign w:val="center"/>
            <w:shd w:fill="EEE7D7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가린 토큰 예측</w:t>
            </w:r>
          </w:p>
        </w:tc>
      </w:tr>
    </w:tbl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2"/>
        </w:rPr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02. 입력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문장 토큰 중 일부를 예측 대상으로 선택합니다.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03. 학습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주변의 왼쪽·오른쪽 문맥으로 원래 토큰을 맞힙니다.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04. 효과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양방향 인코더 표현을 여러 과제에 재사용합니다.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05. 구현 점검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마스크·랜덤 대체·원 토큰 유지 비율을 확인합니다.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06. 주의할 점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MLM은 다음 토큰 생성 목표와 다릅니다.</w:t>
      </w:r>
    </w:p>
    <w:p>
      <w:pPr>
        <w:spacing w:before="40" w:after="20" w:line="240" w:lineRule="auto"/>
      </w:pPr>
      <w:r>
        <w:rPr>
          <w:rFonts w:ascii="Noto Sans KR" w:hAnsi="Noto Sans KR" w:eastAsia="Noto Sans KR"/>
          <w:b/>
          <w:color w:val="637783"/>
          <w:sz w:val="14"/>
        </w:rPr>
        <w:t>SOURCES</w:t>
      </w:r>
    </w:p>
    <w:p>
      <w:pPr>
        <w:spacing w:before="0" w:after="0" w:line="240" w:lineRule="auto"/>
      </w:pPr>
      <w:r>
        <w:rPr>
          <w:rFonts w:ascii="Noto Sans KR" w:hAnsi="Noto Sans KR" w:eastAsia="Noto Sans KR"/>
          <w:b w:val="0"/>
          <w:color w:val="48545E"/>
          <w:sz w:val="12"/>
        </w:rPr>
        <w:t>https://arxiv.org/abs/1810.04805</w:t>
      </w:r>
    </w:p>
    <w:sectPr w:rsidR="00FC693F" w:rsidRPr="0006063C" w:rsidSect="00034616">
      <w:pgSz w:w="11906" w:h="16838"/>
      <w:pgMar w:top="539" w:right="652" w:bottom="510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Noto Sans KR" w:hAnsi="Noto Sans KR" w:eastAsia="Noto Sans KR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Masked language modeling (마스크 언어 모델링)</dc:title>
  <dc:subject>A4 Concept One-Pager</dc:subject>
  <dc:creator>Minho Lee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