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5F371" w14:textId="09714952" w:rsidR="004C0BEF" w:rsidRPr="004C0BEF" w:rsidRDefault="004C0BEF" w:rsidP="004C0BEF">
      <w:pPr>
        <w:spacing w:after="120" w:line="240" w:lineRule="auto"/>
        <w:rPr>
          <w:rFonts w:ascii="Times New Roman" w:hAnsi="Times New Roman" w:cs="Times New Roman"/>
          <w:b/>
        </w:rPr>
      </w:pPr>
      <w:r w:rsidRPr="004C0BEF">
        <w:rPr>
          <w:rFonts w:ascii="Times New Roman" w:hAnsi="Times New Roman" w:cs="Times New Roman"/>
          <w:b/>
          <w:bCs/>
        </w:rPr>
        <w:t>Quantifying Conformational Populations in Cryo-EM Reconstructions of Human CFTR</w:t>
      </w:r>
      <w:r w:rsidRPr="004C0BEF">
        <w:rPr>
          <w:rFonts w:ascii="Times New Roman" w:hAnsi="Times New Roman" w:cs="Times New Roman"/>
          <w:b/>
        </w:rPr>
        <w:t xml:space="preserve"> </w:t>
      </w:r>
    </w:p>
    <w:p w14:paraId="07D10BDA" w14:textId="2FB26E2E" w:rsidR="009275E5" w:rsidRPr="007B1BE9" w:rsidRDefault="00000000" w:rsidP="004C0BEF">
      <w:pPr>
        <w:spacing w:after="120" w:line="240" w:lineRule="auto"/>
        <w:rPr>
          <w:rFonts w:ascii="Times New Roman" w:hAnsi="Times New Roman" w:cs="Times New Roman"/>
        </w:rPr>
      </w:pPr>
      <w:r w:rsidRPr="007B1BE9">
        <w:rPr>
          <w:rFonts w:ascii="Times New Roman" w:hAnsi="Times New Roman" w:cs="Times New Roman"/>
        </w:rPr>
        <w:t>Minou Emmad, John F. Hunt</w:t>
      </w:r>
    </w:p>
    <w:p w14:paraId="79C06B9B" w14:textId="5CFAC863" w:rsidR="009275E5" w:rsidRPr="007B1BE9" w:rsidRDefault="00000000">
      <w:pPr>
        <w:spacing w:after="120" w:line="240" w:lineRule="auto"/>
        <w:rPr>
          <w:rFonts w:ascii="Times New Roman" w:hAnsi="Times New Roman" w:cs="Times New Roman"/>
        </w:rPr>
      </w:pPr>
      <w:r w:rsidRPr="007B1BE9">
        <w:rPr>
          <w:rFonts w:ascii="Times New Roman" w:hAnsi="Times New Roman" w:cs="Times New Roman"/>
        </w:rPr>
        <w:t>Cystic fibrosis (CF) is a life-threatening genetic disease affecting approximately 35,000 people in the United States, caused by mutations in the Cystic Fibrosis Transmembrane Conductance Regulator (CFTR), a protein that acts as a chloride ion channel essential for lung function. Many CF mutations prevent CFTR from folding correctly, and drugs such as elexacaftor/tezacaftor/ivacaftor (Trikafta) have transformed treatment by correcting this defect (</w:t>
      </w:r>
      <w:r w:rsidR="00B30DC2" w:rsidRPr="007B1BE9">
        <w:rPr>
          <w:rFonts w:ascii="Times New Roman" w:hAnsi="Times New Roman" w:cs="Times New Roman"/>
        </w:rPr>
        <w:t>Middleton</w:t>
      </w:r>
      <w:r w:rsidRPr="007B1BE9">
        <w:rPr>
          <w:rFonts w:ascii="Times New Roman" w:hAnsi="Times New Roman" w:cs="Times New Roman"/>
        </w:rPr>
        <w:t xml:space="preserve"> et al., 20</w:t>
      </w:r>
      <w:r w:rsidR="00B30DC2" w:rsidRPr="007B1BE9">
        <w:rPr>
          <w:rFonts w:ascii="Times New Roman" w:hAnsi="Times New Roman" w:cs="Times New Roman"/>
        </w:rPr>
        <w:t>19</w:t>
      </w:r>
      <w:r w:rsidRPr="007B1BE9">
        <w:rPr>
          <w:rFonts w:ascii="Times New Roman" w:hAnsi="Times New Roman" w:cs="Times New Roman"/>
        </w:rPr>
        <w:t>). However, the structural mechanisms by which these drugs act remain incompletely understood, limiting development of next-generation therapies (Wang et al., 2022).</w:t>
      </w:r>
    </w:p>
    <w:p w14:paraId="65ED091A" w14:textId="73B132BB" w:rsidR="009275E5" w:rsidRPr="007B1BE9" w:rsidRDefault="00000000">
      <w:pPr>
        <w:spacing w:after="120" w:line="240" w:lineRule="auto"/>
        <w:rPr>
          <w:rFonts w:ascii="Times New Roman" w:hAnsi="Times New Roman" w:cs="Times New Roman"/>
        </w:rPr>
      </w:pPr>
      <w:r w:rsidRPr="007B1BE9">
        <w:rPr>
          <w:rFonts w:ascii="Times New Roman" w:hAnsi="Times New Roman" w:cs="Times New Roman"/>
        </w:rPr>
        <w:t>Cryo-electron microscopy (cryo-EM) allows imaging of hundreds of thousands of individual protein molecules and computational sorting into distinct three-dimensional conformational classes. The relative sizes of these classes—the conformational populations—describe how a protein distributes across its possible shapes and how drugs shift that balance. Estimating these populations accurately is difficult because the sorting algorithms are imperfect and introduce systematic errors (Punjani &amp; Fleet, 202</w:t>
      </w:r>
      <w:r w:rsidR="00B30DC2" w:rsidRPr="007B1BE9">
        <w:rPr>
          <w:rFonts w:ascii="Times New Roman" w:hAnsi="Times New Roman" w:cs="Times New Roman"/>
        </w:rPr>
        <w:t>1</w:t>
      </w:r>
      <w:r w:rsidRPr="007B1BE9">
        <w:rPr>
          <w:rFonts w:ascii="Times New Roman" w:hAnsi="Times New Roman" w:cs="Times New Roman"/>
        </w:rPr>
        <w:t>; Evans et al., 2025).</w:t>
      </w:r>
    </w:p>
    <w:p w14:paraId="51830495" w14:textId="633F1B57" w:rsidR="009275E5" w:rsidRPr="007B1BE9" w:rsidRDefault="00000000">
      <w:pPr>
        <w:spacing w:after="120" w:line="240" w:lineRule="auto"/>
        <w:rPr>
          <w:rFonts w:ascii="Times New Roman" w:hAnsi="Times New Roman" w:cs="Times New Roman"/>
        </w:rPr>
      </w:pPr>
      <w:r w:rsidRPr="007B1BE9">
        <w:rPr>
          <w:rFonts w:ascii="Times New Roman" w:hAnsi="Times New Roman" w:cs="Times New Roman"/>
        </w:rPr>
        <w:t xml:space="preserve">This project </w:t>
      </w:r>
      <w:proofErr w:type="gramStart"/>
      <w:r w:rsidRPr="007B1BE9">
        <w:rPr>
          <w:rFonts w:ascii="Times New Roman" w:hAnsi="Times New Roman" w:cs="Times New Roman"/>
        </w:rPr>
        <w:t>builds on</w:t>
      </w:r>
      <w:proofErr w:type="gramEnd"/>
      <w:r w:rsidRPr="007B1BE9">
        <w:rPr>
          <w:rFonts w:ascii="Times New Roman" w:hAnsi="Times New Roman" w:cs="Times New Roman"/>
        </w:rPr>
        <w:t xml:space="preserve"> preliminary work comparing the standard approach—assigning each particle image to one class based on its highest score (a hard assignment)—against a new probabilistic approach using Gaussian Mixture Models (GMMs). CryoSPARC, the software used to process CFTR datasets in the Hunt lab, computes a probability score for each particle belonging to each class. Rather than discarding this information, the GMM framework </w:t>
      </w:r>
      <w:r w:rsidR="00107B3F" w:rsidRPr="007B1BE9">
        <w:rPr>
          <w:rFonts w:ascii="Times New Roman" w:hAnsi="Times New Roman" w:cs="Times New Roman"/>
        </w:rPr>
        <w:t xml:space="preserve">I implemented </w:t>
      </w:r>
      <w:r w:rsidRPr="007B1BE9">
        <w:rPr>
          <w:rFonts w:ascii="Times New Roman" w:hAnsi="Times New Roman" w:cs="Times New Roman"/>
        </w:rPr>
        <w:t xml:space="preserve">uses the full distribution of scores to estimate class overlap and mathematically correct population counts for misclassification. Applied to </w:t>
      </w:r>
      <w:r w:rsidR="00107B3F" w:rsidRPr="007B1BE9">
        <w:rPr>
          <w:rFonts w:ascii="Times New Roman" w:hAnsi="Times New Roman" w:cs="Times New Roman"/>
        </w:rPr>
        <w:t>a</w:t>
      </w:r>
      <w:r w:rsidRPr="007B1BE9">
        <w:rPr>
          <w:rFonts w:ascii="Times New Roman" w:hAnsi="Times New Roman" w:cs="Times New Roman"/>
        </w:rPr>
        <w:t xml:space="preserve"> CFTR dataset</w:t>
      </w:r>
      <w:r w:rsidR="00107B3F" w:rsidRPr="007B1BE9">
        <w:rPr>
          <w:rFonts w:ascii="Times New Roman" w:hAnsi="Times New Roman" w:cs="Times New Roman"/>
        </w:rPr>
        <w:t xml:space="preserve"> </w:t>
      </w:r>
      <w:r w:rsidRPr="007B1BE9">
        <w:rPr>
          <w:rFonts w:ascii="Times New Roman" w:hAnsi="Times New Roman" w:cs="Times New Roman"/>
        </w:rPr>
        <w:t>totaling 230,396 particles, this produced stable corrected population estimates with bootstrap uncertainties of ±0.2</w:t>
      </w:r>
      <w:r w:rsidR="00107B3F" w:rsidRPr="007B1BE9">
        <w:rPr>
          <w:rFonts w:ascii="Times New Roman" w:hAnsi="Times New Roman" w:cs="Times New Roman"/>
        </w:rPr>
        <w:t>% and</w:t>
      </w:r>
      <w:r w:rsidRPr="007B1BE9">
        <w:rPr>
          <w:rFonts w:ascii="Times New Roman" w:hAnsi="Times New Roman" w:cs="Times New Roman"/>
        </w:rPr>
        <w:t xml:space="preserve"> confirmed that the three conformational classes are distinguishable at the population level despite individual particle assignments being inherently noisy.</w:t>
      </w:r>
    </w:p>
    <w:p w14:paraId="4593B93B" w14:textId="77777777" w:rsidR="00457896" w:rsidRPr="007B1BE9" w:rsidRDefault="00457896" w:rsidP="00457896">
      <w:pPr>
        <w:spacing w:before="80" w:after="40" w:line="240" w:lineRule="auto"/>
        <w:rPr>
          <w:rFonts w:ascii="Times New Roman" w:hAnsi="Times New Roman" w:cs="Times New Roman"/>
        </w:rPr>
      </w:pPr>
      <w:r w:rsidRPr="007B1BE9">
        <w:rPr>
          <w:rFonts w:ascii="Times New Roman" w:hAnsi="Times New Roman" w:cs="Times New Roman"/>
        </w:rPr>
        <w:t xml:space="preserve">Down the line, I plan to implement methods that eliminate the need for discrete class assignments altogether. I will begin with </w:t>
      </w:r>
      <w:proofErr w:type="spellStart"/>
      <w:r w:rsidRPr="007B1BE9">
        <w:rPr>
          <w:rFonts w:ascii="Times New Roman" w:hAnsi="Times New Roman" w:cs="Times New Roman"/>
        </w:rPr>
        <w:t>cryoDRGN</w:t>
      </w:r>
      <w:proofErr w:type="spellEnd"/>
      <w:r w:rsidRPr="007B1BE9">
        <w:rPr>
          <w:rFonts w:ascii="Times New Roman" w:hAnsi="Times New Roman" w:cs="Times New Roman"/>
        </w:rPr>
        <w:t xml:space="preserve">, a deep learning framework that uses a variational autoencoder (VAE) to map each particle image to a point in a continuous low-dimensional latent space representing its conformation (Zhong et al., 2021). This allows the full conformational landscape to be explored without pre-specifying </w:t>
      </w:r>
      <w:proofErr w:type="gramStart"/>
      <w:r w:rsidRPr="007B1BE9">
        <w:rPr>
          <w:rFonts w:ascii="Times New Roman" w:hAnsi="Times New Roman" w:cs="Times New Roman"/>
        </w:rPr>
        <w:t>a number of</w:t>
      </w:r>
      <w:proofErr w:type="gramEnd"/>
      <w:r w:rsidRPr="007B1BE9">
        <w:rPr>
          <w:rFonts w:ascii="Times New Roman" w:hAnsi="Times New Roman" w:cs="Times New Roman"/>
        </w:rPr>
        <w:t xml:space="preserve"> classes. I will then evaluate related latent-space generative models to determine whether they provide more principled uncertainty estimates for interpreting CFTR conformational dynamics.</w:t>
      </w:r>
    </w:p>
    <w:p w14:paraId="641482FA" w14:textId="77777777" w:rsidR="00457896" w:rsidRPr="007B1BE9" w:rsidRDefault="00457896" w:rsidP="00457896">
      <w:pPr>
        <w:spacing w:before="80" w:after="40" w:line="240" w:lineRule="auto"/>
        <w:rPr>
          <w:rFonts w:ascii="Times New Roman" w:hAnsi="Times New Roman" w:cs="Times New Roman"/>
        </w:rPr>
      </w:pPr>
      <w:r w:rsidRPr="007B1BE9">
        <w:rPr>
          <w:rFonts w:ascii="Times New Roman" w:hAnsi="Times New Roman" w:cs="Times New Roman"/>
        </w:rPr>
        <w:t>By improving the accuracy and uncertainty quantification of conformational population estimates, this work will provide a more reliable picture of how CFTR molecules distribute among functional and dysfunctional states and how therapeutic compounds shift those populations. Better measurements of these structural effects will help researchers understand the mechanisms of existing CF drugs and support the rational design and evaluation of next-generation therapies for cystic fibrosis.</w:t>
      </w:r>
    </w:p>
    <w:p w14:paraId="4A7199D6" w14:textId="77777777" w:rsidR="009275E5" w:rsidRPr="007B1BE9" w:rsidRDefault="00000000">
      <w:pPr>
        <w:spacing w:before="80" w:after="40" w:line="240" w:lineRule="auto"/>
        <w:rPr>
          <w:rFonts w:ascii="Times New Roman" w:hAnsi="Times New Roman" w:cs="Times New Roman"/>
        </w:rPr>
      </w:pPr>
      <w:r w:rsidRPr="007B1BE9">
        <w:rPr>
          <w:rFonts w:ascii="Times New Roman" w:hAnsi="Times New Roman" w:cs="Times New Roman"/>
          <w:b/>
        </w:rPr>
        <w:t>References</w:t>
      </w:r>
    </w:p>
    <w:p w14:paraId="03ACA060" w14:textId="77777777" w:rsidR="000705CA" w:rsidRPr="007B1BE9" w:rsidRDefault="000705CA" w:rsidP="000705CA">
      <w:pPr>
        <w:spacing w:after="60" w:line="240" w:lineRule="auto"/>
        <w:rPr>
          <w:rFonts w:ascii="Times New Roman" w:hAnsi="Times New Roman" w:cs="Times New Roman"/>
        </w:rPr>
      </w:pPr>
      <w:r w:rsidRPr="007B1BE9">
        <w:rPr>
          <w:rFonts w:ascii="Times New Roman" w:hAnsi="Times New Roman" w:cs="Times New Roman"/>
          <w:b/>
          <w:bCs/>
        </w:rPr>
        <w:t xml:space="preserve">Middleton P.G., Mall M.A., </w:t>
      </w:r>
      <w:proofErr w:type="spellStart"/>
      <w:r w:rsidRPr="007B1BE9">
        <w:rPr>
          <w:rFonts w:ascii="Times New Roman" w:hAnsi="Times New Roman" w:cs="Times New Roman"/>
          <w:b/>
          <w:bCs/>
        </w:rPr>
        <w:t>Dřevínek</w:t>
      </w:r>
      <w:proofErr w:type="spellEnd"/>
      <w:r w:rsidRPr="007B1BE9">
        <w:rPr>
          <w:rFonts w:ascii="Times New Roman" w:hAnsi="Times New Roman" w:cs="Times New Roman"/>
          <w:b/>
          <w:bCs/>
        </w:rPr>
        <w:t xml:space="preserve"> P., et al. (2019)</w:t>
      </w:r>
      <w:r w:rsidRPr="007B1BE9">
        <w:rPr>
          <w:rFonts w:ascii="Times New Roman" w:hAnsi="Times New Roman" w:cs="Times New Roman"/>
        </w:rPr>
        <w:t> </w:t>
      </w:r>
      <w:proofErr w:type="spellStart"/>
      <w:r w:rsidRPr="007B1BE9">
        <w:rPr>
          <w:rFonts w:ascii="Times New Roman" w:hAnsi="Times New Roman" w:cs="Times New Roman"/>
        </w:rPr>
        <w:t>Elexacaftor</w:t>
      </w:r>
      <w:proofErr w:type="spellEnd"/>
      <w:r w:rsidRPr="007B1BE9">
        <w:rPr>
          <w:rFonts w:ascii="Times New Roman" w:hAnsi="Times New Roman" w:cs="Times New Roman"/>
        </w:rPr>
        <w:t>–</w:t>
      </w:r>
      <w:proofErr w:type="spellStart"/>
      <w:r w:rsidRPr="007B1BE9">
        <w:rPr>
          <w:rFonts w:ascii="Times New Roman" w:hAnsi="Times New Roman" w:cs="Times New Roman"/>
        </w:rPr>
        <w:t>Tezacaftor</w:t>
      </w:r>
      <w:proofErr w:type="spellEnd"/>
      <w:r w:rsidRPr="007B1BE9">
        <w:rPr>
          <w:rFonts w:ascii="Times New Roman" w:hAnsi="Times New Roman" w:cs="Times New Roman"/>
        </w:rPr>
        <w:t>–Ivacaftor for Cystic Fibrosis with a Single Phe508del Allele. </w:t>
      </w:r>
      <w:r w:rsidRPr="007B1BE9">
        <w:rPr>
          <w:rFonts w:ascii="Times New Roman" w:hAnsi="Times New Roman" w:cs="Times New Roman"/>
          <w:i/>
          <w:iCs/>
        </w:rPr>
        <w:t>New England Journal of Medicine</w:t>
      </w:r>
      <w:r w:rsidRPr="007B1BE9">
        <w:rPr>
          <w:rFonts w:ascii="Times New Roman" w:hAnsi="Times New Roman" w:cs="Times New Roman"/>
        </w:rPr>
        <w:t> 381: 1809–1819.</w:t>
      </w:r>
    </w:p>
    <w:p w14:paraId="1091293E" w14:textId="5518F0C3" w:rsidR="000705CA" w:rsidRPr="007B1BE9" w:rsidRDefault="000705CA" w:rsidP="000705CA">
      <w:pPr>
        <w:spacing w:after="60" w:line="240" w:lineRule="auto"/>
        <w:rPr>
          <w:rFonts w:ascii="Times New Roman" w:hAnsi="Times New Roman" w:cs="Times New Roman"/>
        </w:rPr>
      </w:pPr>
      <w:r w:rsidRPr="007B1BE9">
        <w:rPr>
          <w:rFonts w:ascii="Times New Roman" w:hAnsi="Times New Roman" w:cs="Times New Roman"/>
          <w:b/>
          <w:bCs/>
        </w:rPr>
        <w:t>Wang C., Yang Z., Loughlin B.J., et al. (2022)</w:t>
      </w:r>
      <w:r w:rsidRPr="007B1BE9">
        <w:rPr>
          <w:rFonts w:ascii="Times New Roman" w:hAnsi="Times New Roman" w:cs="Times New Roman"/>
        </w:rPr>
        <w:t> Mechanism of dual pharmacological correction and potentiation of human CFTR. </w:t>
      </w:r>
      <w:r w:rsidRPr="007B1BE9">
        <w:rPr>
          <w:rFonts w:ascii="Times New Roman" w:hAnsi="Times New Roman" w:cs="Times New Roman"/>
          <w:i/>
          <w:iCs/>
        </w:rPr>
        <w:t>bioRxiv</w:t>
      </w:r>
      <w:r w:rsidRPr="007B1BE9">
        <w:rPr>
          <w:rFonts w:ascii="Times New Roman" w:hAnsi="Times New Roman" w:cs="Times New Roman"/>
        </w:rPr>
        <w:t> 2022.10.10.510913. (Preprint)</w:t>
      </w:r>
    </w:p>
    <w:p w14:paraId="2BE7E300" w14:textId="77777777" w:rsidR="000705CA" w:rsidRPr="007B1BE9" w:rsidRDefault="000705CA" w:rsidP="000705CA">
      <w:pPr>
        <w:spacing w:after="60" w:line="240" w:lineRule="auto"/>
        <w:rPr>
          <w:rFonts w:ascii="Times New Roman" w:hAnsi="Times New Roman" w:cs="Times New Roman"/>
        </w:rPr>
      </w:pPr>
      <w:r w:rsidRPr="007B1BE9">
        <w:rPr>
          <w:rFonts w:ascii="Times New Roman" w:hAnsi="Times New Roman" w:cs="Times New Roman"/>
          <w:b/>
          <w:bCs/>
        </w:rPr>
        <w:t>Punjani A. and Fleet D.J. (2021)</w:t>
      </w:r>
      <w:r w:rsidRPr="007B1BE9">
        <w:rPr>
          <w:rFonts w:ascii="Times New Roman" w:hAnsi="Times New Roman" w:cs="Times New Roman"/>
        </w:rPr>
        <w:t> 3D variability analysis: Resolving continuous flexibility and discrete heterogeneity from single particle cryo-EM. </w:t>
      </w:r>
      <w:r w:rsidRPr="007B1BE9">
        <w:rPr>
          <w:rFonts w:ascii="Times New Roman" w:hAnsi="Times New Roman" w:cs="Times New Roman"/>
          <w:i/>
          <w:iCs/>
        </w:rPr>
        <w:t>Journal of Structural Biology</w:t>
      </w:r>
      <w:r w:rsidRPr="007B1BE9">
        <w:rPr>
          <w:rFonts w:ascii="Times New Roman" w:hAnsi="Times New Roman" w:cs="Times New Roman"/>
        </w:rPr>
        <w:t> 213: 107702.</w:t>
      </w:r>
    </w:p>
    <w:p w14:paraId="79FC48AB" w14:textId="42CD328C" w:rsidR="000705CA" w:rsidRPr="007B1BE9" w:rsidRDefault="000705CA" w:rsidP="000705CA">
      <w:pPr>
        <w:spacing w:after="60" w:line="240" w:lineRule="auto"/>
        <w:rPr>
          <w:rFonts w:ascii="Times New Roman" w:hAnsi="Times New Roman" w:cs="Times New Roman"/>
        </w:rPr>
      </w:pPr>
      <w:r w:rsidRPr="007B1BE9">
        <w:rPr>
          <w:rFonts w:ascii="Times New Roman" w:hAnsi="Times New Roman" w:cs="Times New Roman"/>
          <w:b/>
          <w:bCs/>
        </w:rPr>
        <w:t>Evans L., Dingeldein L., Covino R., Gilles M.A., Thiede E., and Cossio P. (2025)</w:t>
      </w:r>
      <w:r w:rsidRPr="007B1BE9">
        <w:rPr>
          <w:rFonts w:ascii="Times New Roman" w:hAnsi="Times New Roman" w:cs="Times New Roman"/>
        </w:rPr>
        <w:t> Counting particles could give wrong probabilities in Cryo-Electron Microscopy. </w:t>
      </w:r>
      <w:r w:rsidRPr="007B1BE9">
        <w:rPr>
          <w:rFonts w:ascii="Times New Roman" w:hAnsi="Times New Roman" w:cs="Times New Roman"/>
          <w:i/>
          <w:iCs/>
        </w:rPr>
        <w:t>bioRxiv</w:t>
      </w:r>
      <w:r w:rsidRPr="007B1BE9">
        <w:rPr>
          <w:rFonts w:ascii="Times New Roman" w:hAnsi="Times New Roman" w:cs="Times New Roman"/>
        </w:rPr>
        <w:t> 2025.03.27.644168. (Preprint)</w:t>
      </w:r>
    </w:p>
    <w:p w14:paraId="3A65F2CE" w14:textId="58E2366A" w:rsidR="009275E5" w:rsidRPr="007B1BE9" w:rsidRDefault="000705CA" w:rsidP="000705CA">
      <w:pPr>
        <w:spacing w:after="60" w:line="240" w:lineRule="auto"/>
        <w:rPr>
          <w:rFonts w:ascii="Times New Roman" w:hAnsi="Times New Roman" w:cs="Times New Roman"/>
        </w:rPr>
      </w:pPr>
      <w:r w:rsidRPr="007B1BE9">
        <w:rPr>
          <w:rFonts w:ascii="Times New Roman" w:hAnsi="Times New Roman" w:cs="Times New Roman"/>
          <w:b/>
          <w:bCs/>
        </w:rPr>
        <w:t>Zhong E.D., Bepler T., Berger B., and Davis J.H. (2021)</w:t>
      </w:r>
      <w:r w:rsidRPr="007B1BE9">
        <w:rPr>
          <w:rFonts w:ascii="Times New Roman" w:hAnsi="Times New Roman" w:cs="Times New Roman"/>
        </w:rPr>
        <w:t> </w:t>
      </w:r>
      <w:proofErr w:type="spellStart"/>
      <w:r w:rsidRPr="007B1BE9">
        <w:rPr>
          <w:rFonts w:ascii="Times New Roman" w:hAnsi="Times New Roman" w:cs="Times New Roman"/>
        </w:rPr>
        <w:t>CryoDRGN</w:t>
      </w:r>
      <w:proofErr w:type="spellEnd"/>
      <w:r w:rsidRPr="007B1BE9">
        <w:rPr>
          <w:rFonts w:ascii="Times New Roman" w:hAnsi="Times New Roman" w:cs="Times New Roman"/>
        </w:rPr>
        <w:t>: reconstruction of heterogeneous cryo-EM structures using neural networks. </w:t>
      </w:r>
      <w:r w:rsidRPr="007B1BE9">
        <w:rPr>
          <w:rFonts w:ascii="Times New Roman" w:hAnsi="Times New Roman" w:cs="Times New Roman"/>
          <w:i/>
          <w:iCs/>
        </w:rPr>
        <w:t>Nature Methods</w:t>
      </w:r>
      <w:r w:rsidRPr="007B1BE9">
        <w:rPr>
          <w:rFonts w:ascii="Times New Roman" w:hAnsi="Times New Roman" w:cs="Times New Roman"/>
        </w:rPr>
        <w:t> 18: 176–185.</w:t>
      </w:r>
    </w:p>
    <w:sectPr w:rsidR="009275E5" w:rsidRPr="007B1BE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9971922">
    <w:abstractNumId w:val="8"/>
  </w:num>
  <w:num w:numId="2" w16cid:durableId="1167549334">
    <w:abstractNumId w:val="6"/>
  </w:num>
  <w:num w:numId="3" w16cid:durableId="1001080812">
    <w:abstractNumId w:val="5"/>
  </w:num>
  <w:num w:numId="4" w16cid:durableId="853688788">
    <w:abstractNumId w:val="4"/>
  </w:num>
  <w:num w:numId="5" w16cid:durableId="832647122">
    <w:abstractNumId w:val="7"/>
  </w:num>
  <w:num w:numId="6" w16cid:durableId="1292130019">
    <w:abstractNumId w:val="3"/>
  </w:num>
  <w:num w:numId="7" w16cid:durableId="650449227">
    <w:abstractNumId w:val="2"/>
  </w:num>
  <w:num w:numId="8" w16cid:durableId="1626546798">
    <w:abstractNumId w:val="1"/>
  </w:num>
  <w:num w:numId="9" w16cid:durableId="211015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CA"/>
    <w:rsid w:val="00107B3F"/>
    <w:rsid w:val="0015074B"/>
    <w:rsid w:val="0029639D"/>
    <w:rsid w:val="00326F90"/>
    <w:rsid w:val="00457896"/>
    <w:rsid w:val="004C0BEF"/>
    <w:rsid w:val="007837D8"/>
    <w:rsid w:val="007B1BE9"/>
    <w:rsid w:val="00923DE6"/>
    <w:rsid w:val="009275E5"/>
    <w:rsid w:val="00AA1D8D"/>
    <w:rsid w:val="00AB2DE8"/>
    <w:rsid w:val="00B30DC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26431"/>
  <w14:defaultImageDpi w14:val="300"/>
  <w15:docId w15:val="{C9AE8766-9BA5-4136-B799-73CFEDD0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Emmad, Minou A</cp:lastModifiedBy>
  <cp:revision>7</cp:revision>
  <dcterms:created xsi:type="dcterms:W3CDTF">2013-12-23T23:15:00Z</dcterms:created>
  <dcterms:modified xsi:type="dcterms:W3CDTF">2026-06-15T17:34:00Z</dcterms:modified>
  <cp:category/>
</cp:coreProperties>
</file>