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0" w:after="160"/>
        <w:ind w:hanging="0"/>
        <w:jc w:val="center"/>
        <w:rPr/>
      </w:pPr>
      <w:r>
        <w:rPr>
          <w:rFonts w:eastAsia="Times New Roman"/>
          <w:b/>
          <w:color w:val="000000"/>
          <w:sz w:val="28"/>
        </w:rPr>
        <w:t>Supplementary Information</w:t>
      </w:r>
    </w:p>
    <w:p>
      <w:pPr>
        <w:pStyle w:val="Normal"/>
        <w:spacing w:lineRule="auto" w:line="480" w:before="0" w:after="80"/>
        <w:ind w:hanging="0" w:start="0"/>
        <w:jc w:val="both"/>
        <w:rPr>
          <w:color w:val="000000"/>
        </w:rPr>
      </w:pPr>
      <w:r>
        <w:rPr/>
      </w:r>
    </w:p>
    <w:p>
      <w:pPr>
        <w:pStyle w:val="Normal"/>
        <w:spacing w:lineRule="auto" w:line="480" w:before="160" w:after="120"/>
        <w:ind w:hanging="0"/>
        <w:jc w:val="start"/>
        <w:rPr/>
      </w:pPr>
      <w:r>
        <w:rPr>
          <w:rFonts w:eastAsia="Times New Roman"/>
          <w:b/>
          <w:color w:val="000000"/>
          <w:sz w:val="24"/>
        </w:rPr>
        <w:t>Supplementary Methods</w:t>
      </w:r>
    </w:p>
    <w:p>
      <w:pPr>
        <w:pStyle w:val="Normal"/>
        <w:spacing w:lineRule="auto" w:line="480"/>
        <w:ind w:hanging="0"/>
        <w:jc w:val="start"/>
        <w:rPr/>
      </w:pPr>
      <w:r>
        <w:rPr>
          <w:b/>
          <w:color w:val="000000"/>
        </w:rPr>
        <w:t>Definition of Via infection-stage descriptors</w:t>
      </w:r>
    </w:p>
    <w:p>
      <w:pPr>
        <w:pStyle w:val="Normal"/>
        <w:spacing w:lineRule="auto" w:line="480" w:before="0" w:after="0"/>
        <w:ind w:firstLine="420"/>
        <w:jc w:val="both"/>
        <w:rPr/>
      </w:pPr>
      <w:r>
        <w:rPr>
          <w:color w:val="000000"/>
        </w:rPr>
        <w:t>For Via models, let c</w:t>
      </w:r>
      <w:r>
        <w:rPr>
          <w:color w:val="000000"/>
          <w:vertAlign w:val="subscript"/>
        </w:rPr>
        <w:t>i</w:t>
      </w:r>
      <w:r>
        <w:rPr>
          <w:color w:val="000000"/>
        </w:rPr>
        <w:t xml:space="preserve"> be the culture time and τ</w:t>
      </w:r>
      <w:r>
        <w:rPr>
          <w:color w:val="000000"/>
          <w:vertAlign w:val="subscript"/>
        </w:rPr>
        <w:t>b</w:t>
      </w:r>
      <w:r>
        <w:rPr>
          <w:color w:val="000000"/>
        </w:rPr>
        <w:t xml:space="preserve"> be the inoculation time of batch b. Define Δ</w:t>
      </w:r>
      <w:r>
        <w:rPr>
          <w:color w:val="000000"/>
          <w:vertAlign w:val="subscript"/>
        </w:rPr>
        <w:t>i</w:t>
      </w:r>
      <w:r>
        <w:rPr>
          <w:color w:val="000000"/>
        </w:rPr>
        <w:t xml:space="preserve"> = c</w:t>
      </w:r>
      <w:r>
        <w:rPr>
          <w:color w:val="000000"/>
          <w:vertAlign w:val="subscript"/>
        </w:rPr>
        <w:t>i</w:t>
      </w:r>
      <w:r>
        <w:rPr>
          <w:color w:val="000000"/>
        </w:rPr>
        <w:t xml:space="preserve"> − τ</w:t>
      </w:r>
      <w:r>
        <w:rPr>
          <w:color w:val="000000"/>
          <w:vertAlign w:val="subscript"/>
        </w:rPr>
        <w:t>b</w:t>
      </w:r>
      <w:r>
        <w:rPr>
          <w:color w:val="000000"/>
        </w:rPr>
        <w:t>, t</w:t>
      </w:r>
      <w:r>
        <w:rPr>
          <w:color w:val="000000"/>
          <w:vertAlign w:val="subscript"/>
        </w:rPr>
        <w:t>pre,i</w:t>
      </w:r>
      <w:r>
        <w:rPr>
          <w:color w:val="000000"/>
        </w:rPr>
        <w:t xml:space="preserve"> = (τ</w:t>
      </w:r>
      <w:r>
        <w:rPr>
          <w:color w:val="000000"/>
          <w:vertAlign w:val="subscript"/>
        </w:rPr>
        <w:t>b</w:t>
      </w:r>
      <w:r>
        <w:rPr>
          <w:color w:val="000000"/>
        </w:rPr>
        <w:t xml:space="preserve"> − c</w:t>
      </w:r>
      <w:r>
        <w:rPr>
          <w:color w:val="000000"/>
          <w:vertAlign w:val="subscript"/>
        </w:rPr>
        <w:t>i</w:t>
      </w:r>
      <w:r>
        <w:rPr>
          <w:color w:val="000000"/>
        </w:rPr>
        <w:t>)</w:t>
      </w:r>
      <w:r>
        <w:rPr>
          <w:color w:val="000000"/>
          <w:vertAlign w:val="subscript"/>
        </w:rPr>
        <w:t>+</w:t>
      </w:r>
      <w:r>
        <w:rPr>
          <w:color w:val="000000"/>
        </w:rPr>
        <w:t>, and t</w:t>
      </w:r>
      <w:r>
        <w:rPr>
          <w:color w:val="000000"/>
          <w:vertAlign w:val="subscript"/>
        </w:rPr>
        <w:t>post,i</w:t>
      </w:r>
      <w:r>
        <w:rPr>
          <w:color w:val="000000"/>
        </w:rPr>
        <w:t xml:space="preserve"> = (c</w:t>
      </w:r>
      <w:r>
        <w:rPr>
          <w:color w:val="000000"/>
          <w:vertAlign w:val="subscript"/>
        </w:rPr>
        <w:t>i</w:t>
      </w:r>
      <w:r>
        <w:rPr>
          <w:color w:val="000000"/>
        </w:rPr>
        <w:t xml:space="preserve"> − τ</w:t>
      </w:r>
      <w:r>
        <w:rPr>
          <w:color w:val="000000"/>
          <w:vertAlign w:val="subscript"/>
        </w:rPr>
        <w:t>b</w:t>
      </w:r>
      <w:r>
        <w:rPr>
          <w:color w:val="000000"/>
        </w:rPr>
        <w:t>)</w:t>
      </w:r>
      <w:r>
        <w:rPr>
          <w:color w:val="000000"/>
          <w:vertAlign w:val="subscript"/>
        </w:rPr>
        <w:t>+</w:t>
      </w:r>
      <w:r>
        <w:rPr>
          <w:color w:val="000000"/>
        </w:rPr>
        <w:t>, where (x)</w:t>
      </w:r>
      <w:r>
        <w:rPr>
          <w:color w:val="000000"/>
          <w:vertAlign w:val="subscript"/>
        </w:rPr>
        <w:t>+</w:t>
      </w:r>
      <w:r>
        <w:rPr>
          <w:color w:val="000000"/>
        </w:rPr>
        <w:t xml:space="preserve"> = max(x, 0). A fixed horizon H = 260 h was used only as a time-scaling constant. The Via infection-stage descriptor vector was defined as:</w:t>
      </w:r>
    </w:p>
    <w:p>
      <w:pPr>
        <w:pStyle w:val="Normal"/>
        <w:spacing w:lineRule="auto" w:line="480" w:before="0" w:after="80"/>
        <w:ind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m:t xml:space="preserve">ϕ</m:t>
              </m:r>
            </m:e>
            <m:sub>
              <m:r>
                <m:t xml:space="preserve">i</m:t>
              </m:r>
            </m:sub>
            <m:sup>
              <m:r>
                <m:t xml:space="preserve">Via</m:t>
              </m:r>
            </m:sup>
          </m:sSubSup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[</m:t>
          </m:r>
          <m:sSub>
            <m:e>
              <m:r>
                <m:t xml:space="preserve">τ</m:t>
              </m:r>
            </m:e>
            <m:sub>
              <m:r>
                <m:t xml:space="preserve">b</m:t>
              </m:r>
            </m:sub>
          </m:sSub>
          <m:r>
            <m:rPr>
              <m:lit/>
              <m:nor/>
            </m:rPr>
            <m:t xml:space="preserve">/</m:t>
          </m:r>
          <m:r>
            <m:t xml:space="preserve">H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c</m:t>
              </m:r>
            </m:e>
            <m:sub>
              <m:r>
                <m:t xml:space="preserve">i</m:t>
              </m:r>
            </m:sub>
          </m:sSub>
          <m:r>
            <m:rPr>
              <m:lit/>
              <m:nor/>
            </m:rPr>
            <m:t xml:space="preserve">/</m:t>
          </m:r>
          <m:r>
            <m:t xml:space="preserve">H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r>
            <m:t xml:space="preserve">I</m:t>
          </m:r>
          <m:r>
            <m:t xml:space="preserve">(</m:t>
          </m:r>
          <m:sSub>
            <m:e>
              <m:r>
                <m:t xml:space="preserve">Δ</m:t>
              </m:r>
            </m:e>
            <m:sub>
              <m:r>
                <m:t xml:space="preserve">i</m:t>
              </m:r>
            </m:sub>
          </m:sSub>
          <m:r>
            <m:rPr>
              <m:lit/>
              <m:nor/>
            </m:rPr>
            <m:t xml:space="preserve"> </m:t>
          </m:r>
          <m:r>
            <m:t xml:space="preserve">≥</m:t>
          </m:r>
          <m:r>
            <m:rPr>
              <m:lit/>
              <m:nor/>
            </m:rPr>
            <m:t xml:space="preserve"> </m:t>
          </m:r>
          <m:r>
            <m:t xml:space="preserve">0</m:t>
          </m:r>
          <m:r>
            <m:t xml:space="preserve">)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t</m:t>
              </m:r>
            </m:e>
            <m:sub>
              <m:r>
                <m:t xml:space="preserve">pre</m:t>
              </m:r>
              <m:r>
                <m:t xml:space="preserve">,</m:t>
              </m:r>
              <m:r>
                <m:t xml:space="preserve">i</m:t>
              </m:r>
            </m:sub>
          </m:sSub>
          <m:r>
            <m:rPr>
              <m:lit/>
              <m:nor/>
            </m:rPr>
            <m:t xml:space="preserve">/</m:t>
          </m:r>
          <m:r>
            <m:t xml:space="preserve">H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t</m:t>
              </m:r>
            </m:e>
            <m:sub>
              <m:r>
                <m:t xml:space="preserve">post</m:t>
              </m:r>
              <m:r>
                <m:t xml:space="preserve">,</m:t>
              </m:r>
              <m:r>
                <m:t xml:space="preserve">i</m:t>
              </m:r>
            </m:sub>
          </m:sSub>
          <m:r>
            <m:rPr>
              <m:lit/>
              <m:nor/>
            </m:rPr>
            <m:t xml:space="preserve">/H, log(1 + </m:t>
          </m:r>
          <m:sSub>
            <m:e>
              <m:r>
                <m:t xml:space="preserve">t</m:t>
              </m:r>
            </m:e>
            <m:sub>
              <m:r>
                <m:t xml:space="preserve">pre</m:t>
              </m:r>
              <m:r>
                <m:t xml:space="preserve">,</m:t>
              </m:r>
              <m:r>
                <m:t xml:space="preserve">i</m:t>
              </m:r>
            </m:sub>
          </m:sSub>
          <m:r>
            <m:rPr>
              <m:lit/>
              <m:nor/>
            </m:rPr>
            <m:t xml:space="preserve">)/log(1 + H), log(1 + </m:t>
          </m:r>
          <m:sSub>
            <m:e>
              <m:r>
                <m:t xml:space="preserve">t</m:t>
              </m:r>
            </m:e>
            <m:sub>
              <m:r>
                <m:t xml:space="preserve">post</m:t>
              </m:r>
              <m:r>
                <m:t xml:space="preserve">,</m:t>
              </m:r>
              <m:r>
                <m:t xml:space="preserve">i</m:t>
              </m:r>
            </m:sub>
          </m:sSub>
          <m:r>
            <m:rPr>
              <m:lit/>
              <m:nor/>
            </m:rPr>
            <m:t xml:space="preserve">)/log(1 + H)].</m:t>
          </m:r>
        </m:oMath>
      </m:oMathPara>
    </w:p>
    <w:p>
      <w:pPr>
        <w:pStyle w:val="Normal"/>
        <w:spacing w:lineRule="auto" w:line="480" w:before="0" w:after="0"/>
        <w:ind w:firstLine="420"/>
        <w:jc w:val="both"/>
        <w:rPr/>
      </w:pPr>
      <w:r>
        <w:rPr>
          <w:color w:val="000000"/>
        </w:rPr>
        <w:t>Here, τ</w:t>
      </w:r>
      <w:r>
        <w:rPr>
          <w:color w:val="000000"/>
          <w:vertAlign w:val="subscript"/>
        </w:rPr>
        <w:t>b</w:t>
      </w:r>
      <w:r>
        <w:rPr>
          <w:color w:val="000000"/>
        </w:rPr>
        <w:t>/H and c</w:t>
      </w:r>
      <w:r>
        <w:rPr>
          <w:color w:val="000000"/>
          <w:vertAlign w:val="subscript"/>
        </w:rPr>
        <w:t>i</w:t>
      </w:r>
      <w:r>
        <w:rPr>
          <w:color w:val="000000"/>
        </w:rPr>
        <w:t>/H encode the batch inoculation time and current culture time; I(Δ</w:t>
      </w:r>
      <w:r>
        <w:rPr>
          <w:color w:val="000000"/>
          <w:vertAlign w:val="subscript"/>
        </w:rPr>
        <w:t>i</w:t>
      </w:r>
      <w:r>
        <w:rPr>
          <w:color w:val="000000"/>
        </w:rPr>
        <w:t xml:space="preserve"> ≥ 0) indicates whether the spectrum was collected after inoculation; t</w:t>
      </w:r>
      <w:r>
        <w:rPr>
          <w:color w:val="000000"/>
          <w:vertAlign w:val="subscript"/>
        </w:rPr>
        <w:t>pre,i</w:t>
      </w:r>
      <w:r>
        <w:rPr>
          <w:color w:val="000000"/>
        </w:rPr>
        <w:t>/H and t</w:t>
      </w:r>
      <w:r>
        <w:rPr>
          <w:color w:val="000000"/>
          <w:vertAlign w:val="subscript"/>
        </w:rPr>
        <w:t>post,i</w:t>
      </w:r>
      <w:r>
        <w:rPr>
          <w:color w:val="000000"/>
        </w:rPr>
        <w:t>/H encode elapsed time before and after inoculation; and the logarithmic terms allow early process-stage changes to contribute without introducing future offline measurements.</w:t>
      </w:r>
    </w:p>
    <w:p>
      <w:pPr>
        <w:pStyle w:val="Normal"/>
        <w:spacing w:lineRule="auto" w:line="480" w:before="60" w:after="80"/>
        <w:ind w:hanging="0"/>
        <w:jc w:val="start"/>
        <w:rPr/>
      </w:pPr>
      <w:r>
        <w:rPr>
          <w:b/>
          <w:color w:val="000000"/>
          <w:sz w:val="21"/>
        </w:rPr>
        <w:t>Definition of Dim infection-stage descriptors</w:t>
      </w:r>
    </w:p>
    <w:p>
      <w:pPr>
        <w:pStyle w:val="Normal"/>
        <w:spacing w:lineRule="auto" w:line="480" w:before="0" w:after="80"/>
        <w:ind w:firstLine="420"/>
        <w:jc w:val="both"/>
        <w:rPr/>
      </w:pPr>
      <w:r>
        <w:rPr>
          <w:color w:val="000000"/>
        </w:rPr>
        <w:t>For Dim models, c</w:t>
      </w:r>
      <w:r>
        <w:rPr>
          <w:color w:val="000000"/>
          <w:vertAlign w:val="subscript"/>
        </w:rPr>
        <w:t>i</w:t>
      </w:r>
      <w:r>
        <w:rPr>
          <w:color w:val="000000"/>
        </w:rPr>
        <w:t>, τ</w:t>
      </w:r>
      <w:r>
        <w:rPr>
          <w:color w:val="000000"/>
          <w:vertAlign w:val="subscript"/>
        </w:rPr>
        <w:t>b</w:t>
      </w:r>
      <w:r>
        <w:rPr>
          <w:color w:val="000000"/>
        </w:rPr>
        <w:t>, Δ</w:t>
      </w:r>
      <w:r>
        <w:rPr>
          <w:color w:val="000000"/>
          <w:vertAlign w:val="subscript"/>
        </w:rPr>
        <w:t>i</w:t>
      </w:r>
      <w:r>
        <w:rPr>
          <w:color w:val="000000"/>
        </w:rPr>
        <w:t>, t</w:t>
      </w:r>
      <w:r>
        <w:rPr>
          <w:color w:val="000000"/>
          <w:vertAlign w:val="subscript"/>
        </w:rPr>
        <w:t>pre,i</w:t>
      </w:r>
      <w:r>
        <w:rPr>
          <w:color w:val="000000"/>
        </w:rPr>
        <w:t>, t</w:t>
      </w:r>
      <w:r>
        <w:rPr>
          <w:color w:val="000000"/>
          <w:vertAlign w:val="subscript"/>
        </w:rPr>
        <w:t>post,i</w:t>
      </w:r>
      <w:r>
        <w:rPr>
          <w:color w:val="000000"/>
        </w:rPr>
        <w:t>, and (x)</w:t>
      </w:r>
      <w:r>
        <w:rPr>
          <w:color w:val="000000"/>
          <w:vertAlign w:val="subscript"/>
        </w:rPr>
        <w:t>+</w:t>
      </w:r>
      <w:r>
        <w:rPr>
          <w:color w:val="000000"/>
        </w:rPr>
        <w:t xml:space="preserve"> followed the definitions above. The Dim infection-stage descriptor vector was defined as:</w:t>
      </w:r>
    </w:p>
    <w:p>
      <w:pPr>
        <w:pStyle w:val="Normal"/>
        <w:spacing w:lineRule="auto" w:line="480" w:before="0" w:after="80"/>
        <w:ind w:hanging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ψ</m:t>
              </m:r>
            </m:e>
            <m:sub>
              <m:r>
                <m:t xml:space="preserve">i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[</m:t>
          </m:r>
          <m:sSub>
            <m:e>
              <m:r>
                <m:t xml:space="preserve">I</m:t>
              </m:r>
            </m:e>
            <m:sub>
              <m:r>
                <m:t xml:space="preserve">i</m:t>
              </m:r>
            </m:sub>
          </m:sSub>
          <m:r>
            <m:t xml:space="preserve">,</m:t>
          </m:r>
          <m:sSub>
            <m:e>
              <m:r>
                <m:t xml:space="preserve">u</m:t>
              </m:r>
            </m:e>
            <m:sub>
              <m:r>
                <m:t xml:space="preserve">i</m:t>
              </m:r>
            </m:sub>
          </m:sSub>
          <m:r>
            <m:t xml:space="preserve">,</m:t>
          </m:r>
          <m:sSub>
            <m:e>
              <m:r>
                <m:t xml:space="preserve">v</m:t>
              </m:r>
            </m:e>
            <m:sub>
              <m:r>
                <m:t xml:space="preserve">i</m:t>
              </m:r>
            </m:sub>
          </m:sSub>
          <m:r>
            <m:t xml:space="preserve">,</m:t>
          </m:r>
          <m:sSub>
            <m:e>
              <m:r>
                <m:t xml:space="preserve">w</m:t>
              </m:r>
            </m:e>
            <m:sub>
              <m:r>
                <m:t xml:space="preserve">i</m:t>
              </m:r>
            </m:sub>
          </m:sSub>
          <m:r>
            <m:t xml:space="preserve">,</m:t>
          </m:r>
          <m:sSub>
            <m:e>
              <m:r>
                <m:t xml:space="preserve">q</m:t>
              </m:r>
            </m:e>
            <m:sub>
              <m:r>
                <m:t xml:space="preserve">i</m:t>
              </m:r>
            </m:sub>
          </m:sSub>
          <m:r>
            <m:t xml:space="preserve">,</m:t>
          </m:r>
          <m:sSub>
            <m:e>
              <m:r>
                <m:t xml:space="preserve">h</m:t>
              </m:r>
            </m:e>
            <m:sub>
              <m:r>
                <m:t xml:space="preserve">i</m:t>
              </m:r>
            </m:sub>
          </m:sSub>
          <m:r>
            <m:t xml:space="preserve">,</m:t>
          </m:r>
          <m:sSub>
            <m:e>
              <m:r>
                <m:t xml:space="preserve">G</m:t>
              </m:r>
            </m:e>
            <m:sub>
              <m:r>
                <m:t xml:space="preserve">48</m:t>
              </m:r>
              <m:r>
                <m:t xml:space="preserve">,</m:t>
              </m:r>
              <m:r>
                <m:t xml:space="preserve">i</m:t>
              </m:r>
            </m:sub>
          </m:sSub>
          <m:r>
            <m:t xml:space="preserve">,</m:t>
          </m:r>
          <m:sSub>
            <m:e>
              <m:r>
                <m:t xml:space="preserve">G</m:t>
              </m:r>
            </m:e>
            <m:sub>
              <m:r>
                <m:t xml:space="preserve">72</m:t>
              </m:r>
              <m:r>
                <m:t xml:space="preserve">,</m:t>
              </m:r>
              <m:r>
                <m:t xml:space="preserve">i</m:t>
              </m:r>
            </m:sub>
          </m:sSub>
          <m:r>
            <m:t xml:space="preserve">,</m:t>
          </m:r>
          <m:sSub>
            <m:e>
              <m:r>
                <m:t xml:space="preserve">L</m:t>
              </m:r>
            </m:e>
            <m:sub>
              <m:r>
                <m:t xml:space="preserve">96</m:t>
              </m:r>
              <m:r>
                <m:t xml:space="preserve">,</m:t>
              </m:r>
              <m:r>
                <m:t xml:space="preserve">i</m:t>
              </m:r>
            </m:sub>
          </m:sSub>
          <m:r>
            <m:t xml:space="preserve">,</m:t>
          </m:r>
          <m:sSub>
            <m:e>
              <m:r>
                <m:t xml:space="preserve">L</m:t>
              </m:r>
            </m:e>
            <m:sub>
              <m:r>
                <m:t xml:space="preserve">120</m:t>
              </m:r>
              <m:r>
                <m:t xml:space="preserve">,</m:t>
              </m:r>
              <m:r>
                <m:t xml:space="preserve">i</m:t>
              </m:r>
            </m:sub>
          </m:sSub>
          <m:r>
            <m:t xml:space="preserve">,</m:t>
          </m:r>
          <m:sSub>
            <m:e>
              <m:r>
                <m:t xml:space="preserve">L</m:t>
              </m:r>
            </m:e>
            <m:sub>
              <m:r>
                <m:t xml:space="preserve">120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,</m:t>
              </m:r>
              <m:r>
                <m:t xml:space="preserve">i</m:t>
              </m:r>
            </m:sub>
          </m:sSub>
          <m:r>
            <m:t xml:space="preserve">,</m:t>
          </m:r>
          <m:sSub>
            <m:e>
              <m:r>
                <m:t xml:space="preserve">L</m:t>
              </m:r>
            </m:e>
            <m:sub>
              <m:r>
                <m:t xml:space="preserve">160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,</m:t>
              </m:r>
              <m:r>
                <m:t xml:space="preserve">i</m:t>
              </m:r>
            </m:sub>
          </m:sSub>
          <m:r>
            <m:t xml:space="preserve">]</m:t>
          </m:r>
        </m:oMath>
      </m:oMathPara>
    </w:p>
    <w:p>
      <w:pPr>
        <w:pStyle w:val="Normal"/>
        <w:spacing w:lineRule="auto" w:line="480" w:before="0" w:after="80"/>
        <w:ind w:firstLine="420"/>
        <w:jc w:val="both"/>
        <w:rPr/>
      </w:pPr>
      <w:r>
        <w:rPr>
          <w:color w:val="000000"/>
        </w:rPr>
        <w:t>Here, I</w:t>
      </w:r>
      <w:r>
        <w:rPr>
          <w:color w:val="000000"/>
          <w:vertAlign w:val="subscript"/>
        </w:rPr>
        <w:t>i</w:t>
      </w:r>
      <w:r>
        <w:rPr>
          <w:color w:val="000000"/>
        </w:rPr>
        <w:t xml:space="preserve"> = I(Δ</w:t>
      </w:r>
      <w:r>
        <w:rPr>
          <w:color w:val="000000"/>
          <w:vertAlign w:val="subscript"/>
        </w:rPr>
        <w:t>i</w:t>
      </w:r>
      <w:r>
        <w:rPr>
          <w:color w:val="000000"/>
        </w:rPr>
        <w:t xml:space="preserve"> ≥ 0), u</w:t>
      </w:r>
      <w:r>
        <w:rPr>
          <w:color w:val="000000"/>
          <w:vertAlign w:val="subscript"/>
        </w:rPr>
        <w:t>i</w:t>
      </w:r>
      <w:r>
        <w:rPr>
          <w:color w:val="000000"/>
        </w:rPr>
        <w:t xml:space="preserve"> = t</w:t>
      </w:r>
      <w:r>
        <w:rPr>
          <w:color w:val="000000"/>
          <w:vertAlign w:val="subscript"/>
        </w:rPr>
        <w:t>pre,i</w:t>
      </w:r>
      <w:r>
        <w:rPr>
          <w:color w:val="000000"/>
        </w:rPr>
        <w:t>/100, v</w:t>
      </w:r>
      <w:r>
        <w:rPr>
          <w:color w:val="000000"/>
          <w:vertAlign w:val="subscript"/>
        </w:rPr>
        <w:t>i</w:t>
      </w:r>
      <w:r>
        <w:rPr>
          <w:color w:val="000000"/>
        </w:rPr>
        <w:t xml:space="preserve"> = log(1 + t</w:t>
      </w:r>
      <w:r>
        <w:rPr>
          <w:color w:val="000000"/>
          <w:vertAlign w:val="subscript"/>
        </w:rPr>
        <w:t>pre,i</w:t>
      </w:r>
      <w:r>
        <w:rPr>
          <w:color w:val="000000"/>
        </w:rPr>
        <w:t>), w</w:t>
      </w:r>
      <w:r>
        <w:rPr>
          <w:color w:val="000000"/>
          <w:vertAlign w:val="subscript"/>
        </w:rPr>
        <w:t>i</w:t>
      </w:r>
      <w:r>
        <w:rPr>
          <w:color w:val="000000"/>
        </w:rPr>
        <w:t xml:space="preserve"> = t</w:t>
      </w:r>
      <w:r>
        <w:rPr>
          <w:color w:val="000000"/>
          <w:vertAlign w:val="subscript"/>
        </w:rPr>
        <w:t>post,i</w:t>
      </w:r>
      <w:r>
        <w:rPr>
          <w:color w:val="000000"/>
        </w:rPr>
        <w:t>/100, q</w:t>
      </w:r>
      <w:r>
        <w:rPr>
          <w:color w:val="000000"/>
          <w:vertAlign w:val="subscript"/>
        </w:rPr>
        <w:t>i</w:t>
      </w:r>
      <w:r>
        <w:rPr>
          <w:color w:val="000000"/>
        </w:rPr>
        <w:t xml:space="preserve"> = sqrt(t</w:t>
      </w:r>
      <w:r>
        <w:rPr>
          <w:color w:val="000000"/>
          <w:vertAlign w:val="subscript"/>
        </w:rPr>
        <w:t>post,i</w:t>
      </w:r>
      <w:r>
        <w:rPr>
          <w:color w:val="000000"/>
        </w:rPr>
        <w:t>), and h</w:t>
      </w:r>
      <w:r>
        <w:rPr>
          <w:color w:val="000000"/>
          <w:vertAlign w:val="subscript"/>
        </w:rPr>
        <w:t>i</w:t>
      </w:r>
      <w:r>
        <w:rPr>
          <w:color w:val="000000"/>
        </w:rPr>
        <w:t xml:space="preserve"> = log(1 + t</w:t>
      </w:r>
      <w:r>
        <w:rPr>
          <w:color w:val="000000"/>
          <w:vertAlign w:val="subscript"/>
        </w:rPr>
        <w:t>post,i</w:t>
      </w:r>
      <w:r>
        <w:rPr>
          <w:color w:val="000000"/>
        </w:rPr>
        <w:t>). G</w:t>
      </w:r>
      <w:r>
        <w:rPr>
          <w:color w:val="000000"/>
          <w:vertAlign w:val="subscript"/>
        </w:rPr>
        <w:t>48,i</w:t>
      </w:r>
      <w:r>
        <w:rPr>
          <w:color w:val="000000"/>
        </w:rPr>
        <w:t xml:space="preserve"> and G</w:t>
      </w:r>
      <w:r>
        <w:rPr>
          <w:color w:val="000000"/>
          <w:vertAlign w:val="subscript"/>
        </w:rPr>
        <w:t>72,i</w:t>
      </w:r>
      <w:r>
        <w:rPr>
          <w:color w:val="000000"/>
        </w:rPr>
        <w:t xml:space="preserve"> denote the two post-inoculation Gaussian windows, defined as exp[-0.5((t</w:t>
      </w:r>
      <w:r>
        <w:rPr>
          <w:color w:val="000000"/>
          <w:vertAlign w:val="subscript"/>
        </w:rPr>
        <w:t>post,i</w:t>
      </w:r>
      <w:r>
        <w:rPr>
          <w:color w:val="000000"/>
        </w:rPr>
        <w:t xml:space="preserve"> − 48)/24)</w:t>
      </w:r>
      <w:r>
        <w:rPr>
          <w:color w:val="000000"/>
          <w:vertAlign w:val="superscript"/>
        </w:rPr>
        <w:t>2</w:t>
      </w:r>
      <w:r>
        <w:rPr>
          <w:color w:val="000000"/>
        </w:rPr>
        <w:t>]I(Δ</w:t>
      </w:r>
      <w:r>
        <w:rPr>
          <w:color w:val="000000"/>
          <w:vertAlign w:val="subscript"/>
        </w:rPr>
        <w:t>i</w:t>
      </w:r>
      <w:r>
        <w:rPr>
          <w:color w:val="000000"/>
        </w:rPr>
        <w:t xml:space="preserve"> ≥ 0) and exp[-0.5((t</w:t>
      </w:r>
      <w:r>
        <w:rPr>
          <w:color w:val="000000"/>
          <w:vertAlign w:val="subscript"/>
        </w:rPr>
        <w:t>post,i</w:t>
      </w:r>
      <w:r>
        <w:rPr>
          <w:color w:val="000000"/>
        </w:rPr>
        <w:t xml:space="preserve"> − 72)/30)</w:t>
      </w:r>
      <w:r>
        <w:rPr>
          <w:color w:val="000000"/>
          <w:vertAlign w:val="superscript"/>
        </w:rPr>
        <w:t>2</w:t>
      </w:r>
      <w:r>
        <w:rPr>
          <w:color w:val="000000"/>
        </w:rPr>
        <w:t>]I(Δ</w:t>
      </w:r>
      <w:r>
        <w:rPr>
          <w:color w:val="000000"/>
          <w:vertAlign w:val="subscript"/>
        </w:rPr>
        <w:t>i</w:t>
      </w:r>
      <w:r>
        <w:rPr>
          <w:color w:val="000000"/>
        </w:rPr>
        <w:t xml:space="preserve"> ≥ 0), respectively. L</w:t>
      </w:r>
      <w:r>
        <w:rPr>
          <w:color w:val="000000"/>
          <w:vertAlign w:val="subscript"/>
        </w:rPr>
        <w:t>96,i</w:t>
      </w:r>
      <w:r>
        <w:rPr>
          <w:color w:val="000000"/>
        </w:rPr>
        <w:t xml:space="preserve"> and L</w:t>
      </w:r>
      <w:r>
        <w:rPr>
          <w:color w:val="000000"/>
          <w:vertAlign w:val="subscript"/>
        </w:rPr>
        <w:t>120,i</w:t>
      </w:r>
      <w:r>
        <w:rPr>
          <w:color w:val="000000"/>
        </w:rPr>
        <w:t xml:space="preserve"> are late-stage indicators, and L</w:t>
      </w:r>
      <w:r>
        <w:rPr>
          <w:color w:val="000000"/>
          <w:vertAlign w:val="subscript"/>
        </w:rPr>
        <w:t>120+,i</w:t>
      </w:r>
      <w:r>
        <w:rPr>
          <w:color w:val="000000"/>
        </w:rPr>
        <w:t xml:space="preserve"> and L</w:t>
      </w:r>
      <w:r>
        <w:rPr>
          <w:color w:val="000000"/>
          <w:vertAlign w:val="subscript"/>
        </w:rPr>
        <w:t>160+,i</w:t>
      </w:r>
      <w:r>
        <w:rPr>
          <w:color w:val="000000"/>
        </w:rPr>
        <w:t xml:space="preserve"> are the corresponding scaled positive-part terms.</w:t>
      </w:r>
    </w:p>
    <w:p>
      <w:pPr>
        <w:pStyle w:val="Normal"/>
        <w:spacing w:lineRule="auto" w:line="480" w:before="160" w:after="120"/>
        <w:ind w:hanging="0"/>
        <w:jc w:val="start"/>
        <w:rPr>
          <w:rFonts w:eastAsia="Times New Roman"/>
          <w:b/>
          <w:sz w:val="24"/>
        </w:rPr>
      </w:pPr>
      <w:r>
        <w:rPr>
          <w:rFonts w:eastAsia="Times New Roman"/>
          <w:b/>
          <w:sz w:val="24"/>
        </w:rPr>
      </w:r>
    </w:p>
    <w:p>
      <w:pPr>
        <w:pStyle w:val="Normal"/>
        <w:spacing w:lineRule="auto" w:line="480" w:before="160" w:after="120"/>
        <w:ind w:hanging="0"/>
        <w:jc w:val="start"/>
        <w:rPr>
          <w:rFonts w:eastAsia="Times New Roman"/>
          <w:b/>
          <w:sz w:val="24"/>
        </w:rPr>
      </w:pPr>
      <w:r>
        <w:rPr>
          <w:rFonts w:eastAsia="Times New Roman"/>
          <w:b/>
          <w:sz w:val="24"/>
        </w:rPr>
        <w:t>Supplementary Tables</w:t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>
          <w:rFonts w:eastAsia="Times New Roman"/>
          <w:b/>
          <w:color w:val="000000"/>
          <w:sz w:val="20"/>
        </w:rPr>
        <w:t>Table S1.</w:t>
      </w:r>
      <w:r>
        <w:rPr>
          <w:rFonts w:eastAsia="Times New Roman"/>
          <w:color w:val="000000"/>
          <w:sz w:val="20"/>
        </w:rPr>
        <w:t xml:space="preserve"> Batch-wise spectra and offline-point counts used for calibration and independent-test evaluation.</w:t>
      </w:r>
    </w:p>
    <w:tbl>
      <w:tblPr>
        <w:tblStyle w:val="TableGrid"/>
        <w:tblW w:w="5000" w:type="pct"/>
        <w:jc w:val="center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  <w:tblLook w:val="04a0" w:firstRow="1" w:noVBand="1" w:lastRow="0" w:firstColumn="1" w:lastColumn="0" w:noHBand="0"/>
      </w:tblPr>
      <w:tblGrid>
        <w:gridCol w:w="1268"/>
        <w:gridCol w:w="1269"/>
        <w:gridCol w:w="1269"/>
        <w:gridCol w:w="1269"/>
        <w:gridCol w:w="1268"/>
        <w:gridCol w:w="1271"/>
        <w:gridCol w:w="1267"/>
        <w:gridCol w:w="1270"/>
        <w:gridCol w:w="1269"/>
        <w:gridCol w:w="1269"/>
        <w:gridCol w:w="1269"/>
      </w:tblGrid>
      <w:tr>
        <w:trPr>
          <w:tblHeader w:val="true"/>
          <w:cantSplit/>
        </w:trPr>
        <w:tc>
          <w:tcPr>
            <w:tcW w:w="1268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Batch</w:t>
            </w:r>
          </w:p>
        </w:tc>
        <w:tc>
          <w:tcPr>
            <w:tcW w:w="126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Role</w:t>
            </w:r>
          </w:p>
        </w:tc>
        <w:tc>
          <w:tcPr>
            <w:tcW w:w="126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Full online Raman spectra</w:t>
            </w:r>
          </w:p>
        </w:tc>
        <w:tc>
          <w:tcPr>
            <w:tcW w:w="126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Matched spectra rows (VCD/Via/Dim)</w:t>
            </w:r>
          </w:p>
        </w:tc>
        <w:tc>
          <w:tcPr>
            <w:tcW w:w="1268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Matched spectra rows (Glc/Gln/NH4)</w:t>
            </w:r>
          </w:p>
        </w:tc>
        <w:tc>
          <w:tcPr>
            <w:tcW w:w="1271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Matched spectra rows (eHA positive)</w:t>
            </w:r>
          </w:p>
        </w:tc>
        <w:tc>
          <w:tcPr>
            <w:tcW w:w="1267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Matched spectra rows (tHA positive)</w:t>
            </w:r>
          </w:p>
        </w:tc>
        <w:tc>
          <w:tcPr>
            <w:tcW w:w="1270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Offline points (VCD/Via/Dim)</w:t>
            </w:r>
          </w:p>
        </w:tc>
        <w:tc>
          <w:tcPr>
            <w:tcW w:w="126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Offline points (Glc/Gln/NH4)</w:t>
            </w:r>
          </w:p>
        </w:tc>
        <w:tc>
          <w:tcPr>
            <w:tcW w:w="126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Positive offline points (eHA)</w:t>
            </w:r>
          </w:p>
        </w:tc>
        <w:tc>
          <w:tcPr>
            <w:tcW w:w="126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Positive offline points (tHA)</w:t>
            </w:r>
          </w:p>
        </w:tc>
      </w:tr>
      <w:tr>
        <w:trPr>
          <w:cantSplit/>
        </w:trPr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Batch1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Calibration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1573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110</w:t>
            </w:r>
          </w:p>
        </w:tc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110</w:t>
            </w:r>
          </w:p>
        </w:tc>
        <w:tc>
          <w:tcPr>
            <w:tcW w:w="127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40</w:t>
            </w:r>
          </w:p>
        </w:tc>
        <w:tc>
          <w:tcPr>
            <w:tcW w:w="12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40</w:t>
            </w:r>
          </w:p>
        </w:tc>
        <w:tc>
          <w:tcPr>
            <w:tcW w:w="127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22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22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/>
        </w:trPr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Batch2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Calibration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854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50</w:t>
            </w:r>
          </w:p>
        </w:tc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50</w:t>
            </w:r>
          </w:p>
        </w:tc>
        <w:tc>
          <w:tcPr>
            <w:tcW w:w="127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35</w:t>
            </w:r>
          </w:p>
        </w:tc>
        <w:tc>
          <w:tcPr>
            <w:tcW w:w="12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40</w:t>
            </w:r>
          </w:p>
        </w:tc>
        <w:tc>
          <w:tcPr>
            <w:tcW w:w="127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/>
        </w:trPr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Batch3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Calibration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1002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55</w:t>
            </w:r>
          </w:p>
        </w:tc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45</w:t>
            </w:r>
          </w:p>
        </w:tc>
        <w:tc>
          <w:tcPr>
            <w:tcW w:w="127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30</w:t>
            </w:r>
          </w:p>
        </w:tc>
        <w:tc>
          <w:tcPr>
            <w:tcW w:w="12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35</w:t>
            </w:r>
          </w:p>
        </w:tc>
        <w:tc>
          <w:tcPr>
            <w:tcW w:w="127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11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7</w:t>
            </w:r>
          </w:p>
        </w:tc>
      </w:tr>
      <w:tr>
        <w:trPr>
          <w:cantSplit/>
        </w:trPr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Batch4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Calibration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1433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85</w:t>
            </w:r>
          </w:p>
        </w:tc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127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35</w:t>
            </w:r>
          </w:p>
        </w:tc>
        <w:tc>
          <w:tcPr>
            <w:tcW w:w="12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40</w:t>
            </w:r>
          </w:p>
        </w:tc>
        <w:tc>
          <w:tcPr>
            <w:tcW w:w="127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17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/>
        </w:trPr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Batch5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Calibration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996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65</w:t>
            </w:r>
          </w:p>
        </w:tc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50</w:t>
            </w:r>
          </w:p>
        </w:tc>
        <w:tc>
          <w:tcPr>
            <w:tcW w:w="127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30</w:t>
            </w:r>
          </w:p>
        </w:tc>
        <w:tc>
          <w:tcPr>
            <w:tcW w:w="12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40</w:t>
            </w:r>
          </w:p>
        </w:tc>
        <w:tc>
          <w:tcPr>
            <w:tcW w:w="127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13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/>
        </w:trPr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Batch6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Calibration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848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45</w:t>
            </w:r>
          </w:p>
        </w:tc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35</w:t>
            </w:r>
          </w:p>
        </w:tc>
        <w:tc>
          <w:tcPr>
            <w:tcW w:w="127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35</w:t>
            </w:r>
          </w:p>
        </w:tc>
        <w:tc>
          <w:tcPr>
            <w:tcW w:w="12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40</w:t>
            </w:r>
          </w:p>
        </w:tc>
        <w:tc>
          <w:tcPr>
            <w:tcW w:w="127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/>
        </w:trPr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Batch7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Calibration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844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45</w:t>
            </w:r>
          </w:p>
        </w:tc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45</w:t>
            </w:r>
          </w:p>
        </w:tc>
        <w:tc>
          <w:tcPr>
            <w:tcW w:w="127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40</w:t>
            </w:r>
          </w:p>
        </w:tc>
        <w:tc>
          <w:tcPr>
            <w:tcW w:w="12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40</w:t>
            </w:r>
          </w:p>
        </w:tc>
        <w:tc>
          <w:tcPr>
            <w:tcW w:w="127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/>
        </w:trPr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Independent test batch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Independent test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1549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65</w:t>
            </w:r>
          </w:p>
        </w:tc>
        <w:tc>
          <w:tcPr>
            <w:tcW w:w="12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65</w:t>
            </w:r>
          </w:p>
        </w:tc>
        <w:tc>
          <w:tcPr>
            <w:tcW w:w="127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40</w:t>
            </w:r>
          </w:p>
        </w:tc>
        <w:tc>
          <w:tcPr>
            <w:tcW w:w="126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40</w:t>
            </w:r>
          </w:p>
        </w:tc>
        <w:tc>
          <w:tcPr>
            <w:tcW w:w="127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13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13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126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>
          <w:cantSplit/>
        </w:trPr>
        <w:tc>
          <w:tcPr>
            <w:tcW w:w="1268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Total</w:t>
            </w:r>
          </w:p>
        </w:tc>
        <w:tc>
          <w:tcPr>
            <w:tcW w:w="1269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All batches</w:t>
            </w:r>
          </w:p>
        </w:tc>
        <w:tc>
          <w:tcPr>
            <w:tcW w:w="1269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9099</w:t>
            </w:r>
          </w:p>
        </w:tc>
        <w:tc>
          <w:tcPr>
            <w:tcW w:w="1269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520</w:t>
            </w:r>
          </w:p>
        </w:tc>
        <w:tc>
          <w:tcPr>
            <w:tcW w:w="1268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400</w:t>
            </w:r>
          </w:p>
        </w:tc>
        <w:tc>
          <w:tcPr>
            <w:tcW w:w="1271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285</w:t>
            </w:r>
          </w:p>
        </w:tc>
        <w:tc>
          <w:tcPr>
            <w:tcW w:w="1267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315</w:t>
            </w:r>
          </w:p>
        </w:tc>
        <w:tc>
          <w:tcPr>
            <w:tcW w:w="1270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104</w:t>
            </w:r>
          </w:p>
        </w:tc>
        <w:tc>
          <w:tcPr>
            <w:tcW w:w="1269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80</w:t>
            </w:r>
          </w:p>
        </w:tc>
        <w:tc>
          <w:tcPr>
            <w:tcW w:w="1269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57</w:t>
            </w:r>
          </w:p>
        </w:tc>
        <w:tc>
          <w:tcPr>
            <w:tcW w:w="1269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Cs w:val="22"/>
                <w:lang w:val="en-US" w:eastAsia="en-US" w:bidi="ar-SA"/>
              </w:rPr>
              <w:t>63</w:t>
            </w:r>
          </w:p>
        </w:tc>
      </w:tr>
    </w:tbl>
    <w:p>
      <w:pPr>
        <w:pStyle w:val="Normal"/>
        <w:spacing w:lineRule="auto" w:line="240" w:before="0" w:after="0"/>
        <w:ind w:hanging="0"/>
        <w:jc w:val="start"/>
        <w:rPr/>
      </w:pPr>
      <w:r>
        <w:rPr>
          <w:color w:val="000000"/>
        </w:rPr>
        <w:t>Note. Matched rows are five Raman rows per offline point after nearest-time matching. Positive eHA/tHA counts include positive HA steps only. Batch1–Batch7 were calibration batches; the final batch was held out for independent testing.</w:t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  <w:t>Table S2. Locked endpoint-characteristic-guided route settings.</w:t>
      </w:r>
    </w:p>
    <w:tbl>
      <w:tblPr>
        <w:tblStyle w:val="TableGrid"/>
        <w:tblW w:w="5000" w:type="pct"/>
        <w:jc w:val="center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  <w:tblLook w:val="04a0" w:firstRow="1" w:noVBand="1" w:lastRow="0" w:firstColumn="1" w:lastColumn="0" w:noHBand="0"/>
      </w:tblPr>
      <w:tblGrid>
        <w:gridCol w:w="1549"/>
        <w:gridCol w:w="1552"/>
        <w:gridCol w:w="1551"/>
        <w:gridCol w:w="1549"/>
        <w:gridCol w:w="1554"/>
        <w:gridCol w:w="1549"/>
        <w:gridCol w:w="1552"/>
        <w:gridCol w:w="1551"/>
        <w:gridCol w:w="1551"/>
      </w:tblGrid>
      <w:tr>
        <w:trPr>
          <w:tblHeader w:val="true"/>
          <w:cantSplit/>
        </w:trPr>
        <w:tc>
          <w:tcPr>
            <w:tcW w:w="154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Target</w:t>
            </w:r>
          </w:p>
        </w:tc>
        <w:tc>
          <w:tcPr>
            <w:tcW w:w="1552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Raman window</w:t>
            </w:r>
          </w:p>
        </w:tc>
        <w:tc>
          <w:tcPr>
            <w:tcW w:w="1551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Spectral preprocessing</w:t>
            </w:r>
          </w:p>
        </w:tc>
        <w:tc>
          <w:tcPr>
            <w:tcW w:w="154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Response scale</w:t>
            </w:r>
          </w:p>
        </w:tc>
        <w:tc>
          <w:tcPr>
            <w:tcW w:w="1554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Feature representation</w:t>
            </w:r>
          </w:p>
        </w:tc>
        <w:tc>
          <w:tcPr>
            <w:tcW w:w="154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Model head</w:t>
            </w:r>
          </w:p>
        </w:tc>
        <w:tc>
          <w:tcPr>
            <w:tcW w:w="1552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Hyperparameters</w:t>
            </w:r>
          </w:p>
        </w:tc>
        <w:tc>
          <w:tcPr>
            <w:tcW w:w="1551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Infection-stage descriptors</w:t>
            </w:r>
          </w:p>
        </w:tc>
        <w:tc>
          <w:tcPr>
            <w:tcW w:w="1551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Selection metric</w:t>
            </w:r>
          </w:p>
        </w:tc>
      </w:tr>
      <w:tr>
        <w:trPr>
          <w:cantSplit/>
        </w:trPr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VCD</w:t>
            </w:r>
          </w:p>
        </w:tc>
        <w:tc>
          <w:tcPr>
            <w:tcW w:w="15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baseline + SG d1 + standardization</w:t>
            </w:r>
          </w:p>
        </w:tc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155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full Raman PLSR</w:t>
            </w:r>
          </w:p>
        </w:tc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6"/>
                <w:szCs w:val="22"/>
                <w:lang w:val="en-US" w:eastAsia="en-US" w:bidi="ar-SA"/>
              </w:rPr>
              <w:t>Reference continuous-regression route</w:t>
            </w:r>
          </w:p>
        </w:tc>
        <w:tc>
          <w:tcPr>
            <w:tcW w:w="15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color w:val="000000"/>
              </w:rPr>
              <w:t>components: 1, 3, 5, and 8; selected n = 8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No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CV RMSE</w:t>
            </w:r>
          </w:p>
        </w:tc>
      </w:tr>
      <w:tr>
        <w:trPr>
          <w:cantSplit/>
        </w:trPr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Glc</w:t>
            </w:r>
          </w:p>
        </w:tc>
        <w:tc>
          <w:tcPr>
            <w:tcW w:w="15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baseline + SG d1 + standardization</w:t>
            </w:r>
          </w:p>
        </w:tc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155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full Raman PLSR</w:t>
            </w:r>
          </w:p>
        </w:tc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6"/>
                <w:szCs w:val="22"/>
                <w:lang w:val="en-US" w:eastAsia="en-US" w:bidi="ar-SA"/>
              </w:rPr>
              <w:t>Reference continuous-regression route</w:t>
            </w:r>
          </w:p>
        </w:tc>
        <w:tc>
          <w:tcPr>
            <w:tcW w:w="15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color w:val="000000"/>
              </w:rPr>
              <w:t>components: 1, 3, 5, and 8; selected n = 3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No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CV RMSE</w:t>
            </w:r>
          </w:p>
        </w:tc>
      </w:tr>
      <w:tr>
        <w:trPr>
          <w:cantSplit/>
        </w:trPr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Gln</w:t>
            </w:r>
          </w:p>
        </w:tc>
        <w:tc>
          <w:tcPr>
            <w:tcW w:w="15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baseline + SG d1 + standardization</w:t>
            </w:r>
          </w:p>
        </w:tc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155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full Raman PLSR</w:t>
            </w:r>
          </w:p>
        </w:tc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6"/>
                <w:szCs w:val="22"/>
                <w:lang w:val="en-US" w:eastAsia="en-US" w:bidi="ar-SA"/>
              </w:rPr>
              <w:t>Reference continuous-regression route</w:t>
            </w:r>
          </w:p>
        </w:tc>
        <w:tc>
          <w:tcPr>
            <w:tcW w:w="15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color w:val="000000"/>
              </w:rPr>
              <w:t>components: 1, 3, 5, and 8; selected n = 8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No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CV RMSE</w:t>
            </w:r>
          </w:p>
        </w:tc>
      </w:tr>
      <w:tr>
        <w:trPr>
          <w:cantSplit/>
        </w:trPr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NH4</w:t>
            </w:r>
          </w:p>
        </w:tc>
        <w:tc>
          <w:tcPr>
            <w:tcW w:w="15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baseline + SG d1 + standardization</w:t>
            </w:r>
          </w:p>
        </w:tc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155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full Raman PLSR</w:t>
            </w:r>
          </w:p>
        </w:tc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6"/>
                <w:szCs w:val="22"/>
                <w:lang w:val="en-US" w:eastAsia="en-US" w:bidi="ar-SA"/>
              </w:rPr>
              <w:t>Reference continuous-regression route</w:t>
            </w:r>
          </w:p>
        </w:tc>
        <w:tc>
          <w:tcPr>
            <w:tcW w:w="15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color w:val="000000"/>
              </w:rPr>
              <w:t>components: 1, 3, 5, and 8; selected n = 8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No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CV RMSE</w:t>
            </w:r>
          </w:p>
        </w:tc>
      </w:tr>
      <w:tr>
        <w:trPr>
          <w:cantSplit/>
        </w:trPr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Via</w:t>
            </w:r>
          </w:p>
        </w:tc>
        <w:tc>
          <w:tcPr>
            <w:tcW w:w="15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baseline + SG d1 + standardization</w:t>
            </w:r>
          </w:p>
        </w:tc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bounded percentage</w:t>
            </w:r>
          </w:p>
        </w:tc>
        <w:tc>
          <w:tcPr>
            <w:tcW w:w="155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SelectKBest k=80</w:t>
            </w:r>
          </w:p>
        </w:tc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Bounded-logit proportional route</w:t>
            </w:r>
          </w:p>
        </w:tc>
        <w:tc>
          <w:tcPr>
            <w:tcW w:w="15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C=10, gamma=scale, epsilon=0.05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Yes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CV RMSE</w:t>
            </w:r>
          </w:p>
        </w:tc>
      </w:tr>
      <w:tr>
        <w:trPr>
          <w:cantSplit/>
        </w:trPr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Dim</w:t>
            </w:r>
          </w:p>
        </w:tc>
        <w:tc>
          <w:tcPr>
            <w:tcW w:w="15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baseline + SG d1 + standardization</w:t>
            </w:r>
          </w:p>
        </w:tc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narrow-range morphology</w:t>
            </w:r>
          </w:p>
        </w:tc>
        <w:tc>
          <w:tcPr>
            <w:tcW w:w="155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SelectKBest k=360</w:t>
            </w:r>
          </w:p>
        </w:tc>
        <w:tc>
          <w:tcPr>
            <w:tcW w:w="154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Logit-range morphological route</w:t>
            </w:r>
          </w:p>
        </w:tc>
        <w:tc>
          <w:tcPr>
            <w:tcW w:w="15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C=10, gamma=scale, epsilon=0.01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Yes</w:t>
            </w:r>
          </w:p>
        </w:tc>
        <w:tc>
          <w:tcPr>
            <w:tcW w:w="155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CV RMSE</w:t>
            </w:r>
          </w:p>
        </w:tc>
      </w:tr>
      <w:tr>
        <w:trPr>
          <w:cantSplit/>
        </w:trPr>
        <w:tc>
          <w:tcPr>
            <w:tcW w:w="1549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eHA/tHA</w:t>
            </w:r>
          </w:p>
        </w:tc>
        <w:tc>
          <w:tcPr>
            <w:tcW w:w="1552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1551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first15 delta + baseline + SG d0 + standardization</w:t>
            </w:r>
          </w:p>
        </w:tc>
        <w:tc>
          <w:tcPr>
            <w:tcW w:w="1549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color w:val="000000"/>
              </w:rPr>
              <w:t>log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color w:val="000000"/>
              </w:rPr>
              <w:t xml:space="preserve"> dilution step</w:t>
            </w:r>
          </w:p>
        </w:tc>
        <w:tc>
          <w:tcPr>
            <w:tcW w:w="1554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Raman latent representation</w:t>
            </w:r>
          </w:p>
        </w:tc>
        <w:tc>
          <w:tcPr>
            <w:tcW w:w="1549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ordinal-threshold probability</w:t>
            </w:r>
          </w:p>
        </w:tc>
        <w:tc>
          <w:tcPr>
            <w:tcW w:w="1552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6"/>
                <w:szCs w:val="22"/>
                <w:lang w:val="en-US" w:eastAsia="en-US" w:bidi="ar-SA"/>
              </w:rPr>
              <w:t>firstN = 15; PLS n in [6, 8, 10]; C in [0.3, 1.0, 3.0]; infection-stage weight in [0.25, 0.5, 1.0] where applicable</w:t>
            </w:r>
          </w:p>
        </w:tc>
        <w:tc>
          <w:tcPr>
            <w:tcW w:w="1551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Route-dependent</w:t>
            </w:r>
          </w:p>
        </w:tc>
        <w:tc>
          <w:tcPr>
            <w:tcW w:w="1551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tolerance-aware loss</w:t>
            </w:r>
          </w:p>
        </w:tc>
      </w:tr>
    </w:tbl>
    <w:p>
      <w:pPr>
        <w:pStyle w:val="Normal"/>
        <w:spacing w:lineRule="auto" w:line="240" w:before="0" w:after="0"/>
        <w:ind w:hanging="0"/>
        <w:jc w:val="start"/>
        <w:rPr/>
      </w:pPr>
      <w:r>
        <w:rPr>
          <w:color w:val="000000"/>
        </w:rPr>
        <w:t>Note. std. = standardization. Routes were selected by calibration-set five-fold CV and tested once in the independent batch.</w:t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  <w:t>Table S3. Reference continuous-regression route settings corresponding to Table 1.</w:t>
      </w:r>
    </w:p>
    <w:tbl>
      <w:tblPr>
        <w:tblStyle w:val="TableGrid"/>
        <w:tblW w:w="5000" w:type="pct"/>
        <w:jc w:val="center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  <w:tblLook w:val="04a0" w:firstRow="1" w:noVBand="1" w:lastRow="0" w:firstColumn="1" w:lastColumn="0" w:noHBand="0"/>
      </w:tblPr>
      <w:tblGrid>
        <w:gridCol w:w="2326"/>
        <w:gridCol w:w="2327"/>
        <w:gridCol w:w="2325"/>
        <w:gridCol w:w="2326"/>
        <w:gridCol w:w="2327"/>
        <w:gridCol w:w="2327"/>
      </w:tblGrid>
      <w:tr>
        <w:trPr>
          <w:tblHeader w:val="true"/>
          <w:cantSplit/>
        </w:trPr>
        <w:tc>
          <w:tcPr>
            <w:tcW w:w="2326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Target</w:t>
            </w:r>
          </w:p>
        </w:tc>
        <w:tc>
          <w:tcPr>
            <w:tcW w:w="2327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Raman window</w:t>
            </w:r>
          </w:p>
        </w:tc>
        <w:tc>
          <w:tcPr>
            <w:tcW w:w="2325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Preprocessing</w:t>
            </w:r>
          </w:p>
        </w:tc>
        <w:tc>
          <w:tcPr>
            <w:tcW w:w="2326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Response scale</w:t>
            </w:r>
          </w:p>
        </w:tc>
        <w:tc>
          <w:tcPr>
            <w:tcW w:w="2327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PLSR components</w:t>
            </w:r>
          </w:p>
        </w:tc>
        <w:tc>
          <w:tcPr>
            <w:tcW w:w="2327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Selection criterion</w:t>
            </w:r>
          </w:p>
        </w:tc>
      </w:tr>
      <w:tr>
        <w:trPr>
          <w:cantSplit/>
        </w:trPr>
        <w:tc>
          <w:tcPr>
            <w:tcW w:w="232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VCD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232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baseline + SG d1 + standardization; median imputation in model pipeline</w:t>
            </w:r>
          </w:p>
        </w:tc>
        <w:tc>
          <w:tcPr>
            <w:tcW w:w="232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Calibration-set five-fold CV RMSE</w:t>
            </w:r>
          </w:p>
        </w:tc>
      </w:tr>
      <w:tr>
        <w:trPr>
          <w:cantSplit/>
        </w:trPr>
        <w:tc>
          <w:tcPr>
            <w:tcW w:w="232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Via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232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baseline + SG d1 + standardization; median imputation in model pipeline</w:t>
            </w:r>
          </w:p>
        </w:tc>
        <w:tc>
          <w:tcPr>
            <w:tcW w:w="232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Calibration-set five-fold CV RMSE</w:t>
            </w:r>
          </w:p>
        </w:tc>
      </w:tr>
      <w:tr>
        <w:trPr>
          <w:cantSplit/>
        </w:trPr>
        <w:tc>
          <w:tcPr>
            <w:tcW w:w="232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Dim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232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baseline + SG d1 + standardization; median imputation in model pipeline</w:t>
            </w:r>
          </w:p>
        </w:tc>
        <w:tc>
          <w:tcPr>
            <w:tcW w:w="232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Calibration-set five-fold CV RMSE</w:t>
            </w:r>
          </w:p>
        </w:tc>
      </w:tr>
      <w:tr>
        <w:trPr>
          <w:cantSplit/>
        </w:trPr>
        <w:tc>
          <w:tcPr>
            <w:tcW w:w="232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eHA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232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baseline + SG d1 + standardization; median imputation in model pipeline</w:t>
            </w:r>
          </w:p>
        </w:tc>
        <w:tc>
          <w:tcPr>
            <w:tcW w:w="232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color w:val="000000"/>
              </w:rPr>
              <w:t>log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color w:val="000000"/>
              </w:rPr>
              <w:t xml:space="preserve"> dilution step; positive labels only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Calibration-set five-fold CV RMSE</w:t>
            </w:r>
          </w:p>
        </w:tc>
      </w:tr>
      <w:tr>
        <w:trPr>
          <w:cantSplit/>
        </w:trPr>
        <w:tc>
          <w:tcPr>
            <w:tcW w:w="232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tHA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232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baseline + SG d1 + standardization; median imputation in model pipeline</w:t>
            </w:r>
          </w:p>
        </w:tc>
        <w:tc>
          <w:tcPr>
            <w:tcW w:w="232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color w:val="000000"/>
              </w:rPr>
              <w:t>log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color w:val="000000"/>
              </w:rPr>
              <w:t xml:space="preserve"> dilution step; positive labels only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Calibration-set five-fold CV RMSE</w:t>
            </w:r>
          </w:p>
        </w:tc>
      </w:tr>
      <w:tr>
        <w:trPr>
          <w:cantSplit/>
        </w:trPr>
        <w:tc>
          <w:tcPr>
            <w:tcW w:w="232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Glc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232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baseline + SG d1 + standardization; median imputation in model pipeline</w:t>
            </w:r>
          </w:p>
        </w:tc>
        <w:tc>
          <w:tcPr>
            <w:tcW w:w="232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Calibration-set five-fold CV RMSE</w:t>
            </w:r>
          </w:p>
        </w:tc>
      </w:tr>
      <w:tr>
        <w:trPr>
          <w:cantSplit/>
        </w:trPr>
        <w:tc>
          <w:tcPr>
            <w:tcW w:w="232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Gln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232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baseline + SG d1 + standardization; median imputation in model pipeline</w:t>
            </w:r>
          </w:p>
        </w:tc>
        <w:tc>
          <w:tcPr>
            <w:tcW w:w="232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232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Calibration-set five-fold CV RMSE</w:t>
            </w:r>
          </w:p>
        </w:tc>
      </w:tr>
      <w:tr>
        <w:trPr>
          <w:cantSplit/>
        </w:trPr>
        <w:tc>
          <w:tcPr>
            <w:tcW w:w="232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NH4</w:t>
            </w:r>
          </w:p>
        </w:tc>
        <w:tc>
          <w:tcPr>
            <w:tcW w:w="2327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500–1800 cm⁻¹</w:t>
            </w:r>
          </w:p>
        </w:tc>
        <w:tc>
          <w:tcPr>
            <w:tcW w:w="2325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baseline + SG d1 + standardization; median imputation in model pipeline</w:t>
            </w:r>
          </w:p>
        </w:tc>
        <w:tc>
          <w:tcPr>
            <w:tcW w:w="232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identity</w:t>
            </w:r>
          </w:p>
        </w:tc>
        <w:tc>
          <w:tcPr>
            <w:tcW w:w="2327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8</w:t>
            </w:r>
          </w:p>
        </w:tc>
        <w:tc>
          <w:tcPr>
            <w:tcW w:w="2327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Calibration-set five-fold CV RMSE</w:t>
            </w:r>
          </w:p>
        </w:tc>
      </w:tr>
    </w:tbl>
    <w:p>
      <w:pPr>
        <w:pStyle w:val="Normal"/>
        <w:spacing w:lineRule="auto" w:line="240" w:before="0" w:after="0"/>
        <w:ind w:hanging="0"/>
        <w:jc w:val="start"/>
        <w:rPr/>
      </w:pPr>
      <w:r>
        <w:rPr>
          <w:color w:val="000000"/>
        </w:rPr>
        <w:t>Note. HA baselines used positive log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 step labels only.</w:t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b/>
          <w:color w:val="000000"/>
          <w:sz w:val="20"/>
        </w:rPr>
      </w:pPr>
      <w:r>
        <w:rPr>
          <w:b/>
          <w:color w:val="000000"/>
          <w:sz w:val="20"/>
        </w:rPr>
        <w:t>Table S4. Point-level calibration-set cross-validation ablation results for Via and Dim endpoint-specific response-compatible routes.</w:t>
      </w:r>
    </w:p>
    <w:tbl>
      <w:tblPr>
        <w:tblStyle w:val="TableGrid"/>
        <w:tblW w:w="14256" w:type="dxa"/>
        <w:jc w:val="center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  <w:tblLook w:val="04a0" w:firstRow="1" w:noVBand="1" w:lastRow="0" w:firstColumn="1" w:lastColumn="0" w:noHBand="0"/>
      </w:tblPr>
      <w:tblGrid>
        <w:gridCol w:w="2376"/>
        <w:gridCol w:w="2375"/>
        <w:gridCol w:w="2377"/>
        <w:gridCol w:w="2376"/>
        <w:gridCol w:w="2375"/>
        <w:gridCol w:w="2377"/>
      </w:tblGrid>
      <w:tr>
        <w:trPr>
          <w:tblHeader w:val="true"/>
          <w:cantSplit/>
        </w:trPr>
        <w:tc>
          <w:tcPr>
            <w:tcW w:w="2376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Target</w:t>
            </w:r>
          </w:p>
        </w:tc>
        <w:tc>
          <w:tcPr>
            <w:tcW w:w="2375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Step</w:t>
            </w:r>
          </w:p>
        </w:tc>
        <w:tc>
          <w:tcPr>
            <w:tcW w:w="2377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Module</w:t>
            </w:r>
          </w:p>
        </w:tc>
        <w:tc>
          <w:tcPr>
            <w:tcW w:w="2376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CV n</w:t>
            </w:r>
          </w:p>
        </w:tc>
        <w:tc>
          <w:tcPr>
            <w:tcW w:w="2375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CV RMSE</w:t>
            </w:r>
          </w:p>
        </w:tc>
        <w:tc>
          <w:tcPr>
            <w:tcW w:w="2377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CV R²</w:t>
            </w:r>
          </w:p>
        </w:tc>
      </w:tr>
      <w:tr>
        <w:trPr>
          <w:cantSplit/>
        </w:trPr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Via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V0 reference continuous-regression route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Full Raman PLSR</w:t>
            </w:r>
          </w:p>
        </w:tc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91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9.0144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0.8884</w:t>
            </w:r>
          </w:p>
        </w:tc>
      </w:tr>
      <w:tr>
        <w:trPr>
          <w:cantSplit/>
        </w:trPr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Via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V1 identity Raman SelectSVR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Raman SelectSVR</w:t>
            </w:r>
          </w:p>
        </w:tc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91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7.8594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0.9152</w:t>
            </w:r>
          </w:p>
        </w:tc>
      </w:tr>
      <w:tr>
        <w:trPr>
          <w:cantSplit/>
        </w:trPr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Via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V2 bounded-logit Raman SelectSVR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Raman SelectSVR</w:t>
            </w:r>
          </w:p>
        </w:tc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91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7.6152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0.9204</w:t>
            </w:r>
          </w:p>
        </w:tc>
      </w:tr>
      <w:tr>
        <w:trPr>
          <w:cantSplit/>
        </w:trPr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Via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V3 identity + infection-stage SelectSVR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Raman SelectSVR + infection-stage descriptors</w:t>
            </w:r>
          </w:p>
        </w:tc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91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5.5184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0.9582</w:t>
            </w:r>
          </w:p>
        </w:tc>
      </w:tr>
      <w:tr>
        <w:trPr>
          <w:cantSplit/>
        </w:trPr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Via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VT bounded-logit infection-stage-only SelectSVR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infection-stage only</w:t>
            </w:r>
          </w:p>
        </w:tc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91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6.5536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0.9410</w:t>
            </w:r>
          </w:p>
        </w:tc>
      </w:tr>
      <w:tr>
        <w:trPr>
          <w:cantSplit/>
        </w:trPr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Via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V4 bounded-logit + infection-stage SelectSVR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Raman SelectSVR + infection-stage descriptors</w:t>
            </w:r>
          </w:p>
        </w:tc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91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4.8125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0.9682</w:t>
            </w:r>
          </w:p>
        </w:tc>
      </w:tr>
      <w:tr>
        <w:trPr>
          <w:cantSplit/>
        </w:trPr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Dim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D0 reference continuous-regression route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Full Raman PLSR</w:t>
            </w:r>
          </w:p>
        </w:tc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91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0.6238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0.6109</w:t>
            </w:r>
          </w:p>
        </w:tc>
      </w:tr>
      <w:tr>
        <w:trPr>
          <w:cantSplit/>
        </w:trPr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Dim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D1 absolute Raman SelectSVR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Raman SelectSVR</w:t>
            </w:r>
          </w:p>
        </w:tc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91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0.5522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0.6950</w:t>
            </w:r>
          </w:p>
        </w:tc>
      </w:tr>
      <w:tr>
        <w:trPr>
          <w:cantSplit/>
        </w:trPr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Dim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D2 logit-range Raman SelectSVR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Raman SelectSVR</w:t>
            </w:r>
          </w:p>
        </w:tc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91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0.5334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0.7155</w:t>
            </w:r>
          </w:p>
        </w:tc>
      </w:tr>
      <w:tr>
        <w:trPr>
          <w:cantSplit/>
        </w:trPr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Dim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D3 absolute + infection-stage SelectSVR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Raman SelectSVR + infection-stage descriptors</w:t>
            </w:r>
          </w:p>
        </w:tc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91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0.4533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0.7945</w:t>
            </w:r>
          </w:p>
        </w:tc>
      </w:tr>
      <w:tr>
        <w:trPr>
          <w:cantSplit/>
        </w:trPr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Dim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DT logit-range infection-stage-only SelectSVR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infection-stage only</w:t>
            </w:r>
          </w:p>
        </w:tc>
        <w:tc>
          <w:tcPr>
            <w:tcW w:w="2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91</w:t>
            </w:r>
          </w:p>
        </w:tc>
        <w:tc>
          <w:tcPr>
            <w:tcW w:w="2375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0.7566</w:t>
            </w:r>
          </w:p>
        </w:tc>
        <w:tc>
          <w:tcPr>
            <w:tcW w:w="23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0.4275</w:t>
            </w:r>
          </w:p>
        </w:tc>
      </w:tr>
      <w:tr>
        <w:trPr>
          <w:cantSplit/>
        </w:trPr>
        <w:tc>
          <w:tcPr>
            <w:tcW w:w="237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Dim</w:t>
            </w:r>
          </w:p>
        </w:tc>
        <w:tc>
          <w:tcPr>
            <w:tcW w:w="2375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D4 logit-range + infection-stage SelectSVR</w:t>
            </w:r>
          </w:p>
        </w:tc>
        <w:tc>
          <w:tcPr>
            <w:tcW w:w="2377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Raman SelectSVR + infection-stage descriptors</w:t>
            </w:r>
          </w:p>
        </w:tc>
        <w:tc>
          <w:tcPr>
            <w:tcW w:w="237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91</w:t>
            </w:r>
          </w:p>
        </w:tc>
        <w:tc>
          <w:tcPr>
            <w:tcW w:w="2375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0.4286</w:t>
            </w:r>
          </w:p>
        </w:tc>
        <w:tc>
          <w:tcPr>
            <w:tcW w:w="2377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0.8163</w:t>
            </w:r>
          </w:p>
        </w:tc>
      </w:tr>
    </w:tbl>
    <w:p>
      <w:pPr>
        <w:pStyle w:val="Normal"/>
        <w:spacing w:lineRule="auto" w:line="240" w:before="0" w:after="0"/>
        <w:ind w:hanging="0"/>
        <w:jc w:val="start"/>
        <w:rPr/>
      </w:pPr>
      <w:r>
        <w:rPr>
          <w:color w:val="000000"/>
        </w:rPr>
        <w:t>Note. Values are calibration-set point-level five-fold CV metrics. Via RMSE is in %, Dim RMSE in μm; stage-only routes use no Raman features.</w:t>
      </w:r>
    </w:p>
    <w:p>
      <w:pPr>
        <w:pStyle w:val="Normal"/>
        <w:spacing w:lineRule="auto" w:line="240" w:before="0" w:after="0"/>
        <w:ind w:hanging="0"/>
        <w:jc w:val="start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</w:r>
    </w:p>
    <w:p>
      <w:pPr>
        <w:pStyle w:val="Normal"/>
        <w:spacing w:lineRule="auto" w:line="240" w:before="0" w:after="0"/>
        <w:ind w:hanging="0"/>
        <w:jc w:val="start"/>
        <w:rPr/>
      </w:pPr>
      <w:r>
        <w:rPr>
          <w:rFonts w:eastAsia="Times New Roman"/>
          <w:b/>
          <w:color w:val="000000"/>
          <w:sz w:val="20"/>
        </w:rPr>
        <w:t>Table S5.</w:t>
      </w:r>
      <w:r>
        <w:rPr>
          <w:rFonts w:eastAsia="Times New Roman"/>
          <w:color w:val="000000"/>
          <w:sz w:val="20"/>
        </w:rPr>
        <w:t xml:space="preserve"> Calibration-set sensitivity analysis for Via sample-distribution weighting.</w:t>
      </w:r>
    </w:p>
    <w:tbl>
      <w:tblPr>
        <w:tblStyle w:val="TableGrid"/>
        <w:tblW w:w="14256" w:type="dxa"/>
        <w:jc w:val="center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  <w:tblLook w:val="04a0" w:firstRow="1" w:noVBand="1" w:lastRow="0" w:firstColumn="1" w:lastColumn="0" w:noHBand="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 w:val="true"/>
          <w:cantSplit/>
        </w:trPr>
        <w:tc>
          <w:tcPr>
            <w:tcW w:w="1782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Target</w:t>
            </w:r>
          </w:p>
        </w:tc>
        <w:tc>
          <w:tcPr>
            <w:tcW w:w="1782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Route</w:t>
            </w:r>
          </w:p>
        </w:tc>
        <w:tc>
          <w:tcPr>
            <w:tcW w:w="1782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Weighting</w:t>
            </w:r>
          </w:p>
        </w:tc>
        <w:tc>
          <w:tcPr>
            <w:tcW w:w="1782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CV n</w:t>
            </w:r>
          </w:p>
        </w:tc>
        <w:tc>
          <w:tcPr>
            <w:tcW w:w="1782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CV RMSE</w:t>
            </w:r>
          </w:p>
        </w:tc>
        <w:tc>
          <w:tcPr>
            <w:tcW w:w="1782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color w:val="000000"/>
                <w:kern w:val="0"/>
                <w:sz w:val="16"/>
                <w:szCs w:val="22"/>
                <w:lang w:val="en-US" w:eastAsia="en-US" w:bidi="ar-SA"/>
              </w:rPr>
              <w:t>CV R²</w:t>
            </w:r>
          </w:p>
        </w:tc>
        <w:tc>
          <w:tcPr>
            <w:tcW w:w="1782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CV MAE</w:t>
            </w:r>
          </w:p>
        </w:tc>
        <w:tc>
          <w:tcPr>
            <w:tcW w:w="1782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000000"/>
                <w:kern w:val="0"/>
                <w:sz w:val="16"/>
                <w:szCs w:val="22"/>
                <w:lang w:val="en-US" w:eastAsia="en-US" w:bidi="ar-SA"/>
              </w:rPr>
              <w:t>CV bias</w:t>
            </w:r>
          </w:p>
        </w:tc>
      </w:tr>
      <w:tr>
        <w:trPr>
          <w:cantSplit/>
        </w:trPr>
        <w:tc>
          <w:tcPr>
            <w:tcW w:w="17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Via</w:t>
            </w:r>
          </w:p>
        </w:tc>
        <w:tc>
          <w:tcPr>
            <w:tcW w:w="17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V4 bounded-logit + infection-stage SelectSVR</w:t>
            </w:r>
          </w:p>
        </w:tc>
        <w:tc>
          <w:tcPr>
            <w:tcW w:w="17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none</w:t>
            </w:r>
          </w:p>
        </w:tc>
        <w:tc>
          <w:tcPr>
            <w:tcW w:w="17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91</w:t>
            </w:r>
          </w:p>
        </w:tc>
        <w:tc>
          <w:tcPr>
            <w:tcW w:w="17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4.8125</w:t>
            </w:r>
          </w:p>
        </w:tc>
        <w:tc>
          <w:tcPr>
            <w:tcW w:w="17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0.9682</w:t>
            </w:r>
          </w:p>
        </w:tc>
        <w:tc>
          <w:tcPr>
            <w:tcW w:w="17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3.0638</w:t>
            </w:r>
          </w:p>
        </w:tc>
        <w:tc>
          <w:tcPr>
            <w:tcW w:w="178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0.4631</w:t>
            </w:r>
          </w:p>
        </w:tc>
      </w:tr>
      <w:tr>
        <w:trPr>
          <w:cantSplit/>
        </w:trPr>
        <w:tc>
          <w:tcPr>
            <w:tcW w:w="1782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Via</w:t>
            </w:r>
          </w:p>
        </w:tc>
        <w:tc>
          <w:tcPr>
            <w:tcW w:w="1782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V5 coarse inverse-frequency weighted V4</w:t>
            </w:r>
          </w:p>
        </w:tc>
        <w:tc>
          <w:tcPr>
            <w:tcW w:w="1782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color w:val="000000"/>
                <w:kern w:val="0"/>
                <w:sz w:val="16"/>
                <w:szCs w:val="22"/>
                <w:lang w:val="en-US" w:eastAsia="en-US" w:bidi="ar-SA"/>
              </w:rPr>
              <w:t>three broad Via strata inverse-frequency weights</w:t>
            </w:r>
          </w:p>
        </w:tc>
        <w:tc>
          <w:tcPr>
            <w:tcW w:w="1782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91</w:t>
            </w:r>
          </w:p>
        </w:tc>
        <w:tc>
          <w:tcPr>
            <w:tcW w:w="1782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4.8680</w:t>
            </w:r>
          </w:p>
        </w:tc>
        <w:tc>
          <w:tcPr>
            <w:tcW w:w="1782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0.9675</w:t>
            </w:r>
          </w:p>
        </w:tc>
        <w:tc>
          <w:tcPr>
            <w:tcW w:w="1782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3.1039</w:t>
            </w:r>
          </w:p>
        </w:tc>
        <w:tc>
          <w:tcPr>
            <w:tcW w:w="1782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color w:val="000000"/>
                <w:kern w:val="0"/>
                <w:sz w:val="16"/>
                <w:szCs w:val="22"/>
                <w:lang w:val="en-US" w:eastAsia="en-US" w:bidi="ar-SA"/>
              </w:rPr>
              <w:t>0.4628</w:t>
            </w:r>
          </w:p>
        </w:tc>
      </w:tr>
    </w:tbl>
    <w:p>
      <w:pPr>
        <w:pStyle w:val="Normal"/>
        <w:spacing w:lineRule="auto" w:line="240" w:before="0" w:after="0"/>
        <w:ind w:hanging="0"/>
        <w:jc w:val="start"/>
        <w:rPr/>
      </w:pPr>
      <w:r>
        <w:rPr>
          <w:color w:val="000000"/>
        </w:rPr>
        <w:t>Note. V5 differs from V4 only by coarse inverse-frequency weighting; it was not used for route locking.</w:t>
      </w:r>
    </w:p>
    <w:p>
      <w:pPr>
        <w:pStyle w:val="Normal"/>
        <w:spacing w:lineRule="auto" w:line="480" w:before="160" w:after="120"/>
        <w:ind w:hanging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480" w:before="160" w:after="120"/>
        <w:ind w:hanging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480" w:before="160" w:after="120"/>
        <w:ind w:hanging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480" w:before="160" w:after="120"/>
        <w:ind w:hanging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480" w:before="160" w:after="120"/>
        <w:ind w:hanging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480" w:before="160" w:after="120"/>
        <w:ind w:hanging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480" w:before="160" w:after="120"/>
        <w:ind w:hanging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480" w:before="160" w:after="120"/>
        <w:ind w:hanging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480" w:before="160" w:after="120"/>
        <w:ind w:hanging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480" w:before="160" w:after="120"/>
        <w:ind w:hanging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480" w:before="160" w:after="120"/>
        <w:ind w:hanging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480" w:before="160" w:after="120"/>
        <w:ind w:hanging="0"/>
        <w:jc w:val="start"/>
        <w:rPr>
          <w:color w:val="000000"/>
        </w:rPr>
      </w:pPr>
      <w:r>
        <w:rPr>
          <w:color w:val="000000"/>
        </w:rPr>
        <w:t>Supplementary Figure S1. Data-derived Raman region evidence.</w:t>
      </w:r>
    </w:p>
    <w:p>
      <w:pPr>
        <w:pStyle w:val="Normal"/>
        <w:spacing w:lineRule="auto" w:line="480" w:before="80" w:after="60"/>
        <w:ind w:hanging="0"/>
        <w:jc w:val="start"/>
        <w:rPr/>
      </w:pPr>
      <w:r>
        <w:rPr>
          <w:color w:val="000000"/>
        </w:rPr>
        <w:t>Figure S1. Data-derived broad-region Raman summaries. A, mean baseline-corrected SNV spectra by inoculation-relative stage; B, differences from pre-inoculation; C, broad-region SNV scores by stage; D, descriptive Spearman correlations between region scores and available matched endpoint labels. Shaded bands mark the broad regions.</w:t>
      </w:r>
    </w:p>
    <w:p>
      <w:pPr>
        <w:pStyle w:val="Normal"/>
        <w:spacing w:lineRule="auto" w:line="480" w:before="0" w:after="80"/>
        <w:ind w:hanging="0"/>
        <w:jc w:val="center"/>
        <w:rPr/>
      </w:pPr>
      <w:r>
        <w:rPr/>
        <w:drawing>
          <wp:inline distT="0" distB="0" distL="0" distR="0">
            <wp:extent cx="6126480" cy="389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89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48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48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48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48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000000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00000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000000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val="000000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000000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000000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000000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val="000000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000000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val="00000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/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/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/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/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/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/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/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/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/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/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/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/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/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  <w:tcPr>
        <w:shd w:val="clear" w:color="auto" w:fill="E6E6E6" w:themeFill="text1" w:themeFillTint="19"/>
      </w:tcPr>
    </w:tblStylePr>
    <w:tblStylePr w:type="lastRow">
      <w:rPr>
        <w:b/>
        <w:bCs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  <w:tcPr>
        <w:shd w:val="clear" w:color="auto" w:fill="EDF2F8" w:themeFill="accent1" w:themeFillTint="19"/>
      </w:tcPr>
    </w:tblStylePr>
    <w:tblStylePr w:type="lastRow">
      <w:rPr>
        <w:b/>
        <w:bCs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  <w:tcPr>
        <w:shd w:val="clear" w:color="auto" w:fill="F8EDED" w:themeFill="accent2" w:themeFillTint="19"/>
      </w:tcPr>
    </w:tblStylePr>
    <w:tblStylePr w:type="lastRow">
      <w:rPr>
        <w:b/>
        <w:bCs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  <w:tcPr>
        <w:shd w:val="clear" w:color="auto" w:fill="F5F8EE" w:themeFill="accent3" w:themeFillTint="19"/>
      </w:tcPr>
    </w:tblStylePr>
    <w:tblStylePr w:type="lastRow">
      <w:rPr>
        <w:b/>
        <w:bCs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  <w:tcPr>
        <w:shd w:val="clear" w:color="auto" w:fill="F2EFF6" w:themeFill="accent4" w:themeFillTint="19"/>
      </w:tcPr>
    </w:tblStylePr>
    <w:tblStylePr w:type="lastRow">
      <w:rPr>
        <w:b/>
        <w:bCs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  <w:tcPr>
        <w:shd w:val="clear" w:color="auto" w:fill="EDF6F9" w:themeFill="accent5" w:themeFillTint="19"/>
      </w:tcPr>
    </w:tblStylePr>
    <w:tblStylePr w:type="lastRow">
      <w:rPr>
        <w:b/>
        <w:bCs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  <w:tcPr>
        <w:shd w:val="clear" w:color="auto" w:fill="FEF4EC" w:themeFill="accent6" w:themeFillTint="19"/>
      </w:tcPr>
    </w:tblStylePr>
    <w:tblStylePr w:type="lastRow">
      <w:rPr>
        <w:b/>
        <w:bCs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/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/>
      <w:tblPr/>
    </w:tblStylePr>
    <w:tblStylePr w:type="nwCell">
      <w:rPr/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/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/>
      <w:tblPr/>
    </w:tblStylePr>
    <w:tblStylePr w:type="nwCell">
      <w:rPr/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/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/>
      <w:tblPr/>
    </w:tblStylePr>
    <w:tblStylePr w:type="nwCell">
      <w:rPr/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/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/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/>
      <w:tblPr/>
    </w:tblStylePr>
    <w:tblStylePr w:type="nwCell">
      <w:rPr/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/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/>
      <w:tblPr/>
    </w:tblStylePr>
    <w:tblStylePr w:type="nwCell">
      <w:rPr/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/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/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/>
      <w:tblPr/>
    </w:tblStylePr>
    <w:tblStylePr w:type="nwCell">
      <w:rPr/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/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</w:rPr>
      <w:tblPr/>
      <w:tcPr>
        <w:shd w:val="clear" w:color="auto" w:fill="999999" w:themeFill="text1" w:themeFillTint="66"/>
      </w:tcPr>
    </w:tblStylePr>
    <w:tblStylePr w:type="firstCol">
      <w:rPr/>
      <w:tblPr/>
      <w:tcPr>
        <w:shd w:val="clear" w:color="auto" w:fill="000000" w:themeFill="text1" w:themeFillShade="bf"/>
      </w:tcPr>
    </w:tblStylePr>
    <w:tblStylePr w:type="lastCol">
      <w:rPr/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/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</w:rPr>
      <w:tblPr/>
      <w:tcPr>
        <w:shd w:val="clear" w:color="auto" w:fill="B8CCE4" w:themeFill="accent1" w:themeFillTint="66"/>
      </w:tcPr>
    </w:tblStylePr>
    <w:tblStylePr w:type="firstCol">
      <w:rPr/>
      <w:tblPr/>
      <w:tcPr>
        <w:shd w:val="clear" w:color="auto" w:fill="365F91" w:themeFill="accent1" w:themeFillShade="bf"/>
      </w:tcPr>
    </w:tblStylePr>
    <w:tblStylePr w:type="lastCol">
      <w:rPr/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/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</w:rPr>
      <w:tblPr/>
      <w:tcPr>
        <w:shd w:val="clear" w:color="auto" w:fill="E5B8B7" w:themeFill="accent2" w:themeFillTint="66"/>
      </w:tcPr>
    </w:tblStylePr>
    <w:tblStylePr w:type="firstCol">
      <w:rPr/>
      <w:tblPr/>
      <w:tcPr>
        <w:shd w:val="clear" w:color="auto" w:fill="943634" w:themeFill="accent2" w:themeFillShade="bf"/>
      </w:tcPr>
    </w:tblStylePr>
    <w:tblStylePr w:type="lastCol">
      <w:rPr/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/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</w:rPr>
      <w:tblPr/>
      <w:tcPr>
        <w:shd w:val="clear" w:color="auto" w:fill="D6E3BC" w:themeFill="accent3" w:themeFillTint="66"/>
      </w:tcPr>
    </w:tblStylePr>
    <w:tblStylePr w:type="firstCol">
      <w:rPr/>
      <w:tblPr/>
      <w:tcPr>
        <w:shd w:val="clear" w:color="auto" w:fill="76923C" w:themeFill="accent3" w:themeFillShade="bf"/>
      </w:tcPr>
    </w:tblStylePr>
    <w:tblStylePr w:type="lastCol">
      <w:rPr/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/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</w:rPr>
      <w:tblPr/>
      <w:tcPr>
        <w:shd w:val="clear" w:color="auto" w:fill="CCC0D9" w:themeFill="accent4" w:themeFillTint="66"/>
      </w:tcPr>
    </w:tblStylePr>
    <w:tblStylePr w:type="firstCol">
      <w:rPr/>
      <w:tblPr/>
      <w:tcPr>
        <w:shd w:val="clear" w:color="auto" w:fill="5F497A" w:themeFill="accent4" w:themeFillShade="bf"/>
      </w:tcPr>
    </w:tblStylePr>
    <w:tblStylePr w:type="lastCol">
      <w:rPr/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/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</w:rPr>
      <w:tblPr/>
      <w:tcPr>
        <w:shd w:val="clear" w:color="auto" w:fill="B6DDE8" w:themeFill="accent5" w:themeFillTint="66"/>
      </w:tcPr>
    </w:tblStylePr>
    <w:tblStylePr w:type="firstCol">
      <w:rPr/>
      <w:tblPr/>
      <w:tcPr>
        <w:shd w:val="clear" w:color="auto" w:fill="31849B" w:themeFill="accent5" w:themeFillShade="bf"/>
      </w:tcPr>
    </w:tblStylePr>
    <w:tblStylePr w:type="lastCol">
      <w:rPr/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/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</w:rPr>
      <w:tblPr/>
      <w:tcPr>
        <w:shd w:val="clear" w:color="auto" w:fill="FBD4B4" w:themeFill="accent6" w:themeFillTint="66"/>
      </w:tcPr>
    </w:tblStylePr>
    <w:tblStylePr w:type="firstCol">
      <w:rPr/>
      <w:tblPr/>
      <w:tcPr>
        <w:shd w:val="clear" w:color="auto" w:fill="E36C0A" w:themeFill="accent6" w:themeFillShade="bf"/>
      </w:tcPr>
    </w:tblStylePr>
    <w:tblStylePr w:type="lastCol">
      <w:rPr/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LibreOffice/26.2.4.2$Windows_X86_64 LibreOffice_project/0229ac93fcf0d7cbc6376066c6f35021cef002dc</Application>
  <AppVersion>15.0000</AppVersion>
  <Pages>7</Pages>
  <Words>1180</Words>
  <Characters>6535</Characters>
  <CharactersWithSpaces>7323</CharactersWithSpaces>
  <Paragraphs>362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2026-06-25T10:55:16Z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