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영일오엔씨 관련정리</w:t>
        <w:br/>
        <w:br/>
        <w:t xml:space="preserve">1- 2026-01-08 현재  다운로드가능한 항목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재고현황, 수금현황 , 거래처관리대장1(채권)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2- 권한요청할 계정  (판매일보를 만들기위해 있어야하는 출력물들)</w:t>
        <w:br/>
        <w:t xml:space="preserve">* 아래이름의 출력물은 없지만 내용상 비슷한 데이타가 있어야 함)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-사업소별판매현황,  (예: 창원 판메현황)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-사업소별수금현황, (예: 창원수금현황)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-입금내역합산 (사업소별 입금합계)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-자금내역상세(사업소별 어음포함)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-주요비용지출현황 (사업소별)</w:t>
        <w:br/>
        <w:br/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3- 다음매뉴접근 권한요청함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-자금일보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-자금현황표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-현금흐름(입출금내역)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-경영요약보고서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-월별매입집계표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-월별매출집계표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