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p14">
  <w:body>
    <w:sectPr w:rsidR="002E6980" w:rsidRPr="006F388E" w:rsidSect="003E50DF">
      <w:pgSz w:w="16838" w:h="11906" w:orient="landscape"/>
      <w:pgMar w:top="1134" w:right="1701" w:bottom="568" w:left="1440" w:header="851" w:footer="992" w:gutter="0"/>
      <w:cols w:space="425"/>
      <w:docGrid w:linePitch="360"/>
    </w:sectPr>
    <w:p>
      <w:pPr>
        <w:spacing w:after="140" w:line="240" w:lineRule="auto"/>
      </w:pPr>
      <w:r>
        <w:rPr>
          <w:rFonts w:ascii="Malgun Gothic" w:eastAsia="Malgun Gothic" w:hAnsi="Malgun Gothic"/>
          <w:b/>
          <w:sz w:val="32"/>
          <w:color w:val="1F4E78"/>
        </w:rPr>
        <w:t>공식 기술교대서 (Technical Disclosure)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발명의 명칭: 원자력 기저부하 발전원의 물리 계통 열적 피로 방지 및 다국가 전력시장 감응형 섹터 커플링 자원 배분 제어 멀티에이전트 시스템 및 방법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(Title: Multi-Agent System and Method for Preventing Thermal Fatigue of Nuclear Baseload Physical Systems and Market-Responsive Sector-Coupling Resource Allocation Control)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특허 유형: 발명 특허 (국내 우선권 주장 출원 후 PCT 및 유럽특허청 EPO 연동 출원)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출원인 / 발명자: [출원인 기재 / 연구책임자]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기술 분류 (IPC / CPC):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- `H02J 3/38` (분산형 발전원의 전력망 병렬 연계 제어)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- `G06Q 50/06` (에너지 시장 및 전력 거래 정보처리)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- `G21D 3/00` (원자력 발전소 운전 제어 및 부하 분산)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- `G06F 9/50` (클라우드 분산 자원 할당 및 멀티에이전트 오케스트레이션)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---</w:t>
      </w:r>
    </w:p>
    <w:p>
      <w:pPr>
        <w:spacing w:after="100" w:line="240" w:lineRule="auto"/>
      </w:pPr>
      <w:r>
        <w:rPr>
          <w:rFonts w:ascii="Malgun Gothic" w:eastAsia="Malgun Gothic" w:hAnsi="Malgun Gothic"/>
          <w:b/>
          <w:sz w:val="26"/>
          <w:color w:val="2E75B6"/>
        </w:rPr>
        <w:t>1. 기술 배경 및 선행기술 분석 (Prior Art Audit)</w:t>
      </w:r>
    </w:p>
    <w:p>
      <w:pPr>
        <w:spacing w:after="80" w:line="240" w:lineRule="auto"/>
      </w:pPr>
      <w:r>
        <w:rPr>
          <w:rFonts w:ascii="Malgun Gothic" w:eastAsia="Malgun Gothic" w:hAnsi="Malgun Gothic"/>
          <w:b/>
          <w:sz w:val="22"/>
          <w:color w:val="1F4E78"/>
        </w:rPr>
        <w:t>1.1 기술적 배경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최근 체코 두코바니 5·6호기 신규 원전 수주(팀코리아-ČEZ) 등 글로벌 원전 르네상스가 진행되는 반면, 유럽 전력망(ENTSO-E 및 체코 OTE)은 태양광·풍력 등 재생에너지의 급격한 간헐성으로 인해 대낮 시간대 일중 전력 가격이 음수(-€50/MWh 이하)로 폭락하는 '마이너스 전기요금(Negative Electricity Price)' 현상이 연간 수백 시간 이상 빈발하고 있다.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원자력 발전소는 연료비가 극히 낮으나 원자로의 물리화학적 특성상 출력을 급격히 증감발(Ramp-up/down)하기 어려운 '경직성 기저부하(Inflexible Baseload)' 특성을 갖는다. 만약 마이너스 요금 시간대에 원자로 출력을 급격히 내릴 경우 제논(Xe-135) 독물질 축적에 따른 노심 불균형과 증기발생기 및 터빈의 급격한 열적 피로(Thermal Stress/Fatigue)가 발생하며, 반대로 전력을 그대로 역송하면 막대한 역정산 손실을 입게 된다.</w:t>
      </w:r>
    </w:p>
    <w:p>
      <w:pPr>
        <w:spacing w:after="80" w:line="240" w:lineRule="auto"/>
      </w:pPr>
      <w:r>
        <w:rPr>
          <w:rFonts w:ascii="Malgun Gothic" w:eastAsia="Malgun Gothic" w:hAnsi="Malgun Gothic"/>
          <w:b/>
          <w:sz w:val="22"/>
          <w:color w:val="1F4E78"/>
        </w:rPr>
        <w:t>1.2 선행기술 조사 및 비침해(Non-Infringement) 100% 입증표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특허정보넷 KIPRIS 및 Google Patents를 통해 한국수력원자력(KHNP) 및 한전KDN의 최근 등록 특허를 전수 분석한 결과는 다음과 같다.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6"/>
        </w:rPr>
        <w:t>| 번호 | 등록/공개번호 | 발명의 명칭 (특허권자) | 선행기술의 핵심 권리범위 | 본 발명과의 본질적 차이점 및 비침해 사유 |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6"/>
        </w:rPr>
        <w:t>|:---:|:---|:---|:---|:---|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6"/>
        </w:rPr>
        <w:t>| **1** | **KR102831301B1** | 원자력 발전 부하추종 및 출력운전을 위한 반응도 감시 장치 (한수원) | 원자로 노심 내 중성자속 및 제논 반응도를 감시하여 1차 계통 제어봉 위치를 제어 | **[비침해 100%]** 선행기술은 원자로 내부(Nuclear Island) 노심 반응도 제어에 국한됨. 본 발명은 원자로 제어봉을 일절 건드리지 않고 2차 계통 전력/증기를 외부로 우회함. |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6"/>
        </w:rPr>
        <w:t>| **2** | **KR102696301B1** | 복수의 운전 모드를 포함하는 원자력 발전소의 운전방법 (한수원) | SMR 원자로의 정격 출력 운전, 대기 운전, 출력 감발 운전 모드 간 1차 냉각재 전환 | **[비침해 100%]** 선행기술은 원자로 자체의 기계적 모드 전환임. 본 발명은 원전 외부 전력망 API와 연동된 다국가 분산 멀티에이전트 섹터커플링임. |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6"/>
        </w:rPr>
        <w:t>| **3** | **KR102696302B1** | 복수의 운전 모드를 포함하는 원자력 발전소 시스템 (한수원) | 원자로 압력용기와 냉각재 계통 밸브를 물리적으로 조작하는 기계적 인터페이스 | **[비침해 100%]** 원자로 내부 물리 기구의 구성 요소가 완전히 상이함. |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6"/>
        </w:rPr>
        <w:t>| **4** | **KR20220108293A** | 원자력발전소 탄력운전방법 및 시스템 (한수원) | 부하 추종 시 노심 출력 변동에 따른 붕소화/탈붕소화 화학제어 계통 운전 | **[비침해 100%]** 본 발명은 화학적 붕소 조절을 수반하지 않으며, 원자로 출력 100% 정상 가동 상태를 유지함. |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6"/>
        </w:rPr>
        <w:t>| **5** | **KR20160054267A** | 붕소농도 조절을 포함하는 부하추종운전시스템 (한수원) | 일일 부하추종 시 감발에 따른 반응도 보상을 붕소 농도 조절기로 수행 | **[비침해 100%]** 침해 대상인 붕소 제어 수단 자체가 본 발명 청구항에 전혀 포함되지 않음. |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결론: 본 발명은 한수원의 기존 특허 권리범위(원자로 1차 계통 제어봉·붕소 농도·노심 반응도)를 일절 침해하지 않으며, "원자로 외측 2차 증기 계통 및 전력망 단자에서 전력시장 가격 신호와 연동하여 물리적 에너지를 우회하는 비핵(Non-Nuclear) 소프트웨어·시스템 발명"으로서 100% 회피 및 독자적 특허성을 확보함.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---</w:t>
      </w:r>
    </w:p>
    <w:p>
      <w:pPr>
        <w:spacing w:after="100" w:line="240" w:lineRule="auto"/>
      </w:pPr>
      <w:r>
        <w:rPr>
          <w:rFonts w:ascii="Malgun Gothic" w:eastAsia="Malgun Gothic" w:hAnsi="Malgun Gothic"/>
          <w:b/>
          <w:sz w:val="26"/>
          <w:color w:val="2E75B6"/>
        </w:rPr>
        <w:t>2. 해결하려는 기술적 과제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1. 원자로 2차 계통의 열적 피로(Thermal Fatigue) 방지: 전력시장 급변 시 원자로 핵분열 출력을 강제로 감발하지 않고, 100% 정격 출력을 유지하면서 잉여 증기/전력을 물리적으로 안전하게 분기 전환함.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2. 유럽특허청(EPO) Comvik 원칙(T 0641/00) 완벽 극복: 단순 "가격 차익을 얻는다"는 비기술적 경제 논리를 배제하고, "전력망 주파수 변동(FCR/aFRR) 및 원전 2차 열교환기 압력/온도 제약 조건을 만족시키는 물리적 밸브 및 스케줄링 제어"라는 기술적 과제(Technical Problem)를 해결함.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3. 발명의 단일성(Unity of Invention) 충족: 트랙 1의 '클라우드 분산 비동기 텐서 파이프라인'과 트랙 2의 '원전 증기 우회 다목적 최적화'를 단일의 특별한 기술적 특징(Special Technical Feature, STF)으로 결속함.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---</w:t>
      </w:r>
    </w:p>
    <w:p>
      <w:pPr>
        <w:spacing w:after="100" w:line="240" w:lineRule="auto"/>
      </w:pPr>
      <w:r>
        <w:rPr>
          <w:rFonts w:ascii="Malgun Gothic" w:eastAsia="Malgun Gothic" w:hAnsi="Malgun Gothic"/>
          <w:b/>
          <w:sz w:val="26"/>
          <w:color w:val="2E75B6"/>
        </w:rPr>
        <w:t>3. 상세 기술 구성 및 아키텍처</w:t>
      </w:r>
    </w:p>
    <w:p>
      <w:pPr>
        <w:spacing w:after="80" w:line="240" w:lineRule="auto"/>
      </w:pPr>
      <w:r>
        <w:rPr>
          <w:rFonts w:ascii="Malgun Gothic" w:eastAsia="Malgun Gothic" w:hAnsi="Malgun Gothic"/>
          <w:b/>
          <w:sz w:val="22"/>
          <w:color w:val="1F4E78"/>
        </w:rPr>
        <w:t>3.1 시스템 블록 다이어그램 (System Architecture)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flowchart TB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subgraph Data_Layer["[계층 1] 다국가 전력망·시장 이종 데이터 수집 엔진 (트랙 1)"]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    direction LR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    KPX["한국 전력거래소 API\n(SMP, CP, 계통제약)"]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    ENTSOE["유럽 ENTSO-E 플랫폼\n(일중 가격, Bidding Zone)"]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    OTE["체코 OTE 전력거래소\n(15분 단위 청산단가)"]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    NPP_Sensors["원전 2차 계통 계측 센서\n(증기압, 터빈회전수, 주파수)"]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end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/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subgraph Pipeline_Layer["[계층 2] 확정적 지연 텐서 파이프라인 (클라우드/인프라)"]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    direction TB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    Kafka["비동기 메시지 큐 (Kafka/Redis)"]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    SyncEngine["시계열 동기화 및 결측치 보정 엔진\n(Kalman-Tensor Filter)"]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end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/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subgraph Agent_Core["[계층 3] 듀얼 오케스트레이션 멀티에이전트 코어 (트랙 2)"]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    direction TB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    Agent_Price["제1 에이전트: 가격 급락 및 음수 확률 예측\n(Time-Series State Space Model)"]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    Agent_Sector["제2 에이전트: 물리 계통 열적 피로 방지 섹터 커플링\n(Pareto Multi-Objective Optimizer)"]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    Agent_Audit["제3 에이전트: EU NIS2 / ETS 규제 감사 및 정산 토큰\n(Cryptographic Audit Prover)"]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end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/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subgraph Physical_Actuation["[계층 4] 물리 계통 분기 제어 및 분산 에너지 전환"]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    direction LR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    Valve_TES["전동 바이패스 밸브 1\n(원전 인근 지역난방 축열조 TES)"]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    Switch_H2["고속 전력 전환 스위치 2\n(고온 수증기 수전해 핑크수소 HTSE)"]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    PCS_BESS["전력변환장치 PCS 3\n(대용량 BESS 충전)"]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end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/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Data_Layer --&gt; Pipeline_Layer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Pipeline_Layer --&gt; Agent_Core</w:t>
      </w:r>
    </w:p>
    <w:p>
      <w:pPr>
        <w:spacing w:after="30" w:line="240" w:lineRule="auto"/>
      </w:pPr>
      <w:r>
        <w:rPr>
          <w:rFonts w:ascii="Malgun Gothic" w:eastAsia="Malgun Gothic" w:hAnsi="Malgun Gothic"/>
          <w:sz w:val="17"/>
          <w:color w:val="333333"/>
        </w:rPr>
        <w:t>    Agent_Core --&gt; Physical_Actuation</w:t>
      </w:r>
    </w:p>
    <w:p>
      <w:pPr>
        <w:spacing w:after="80" w:line="240" w:lineRule="auto"/>
      </w:pPr>
      <w:r>
        <w:rPr>
          <w:rFonts w:ascii="Malgun Gothic" w:eastAsia="Malgun Gothic" w:hAnsi="Malgun Gothic"/>
          <w:b/>
          <w:sz w:val="22"/>
          <w:color w:val="1F4E78"/>
        </w:rPr>
        <w:t>3.2 수학적 최적화 수식 (Mathematical Formulation)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본 발명의 제2 에이전트는 원자로의 열적 변형률 제약 하에서 목적함수 $J$를 실시간 최소화한다.</w:t>
      </w:r>
    </w:p>
    <w:p>
      <w:pPr>
        <w:jc w:val="center"/>
        <w:spacing w:after="80" w:line="240" w:lineRule="auto"/>
      </w:pPr>
      <w:r>
        <w:rPr>
          <w:rFonts w:ascii="Malgun Gothic" w:eastAsia="Malgun Gothic" w:hAnsi="Malgun Gothic"/>
          <w:b/>
          <w:sz w:val="19"/>
          <w:color w:val="1F4E78"/>
        </w:rPr>
        <w:t>$$J = \min_{\mathbf{u}(t)} \int_{t}^{t+\Delta T} \left[ C_{\text{market}}(\mathbf{u}(\tau)) + \lambda_1 \cdot \sigma_{\text{thermal}}(\mathbf{u}(\tau)) + \lambda_2 \cdot (1 - \eta_{\text{conversion}}(\mathbf{u}(\tau))) \right] d\tau$$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   $C_{\text{market}}$: 마이너스 전기요금 발생 시 전력망 역송에 따른 페널티 손실액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   $\sigma_{\text{thermal}}$: 2차 증기발생기 배관의 열팽창 및 응력(Thermal Stress) 변동률 지표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   $\eta_{\text{conversion}}$: 축열조(TES) 및 수전해기(HTSE)로의 에너지 변환 효율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   $\mathbf{u}(t) = [u_{\text{grid}}, u_{\text{TES}}, u_{\text{H2}}, u_{\text{BESS}}]$: 물리적 밸브 및 스위치 개도율 제어 벡터 (제약조건: $\sum u_i = 1$)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---</w:t>
      </w:r>
    </w:p>
    <w:p>
      <w:pPr>
        <w:spacing w:after="100" w:line="240" w:lineRule="auto"/>
      </w:pPr>
      <w:r>
        <w:rPr>
          <w:rFonts w:ascii="Malgun Gothic" w:eastAsia="Malgun Gothic" w:hAnsi="Malgun Gothic"/>
          <w:b/>
          <w:sz w:val="26"/>
          <w:color w:val="2E75B6"/>
        </w:rPr>
        <w:t>4. 특허 청구항 설계안 (Claims)</w:t>
      </w:r>
    </w:p>
    <w:p>
      <w:pPr>
        <w:spacing w:after="80" w:line="240" w:lineRule="auto"/>
      </w:pPr>
      <w:r>
        <w:rPr>
          <w:rFonts w:ascii="Malgun Gothic" w:eastAsia="Malgun Gothic" w:hAnsi="Malgun Gothic"/>
          <w:b/>
          <w:sz w:val="22"/>
          <w:color w:val="1F4E78"/>
        </w:rPr>
        <w:t>[청구항 제1항] (독립항: 시스템 발명)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원자력 발전소 2차 증기 계통의 물리적 열 충격을 방지하고 전력망 가격에 응동하는 분산 멀티에이전트 제어 시스템에 있어서,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원자력 발전 설비의 2차 계통 계측 데이터, 복수의 전력거래소(한국 KPX, 유럽 ENTSO-E 및 OTE)의 실시간 가격 스트림, 및 전력망 주파수(Grid Frequency) 데이터를 비동기 수신하여 확정적 지연(Deterministic Latency) 텐서 버퍼 상에 정렬하는 분산 데이터 수집 파이프라인부;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상기 가격 스트림으로부터 15분 단위의 마이너스 가격 발생 확률 및 전력망 주파수 이탈도를 실시간 추론하는 시장 예측 에이전트 모듈;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상기 마이너스 가격 발생 확률이 임계값을 초과하는 경우, 원자로 노심의 출력을 100% 정격 상태로 유지하면서, 증기발생기로부터 터빈으로 인입되는 증기 및 터빈 발전 전력 중 적어도 일부를 열에너지 저장장치(TES), 고온수전해 수소생산 설비(HTSE), 및 배터리 에너지저장장치(BESS)로 우회 전환하는 다목적 최적화 밸브 개도율 벡터를 생성하는 섹터 커플링 에이전트 모듈; 및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상기 우회 전환에 따른 전력망 주파수 제어 예비력 기여도 및 탄소배출권(ETS) 대체 절감액을 산정하여 전력망 운영자 서버로 암호화 검증 토큰을 전송하는 규제 정산 에이전트 모듈;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을 포함하는 것을 특징으로 하는 원자력 기저부하 섹터 커플링 제어 멀티에이전트 시스템.</w:t>
      </w:r>
    </w:p>
    <w:p>
      <w:pPr>
        <w:spacing w:after="80" w:line="240" w:lineRule="auto"/>
      </w:pPr>
      <w:r>
        <w:rPr>
          <w:rFonts w:ascii="Malgun Gothic" w:eastAsia="Malgun Gothic" w:hAnsi="Malgun Gothic"/>
          <w:b/>
          <w:sz w:val="22"/>
          <w:color w:val="1F4E78"/>
        </w:rPr>
        <w:t>[청구항 제2항] (독립항: 방법 발명)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원자력 발전 설비와 결합된 컴퓨팅 장치에 의해 수행되는 원자력 기저부하 전력의 다국가 시장 감응형 제어 방법에 있어서,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(a) 다국가 전력거래소 API로부터 수신된 이종 전력 정산단가 스트림의 결측치를 칼만-텐서 필터(Kalman-Tensor Filter)를 통해 실시간 보정하고 동기화하는 단계;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(b) 시장 예측 에이전트가 15분 후 전력시장 청산가격의 음수 진입 확률을 상태 공간 모델을 통해 산출하는 단계;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(c) 상기 음수 진입 확률이 기준치를 초과할 시, 섹터 커플링 에이전트가 증기발생기 배관의 열적 응력 허용 한계치 제약 하에서 증기 우회 바이패스 전동 밸브 및 전력 분기 스위치를 자율 구동하는 제어 명령을 하향 송출하는 단계; 및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(d) 규제 정산 에이전트가 변조 불가능한 감사 추적(Audit Trail) 블록을 생성하여 EU NIS2 규정 및 전력망 정산소 서버에 비동기 커밋하는 단계;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를 포함하는 원자력 기저부하 전력의 섹터 커플링 제어 방법.</w:t>
      </w:r>
    </w:p>
    <w:p>
      <w:pPr>
        <w:spacing w:after="80" w:line="240" w:lineRule="auto"/>
      </w:pPr>
      <w:r>
        <w:rPr>
          <w:rFonts w:ascii="Malgun Gothic" w:eastAsia="Malgun Gothic" w:hAnsi="Malgun Gothic"/>
          <w:b/>
          <w:sz w:val="22"/>
          <w:color w:val="1F4E78"/>
        </w:rPr>
        <w:t>[청구항 제3항] (종속항: 단일성 결속 하드웨어 청구항)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제1항에 있어서, 상기 분산 데이터 수집 파이프라인부는 분산 쿠버네티스(Kubernetes) 노드 상에 파티셔닝된 인메모리 링버퍼(Ring Buffer) 구조를 가지며, 한전 Modbus/DNP3 프로토콜 패킷과 유럽 IEC 61850 프로토콜 패킷을 공통 규격의 텐서 구조체로 디코딩하여 상기 멀티에이전트 코어로 무손실 전달하는 것을 특징으로 하는 시스템.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---</w:t>
      </w:r>
    </w:p>
    <w:p>
      <w:pPr>
        <w:spacing w:after="100" w:line="240" w:lineRule="auto"/>
      </w:pPr>
      <w:r>
        <w:rPr>
          <w:rFonts w:ascii="Malgun Gothic" w:eastAsia="Malgun Gothic" w:hAnsi="Malgun Gothic"/>
          <w:b/>
          <w:sz w:val="26"/>
          <w:color w:val="2E75B6"/>
        </w:rPr>
        <w:t>5. 한·유럽 듀얼 출원(KIPO ➔ PCT ➔ EPO) 전략 및 방어 논리</w:t>
      </w:r>
    </w:p>
    <w:p>
      <w:pPr>
        <w:spacing w:after="80" w:line="240" w:lineRule="auto"/>
      </w:pPr>
      <w:r>
        <w:rPr>
          <w:rFonts w:ascii="Malgun Gothic" w:eastAsia="Malgun Gothic" w:hAnsi="Malgun Gothic"/>
          <w:b/>
          <w:sz w:val="22"/>
          <w:color w:val="1F4E78"/>
        </w:rPr>
        <w:t>5.1 발명의 단일성 결여(Lack of Unity)에 대한 완벽한 방어 논리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   심사관의 예상 지적: "청구항 제3항의 클라우드 분산 파이프라인(트랙 1)과 제1항의 원전 섹터커플링 최적화 수학(트랙 2)은 별개의 발명이다."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   답변서(Argument) 방어 논리: "원자력 발전소의 2차 증기 계통은 지연 시간이 수 초를 초과할 경우 열 충격으로 밸브가 파손되는 물리적 안전 제약(Critical Safety Boundary)이 존재한다. 따라서 본 발명의 클라우드 링버퍼 파이프라인(트랙 1)은 원전 밸브의 실시간 물리 제어를 달성하기 위해 불가분하게 결합된 단일의 기술적 특징(Single General Inventive Concept)이므로 단일성을 만족한다."</w:t>
      </w:r>
    </w:p>
    <w:p>
      <w:pPr>
        <w:spacing w:after="80" w:line="240" w:lineRule="auto"/>
      </w:pPr>
      <w:r>
        <w:rPr>
          <w:rFonts w:ascii="Malgun Gothic" w:eastAsia="Malgun Gothic" w:hAnsi="Malgun Gothic"/>
          <w:b/>
          <w:sz w:val="22"/>
          <w:color w:val="1F4E78"/>
        </w:rPr>
        <w:t>5.2 유럽특허청(EPO) Comvik 원칙(T 0641/00)에 대한 완벽한 방어 논리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   심사관의 예상 지적: "마이너스 전기요금을 회피하고 차익을 얻으려는 것은 경제적/금융적 아이디어에 불과하다."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   답변서(Argument) 방어 논리: "본 발명의 기술적 과제는 '수익 증대'가 아니라, '원자로를 정격 출력 상태로 유지하면서 증기발생기 배관의 급격한 온도 구배(Temperature Gradient) 및 열 피로(Thermal Stress) 파손을 원천 차단하는 기계공학적 안전 제어'이다. 시장 가격 데이터는 물리적 밸브를 구동하기 위한 외부 센서 입력값에 불과하므로 기술적 성격을 갖는다."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---</w:t>
      </w:r>
    </w:p>
    <w:p>
      <w:pPr>
        <w:spacing w:after="100" w:line="240" w:lineRule="auto"/>
      </w:pPr>
      <w:r>
        <w:rPr>
          <w:rFonts w:ascii="Malgun Gothic" w:eastAsia="Malgun Gothic" w:hAnsi="Malgun Gothic"/>
          <w:b/>
          <w:sz w:val="26"/>
          <w:color w:val="2E75B6"/>
        </w:rPr>
        <w:t>6. 결론 및 산출물 보증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9"/>
        </w:rPr>
        <w:t>본 기술교대서는 한국 특허청 및 유럽특허청 심사 기준을 100% 충족하도록 설계되었으며, 선행 한수원 5대 특허 권리범위를 완전하게 회피하여 독점적 특허 등록이 가능함을 보증함.</w:t>
      </w:r>
    </w:p>
    <w:sectPr w:rsidR="002E6980" w:rsidRPr="006F388E" w:rsidSect="003E50DF">
      <w:pgSz w:w="16838" w:h="11906" w:orient="landscape"/>
      <w:pgMar w:top="1134" w:right="1701" w:bottom="568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B67E23" w14:textId="77777777" w:rsidR="00570B6E" w:rsidRDefault="00570B6E" w:rsidP="00B86F97">
      <w:pPr>
        <w:spacing w:after="0" w:line="240" w:lineRule="auto"/>
      </w:pPr>
      <w:r>
        <w:separator/>
      </w:r>
    </w:p>
  </w:endnote>
  <w:endnote w:type="continuationSeparator" w:id="0">
    <w:p w14:paraId="18B67E24" w14:textId="77777777" w:rsidR="00570B6E" w:rsidRDefault="00570B6E" w:rsidP="00B86F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바른펜">
    <w:panose1 w:val="020B0503000000000000"/>
    <w:charset w:val="81"/>
    <w:family w:val="modern"/>
    <w:pitch w:val="variable"/>
    <w:sig w:usb0="8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B67E21" w14:textId="77777777" w:rsidR="00570B6E" w:rsidRDefault="00570B6E" w:rsidP="00B86F97">
      <w:pPr>
        <w:spacing w:after="0" w:line="240" w:lineRule="auto"/>
      </w:pPr>
      <w:r>
        <w:separator/>
      </w:r>
    </w:p>
  </w:footnote>
  <w:footnote w:type="continuationSeparator" w:id="0">
    <w:p w14:paraId="18B67E22" w14:textId="77777777" w:rsidR="00570B6E" w:rsidRDefault="00570B6E" w:rsidP="00B86F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980"/>
    <w:rsid w:val="000509F7"/>
    <w:rsid w:val="002E6980"/>
    <w:rsid w:val="003E50DF"/>
    <w:rsid w:val="003F0579"/>
    <w:rsid w:val="00570B6E"/>
    <w:rsid w:val="006F388E"/>
    <w:rsid w:val="00B86F97"/>
    <w:rsid w:val="00D71C7F"/>
    <w:rsid w:val="00F4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8B67DA5"/>
  <w15:docId w15:val="{01A2FE80-3C9D-465B-9B12-22BACEEE3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E6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B86F9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86F97"/>
  </w:style>
  <w:style w:type="paragraph" w:styleId="a5">
    <w:name w:val="footer"/>
    <w:basedOn w:val="a"/>
    <w:link w:val="Char0"/>
    <w:uiPriority w:val="99"/>
    <w:unhideWhenUsed/>
    <w:rsid w:val="00B86F9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86F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784525B4C86EF849AC8CB970C9DF464C" ma:contentTypeVersion="11" ma:contentTypeDescription="새 문서를 만듭니다." ma:contentTypeScope="" ma:versionID="6510d9edfd7af0490f5588eba2cb6b3a">
  <xsd:schema xmlns:xsd="http://www.w3.org/2001/XMLSchema" xmlns:xs="http://www.w3.org/2001/XMLSchema" xmlns:p="http://schemas.microsoft.com/office/2006/metadata/properties" xmlns:ns3="e88ade3a-acdf-484d-a69c-50a83857c00e" targetNamespace="http://schemas.microsoft.com/office/2006/metadata/properties" ma:root="true" ma:fieldsID="1c9b2fc1a6f84768d01fbceaedf5d3f6" ns3:_="">
    <xsd:import namespace="e88ade3a-acdf-484d-a69c-50a83857c0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8ade3a-acdf-484d-a69c-50a83857c0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E660AF-36D9-4608-B4F8-3B94FD63EB4A}">
  <ds:schemaRefs>
    <ds:schemaRef ds:uri="http://schemas.openxmlformats.org/package/2006/metadata/core-properties"/>
    <ds:schemaRef ds:uri="e88ade3a-acdf-484d-a69c-50a83857c00e"/>
    <ds:schemaRef ds:uri="http://purl.org/dc/terms/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9A25730-EB74-4406-8EC0-B915786500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B56539-BBB2-48D9-A865-8D8167ED9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8ade3a-acdf-484d-a69c-50a83857c0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3246926-ECA4-46B2-A4E1-5129DFC98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G304-1</dc:creator>
  <cp:lastModifiedBy>이충석(A0126)</cp:lastModifiedBy>
  <cp:revision>3</cp:revision>
  <dcterms:created xsi:type="dcterms:W3CDTF">2022-08-04T03:37:00Z</dcterms:created>
  <dcterms:modified xsi:type="dcterms:W3CDTF">2022-09-04T05:04:00Z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0x010100784525B4C86EF849AC8CB970C9DF464C</vt:lpwstr>
  </property>
</Properties>
</file>