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2024 Quarterly Report</w:t>
      </w:r>
    </w:p>
    <w:p>
      <w:r>
        <w:t>TechCorp International Inc.</w:t>
      </w:r>
    </w:p>
    <w:p>
      <w:pPr>
        <w:pStyle w:val="Heading1"/>
      </w:pPr>
      <w:r>
        <w:t>Executive Summary</w:t>
      </w:r>
    </w:p>
    <w:p>
      <w:r>
        <w:t>The fourth quarter of 2024 marked a significant milestone for TechCorp, with revenue reaching $780M, a 28% increase over Q4 2023. Our AI division continued to be the primary growth driver.</w:t>
      </w:r>
    </w:p>
    <w:p>
      <w:pPr>
        <w:pStyle w:val="Heading1"/>
      </w:pPr>
      <w:r>
        <w:t>Financial Results</w:t>
      </w:r>
    </w:p>
    <w:p>
      <w:r>
        <w:t>Total revenue for Q4 2024 was $780 million, bringing full-year revenue to $2.8 billion. Operating income increased to $144M with an operating margin of 18.5%.</w:t>
      </w:r>
    </w:p>
    <w:p>
      <w:pPr>
        <w:pStyle w:val="Heading2"/>
      </w:pPr>
      <w:r>
        <w:t>Quarterly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Q4 2024</w:t>
            </w:r>
          </w:p>
        </w:tc>
        <w:tc>
          <w:tcPr>
            <w:tcW w:type="dxa" w:w="2160"/>
          </w:tcPr>
          <w:p>
            <w:r>
              <w:t>Q3 2024</w:t>
            </w:r>
          </w:p>
        </w:tc>
        <w:tc>
          <w:tcPr>
            <w:tcW w:type="dxa" w:w="2160"/>
          </w:tcPr>
          <w:p>
            <w:r>
              <w:t>Q4 2023</w:t>
            </w:r>
          </w:p>
        </w:tc>
      </w:tr>
      <w:tr>
        <w:tc>
          <w:tcPr>
            <w:tcW w:type="dxa" w:w="2160"/>
          </w:tcPr>
          <w:p>
            <w:r>
              <w:t>Revenue ($M)</w:t>
            </w:r>
          </w:p>
        </w:tc>
        <w:tc>
          <w:tcPr>
            <w:tcW w:type="dxa" w:w="2160"/>
          </w:tcPr>
          <w:p>
            <w:r>
              <w:t>780</w:t>
            </w:r>
          </w:p>
        </w:tc>
        <w:tc>
          <w:tcPr>
            <w:tcW w:type="dxa" w:w="2160"/>
          </w:tcPr>
          <w:p>
            <w:r>
              <w:t>720</w:t>
            </w:r>
          </w:p>
        </w:tc>
        <w:tc>
          <w:tcPr>
            <w:tcW w:type="dxa" w:w="2160"/>
          </w:tcPr>
          <w:p>
            <w:r>
              <w:t>610</w:t>
            </w:r>
          </w:p>
        </w:tc>
      </w:tr>
      <w:tr>
        <w:tc>
          <w:tcPr>
            <w:tcW w:type="dxa" w:w="2160"/>
          </w:tcPr>
          <w:p>
            <w:r>
              <w:t>Net Income ($M)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82</w:t>
            </w:r>
          </w:p>
        </w:tc>
      </w:tr>
      <w:tr>
        <w:tc>
          <w:tcPr>
            <w:tcW w:type="dxa" w:w="2160"/>
          </w:tcPr>
          <w:p>
            <w:r>
              <w:t>EPS ($)</w:t>
            </w:r>
          </w:p>
        </w:tc>
        <w:tc>
          <w:tcPr>
            <w:tcW w:type="dxa" w:w="2160"/>
          </w:tcPr>
          <w:p>
            <w:r>
              <w:t>2.30</w:t>
            </w:r>
          </w:p>
        </w:tc>
        <w:tc>
          <w:tcPr>
            <w:tcW w:type="dxa" w:w="2160"/>
          </w:tcPr>
          <w:p>
            <w:r>
              <w:t>2.10</w:t>
            </w:r>
          </w:p>
        </w:tc>
        <w:tc>
          <w:tcPr>
            <w:tcW w:type="dxa" w:w="2160"/>
          </w:tcPr>
          <w:p>
            <w:r>
              <w:t>1.64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3,400+</w:t>
            </w:r>
          </w:p>
        </w:tc>
        <w:tc>
          <w:tcPr>
            <w:tcW w:type="dxa" w:w="2160"/>
          </w:tcPr>
          <w:p>
            <w:r>
              <w:t>3,200+</w:t>
            </w:r>
          </w:p>
        </w:tc>
        <w:tc>
          <w:tcPr>
            <w:tcW w:type="dxa" w:w="2160"/>
          </w:tcPr>
          <w:p>
            <w:r>
              <w:t>2,800+</w:t>
            </w:r>
          </w:p>
        </w:tc>
      </w:tr>
    </w:tbl>
    <w:p>
      <w:pPr>
        <w:pStyle w:val="Heading1"/>
      </w:pPr>
      <w:r>
        <w:t>Strategic Outlook</w:t>
      </w:r>
    </w:p>
    <w:p>
      <w:pPr>
        <w:pStyle w:val="ListBullet"/>
      </w:pPr>
      <w:r>
        <w:t>Expand AI platform to support 100+ languages by mid-2025</w:t>
      </w:r>
    </w:p>
    <w:p>
      <w:pPr>
        <w:pStyle w:val="ListBullet"/>
      </w:pPr>
      <w:r>
        <w:t>Launch autonomous enterprise workflow product in Q2 2025</w:t>
      </w:r>
    </w:p>
    <w:p>
      <w:pPr>
        <w:pStyle w:val="ListBullet"/>
      </w:pPr>
      <w:r>
        <w:t>Target 20% revenue growth with improved margins</w:t>
      </w:r>
    </w:p>
    <w:p>
      <w:pPr>
        <w:pStyle w:val="ListBullet"/>
      </w:pPr>
      <w:r>
        <w:t>Invest $650M in R&amp;D focusing on generative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