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LightShading"/>
        <w:tblW w:w="0" w:type="auto"/>
        <w:tblLook w:val="04A0" w:firstRow="1" w:lastRow="0" w:firstColumn="1" w:lastColumn="0" w:noHBand="0" w:noVBand="1"/>
      </w:tblPr>
      <w:tblGrid>
        <w:gridCol w:w="2259"/>
        <w:gridCol w:w="2308"/>
        <w:gridCol w:w="2220"/>
        <w:gridCol w:w="2239"/>
      </w:tblGrid>
      <w:tr w:rsidR="002531FC" w14:paraId="3C7420DC" w14:textId="77777777" w:rsidTr="00487D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14:paraId="4BF1CC04" w14:textId="77777777" w:rsidR="002531FC" w:rsidRDefault="002531FC" w:rsidP="00487DBA">
            <w:r>
              <w:rPr>
                <w:rFonts w:hint="eastAsia"/>
              </w:rPr>
              <w:t>Groups</w:t>
            </w:r>
          </w:p>
        </w:tc>
        <w:tc>
          <w:tcPr>
            <w:tcW w:w="3474" w:type="dxa"/>
          </w:tcPr>
          <w:p w14:paraId="162C89AD" w14:textId="77777777" w:rsidR="002531FC" w:rsidRDefault="002531FC" w:rsidP="00487DBA">
            <w:pPr>
              <w:cnfStyle w:val="100000000000" w:firstRow="1" w:lastRow="0" w:firstColumn="0" w:lastColumn="0" w:oddVBand="0" w:evenVBand="0" w:oddHBand="0" w:evenHBand="0" w:firstRowFirstColumn="0" w:firstRowLastColumn="0" w:lastRowFirstColumn="0" w:lastRowLastColumn="0"/>
            </w:pPr>
            <w:proofErr w:type="gramStart"/>
            <w:r>
              <w:rPr>
                <w:rFonts w:hint="eastAsia"/>
              </w:rPr>
              <w:t>Main Focus</w:t>
            </w:r>
            <w:proofErr w:type="gramEnd"/>
          </w:p>
        </w:tc>
        <w:tc>
          <w:tcPr>
            <w:tcW w:w="3474" w:type="dxa"/>
          </w:tcPr>
          <w:p w14:paraId="45AA6B9E" w14:textId="77777777" w:rsidR="002531FC" w:rsidRDefault="002531FC" w:rsidP="00487DBA">
            <w:pPr>
              <w:cnfStyle w:val="100000000000" w:firstRow="1" w:lastRow="0" w:firstColumn="0" w:lastColumn="0" w:oddVBand="0" w:evenVBand="0" w:oddHBand="0" w:evenHBand="0" w:firstRowFirstColumn="0" w:firstRowLastColumn="0" w:lastRowFirstColumn="0" w:lastRowLastColumn="0"/>
            </w:pPr>
            <w:r>
              <w:rPr>
                <w:rFonts w:hint="eastAsia"/>
              </w:rPr>
              <w:t>Literature</w:t>
            </w:r>
          </w:p>
        </w:tc>
        <w:tc>
          <w:tcPr>
            <w:tcW w:w="3474" w:type="dxa"/>
          </w:tcPr>
          <w:p w14:paraId="35EF67F6" w14:textId="77777777" w:rsidR="002531FC" w:rsidRDefault="002531FC" w:rsidP="00487DBA">
            <w:pPr>
              <w:cnfStyle w:val="100000000000" w:firstRow="1" w:lastRow="0" w:firstColumn="0" w:lastColumn="0" w:oddVBand="0" w:evenVBand="0" w:oddHBand="0" w:evenHBand="0" w:firstRowFirstColumn="0" w:firstRowLastColumn="0" w:lastRowFirstColumn="0" w:lastRowLastColumn="0"/>
            </w:pPr>
            <w:r>
              <w:t>O</w:t>
            </w:r>
            <w:r>
              <w:rPr>
                <w:rFonts w:hint="eastAsia"/>
              </w:rPr>
              <w:t>ur Contribution</w:t>
            </w:r>
          </w:p>
        </w:tc>
      </w:tr>
      <w:tr w:rsidR="002531FC" w14:paraId="4908ECA4" w14:textId="77777777" w:rsidTr="0048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14:paraId="4E1D5F41" w14:textId="77777777" w:rsidR="002531FC" w:rsidRDefault="002531FC" w:rsidP="00487DBA">
            <w:r>
              <w:rPr>
                <w:rFonts w:hint="eastAsia"/>
              </w:rPr>
              <w:t xml:space="preserve">1. Experimental studies on </w:t>
            </w:r>
            <w:proofErr w:type="gramStart"/>
            <w:r>
              <w:rPr>
                <w:rFonts w:hint="eastAsia"/>
              </w:rPr>
              <w:t>the  comparison</w:t>
            </w:r>
            <w:proofErr w:type="gramEnd"/>
            <w:r>
              <w:rPr>
                <w:rFonts w:hint="eastAsia"/>
              </w:rPr>
              <w:t xml:space="preserve"> between individual and group decision</w:t>
            </w:r>
          </w:p>
        </w:tc>
        <w:tc>
          <w:tcPr>
            <w:tcW w:w="3474" w:type="dxa"/>
          </w:tcPr>
          <w:p w14:paraId="57DC1774"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-Which one is closer to theoretical prediction</w:t>
            </w:r>
          </w:p>
          <w:p w14:paraId="317CAAFD" w14:textId="77777777" w:rsidR="002531FC" w:rsidRPr="00D5607F" w:rsidRDefault="002531FC" w:rsidP="00487DBA">
            <w:pPr>
              <w:cnfStyle w:val="000000100000" w:firstRow="0" w:lastRow="0" w:firstColumn="0" w:lastColumn="0" w:oddVBand="0" w:evenVBand="0" w:oddHBand="1" w:evenHBand="0" w:firstRowFirstColumn="0" w:firstRowLastColumn="0" w:lastRowFirstColumn="0" w:lastRowLastColumn="0"/>
            </w:pPr>
          </w:p>
        </w:tc>
        <w:tc>
          <w:tcPr>
            <w:tcW w:w="3474" w:type="dxa"/>
          </w:tcPr>
          <w:p w14:paraId="16B86A54"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 xml:space="preserve">Bone et al. (1999), Cason and </w:t>
            </w:r>
            <w:proofErr w:type="gramStart"/>
            <w:r>
              <w:rPr>
                <w:rFonts w:hint="eastAsia"/>
              </w:rPr>
              <w:t>Mui(</w:t>
            </w:r>
            <w:proofErr w:type="gramEnd"/>
            <w:r>
              <w:rPr>
                <w:rFonts w:hint="eastAsia"/>
              </w:rPr>
              <w:t xml:space="preserve">1997), </w:t>
            </w:r>
            <w:proofErr w:type="spellStart"/>
            <w:r>
              <w:rPr>
                <w:rFonts w:hint="eastAsia"/>
              </w:rPr>
              <w:t>Charness</w:t>
            </w:r>
            <w:proofErr w:type="spellEnd"/>
            <w:r>
              <w:rPr>
                <w:rFonts w:hint="eastAsia"/>
              </w:rPr>
              <w:t xml:space="preserve"> et al. (2007), </w:t>
            </w:r>
            <w:proofErr w:type="spellStart"/>
            <w:r>
              <w:rPr>
                <w:rFonts w:hint="eastAsia"/>
              </w:rPr>
              <w:t>Charness</w:t>
            </w:r>
            <w:proofErr w:type="spellEnd"/>
            <w:r>
              <w:rPr>
                <w:rFonts w:hint="eastAsia"/>
              </w:rPr>
              <w:t xml:space="preserve"> and Sutter (2012), Cooper and </w:t>
            </w:r>
            <w:proofErr w:type="spellStart"/>
            <w:r>
              <w:rPr>
                <w:rFonts w:hint="eastAsia"/>
              </w:rPr>
              <w:t>Kagel</w:t>
            </w:r>
            <w:proofErr w:type="spellEnd"/>
            <w:r>
              <w:rPr>
                <w:rFonts w:hint="eastAsia"/>
              </w:rPr>
              <w:t xml:space="preserve"> (2005), Carbone et al. (2016), Kerr at el. (1996), Kugler et al. (2012), </w:t>
            </w:r>
            <w:proofErr w:type="spellStart"/>
            <w:r>
              <w:rPr>
                <w:rFonts w:hint="eastAsia"/>
              </w:rPr>
              <w:t>Masclet</w:t>
            </w:r>
            <w:proofErr w:type="spellEnd"/>
            <w:r>
              <w:rPr>
                <w:rFonts w:hint="eastAsia"/>
              </w:rPr>
              <w:t xml:space="preserve"> et al. (2009), </w:t>
            </w:r>
            <w:proofErr w:type="spellStart"/>
            <w:r>
              <w:rPr>
                <w:rFonts w:hint="eastAsia"/>
              </w:rPr>
              <w:t>Shupp</w:t>
            </w:r>
            <w:proofErr w:type="spellEnd"/>
            <w:r>
              <w:rPr>
                <w:rFonts w:hint="eastAsia"/>
              </w:rPr>
              <w:t xml:space="preserve"> and Williams (2008), Sutter (2009)</w:t>
            </w:r>
          </w:p>
        </w:tc>
        <w:tc>
          <w:tcPr>
            <w:tcW w:w="3474" w:type="dxa"/>
          </w:tcPr>
          <w:p w14:paraId="3BD3D7C1"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 xml:space="preserve">On top of </w:t>
            </w:r>
            <w:r>
              <w:t>covering</w:t>
            </w:r>
            <w:r>
              <w:rPr>
                <w:rFonts w:hint="eastAsia"/>
              </w:rPr>
              <w:t xml:space="preserve"> the comparison between group and individual decisions, we </w:t>
            </w:r>
            <w:proofErr w:type="gramStart"/>
            <w:r>
              <w:rPr>
                <w:rFonts w:hint="eastAsia"/>
              </w:rPr>
              <w:t>investigates</w:t>
            </w:r>
            <w:proofErr w:type="gramEnd"/>
            <w:r>
              <w:rPr>
                <w:rFonts w:hint="eastAsia"/>
              </w:rPr>
              <w:t xml:space="preserve"> the mechanism of aggregation by </w:t>
            </w:r>
            <w:r>
              <w:t>collecting</w:t>
            </w:r>
            <w:r>
              <w:rPr>
                <w:rFonts w:hint="eastAsia"/>
              </w:rPr>
              <w:t xml:space="preserve"> both individual and collective choice data</w:t>
            </w:r>
          </w:p>
        </w:tc>
      </w:tr>
      <w:tr w:rsidR="002531FC" w14:paraId="66369630" w14:textId="77777777" w:rsidTr="00487DBA">
        <w:tc>
          <w:tcPr>
            <w:cnfStyle w:val="001000000000" w:firstRow="0" w:lastRow="0" w:firstColumn="1" w:lastColumn="0" w:oddVBand="0" w:evenVBand="0" w:oddHBand="0" w:evenHBand="0" w:firstRowFirstColumn="0" w:firstRowLastColumn="0" w:lastRowFirstColumn="0" w:lastRowLastColumn="0"/>
            <w:tcW w:w="3473" w:type="dxa"/>
          </w:tcPr>
          <w:p w14:paraId="766B2E22" w14:textId="77777777" w:rsidR="002531FC" w:rsidRPr="002531FC" w:rsidRDefault="002531FC" w:rsidP="00487DBA">
            <w:pPr>
              <w:rPr>
                <w:color w:val="C00000"/>
              </w:rPr>
            </w:pPr>
            <w:r w:rsidRPr="002531FC">
              <w:rPr>
                <w:rFonts w:hint="eastAsia"/>
                <w:color w:val="C00000"/>
              </w:rPr>
              <w:t>2. Experimental studies on the preference aggregation</w:t>
            </w:r>
          </w:p>
        </w:tc>
        <w:tc>
          <w:tcPr>
            <w:tcW w:w="3474" w:type="dxa"/>
          </w:tcPr>
          <w:p w14:paraId="08D5D766" w14:textId="77777777" w:rsidR="002531FC" w:rsidRPr="002531FC" w:rsidRDefault="002531FC" w:rsidP="00487DBA">
            <w:pPr>
              <w:cnfStyle w:val="000000000000" w:firstRow="0" w:lastRow="0" w:firstColumn="0" w:lastColumn="0" w:oddVBand="0" w:evenVBand="0" w:oddHBand="0" w:evenHBand="0" w:firstRowFirstColumn="0" w:firstRowLastColumn="0" w:lastRowFirstColumn="0" w:lastRowLastColumn="0"/>
              <w:rPr>
                <w:color w:val="C00000"/>
              </w:rPr>
            </w:pPr>
            <w:r w:rsidRPr="002531FC">
              <w:rPr>
                <w:rFonts w:hint="eastAsia"/>
                <w:color w:val="C00000"/>
              </w:rPr>
              <w:t>-H</w:t>
            </w:r>
            <w:r w:rsidRPr="002531FC">
              <w:rPr>
                <w:color w:val="C00000"/>
              </w:rPr>
              <w:t>o</w:t>
            </w:r>
            <w:r w:rsidRPr="002531FC">
              <w:rPr>
                <w:rFonts w:hint="eastAsia"/>
                <w:color w:val="C00000"/>
              </w:rPr>
              <w:t>w risk attitude/time preference is aggregated</w:t>
            </w:r>
          </w:p>
        </w:tc>
        <w:tc>
          <w:tcPr>
            <w:tcW w:w="3474" w:type="dxa"/>
          </w:tcPr>
          <w:p w14:paraId="0EB52013" w14:textId="498EDBA6" w:rsidR="002531FC" w:rsidRPr="002531FC" w:rsidRDefault="002531FC" w:rsidP="00487DBA">
            <w:pPr>
              <w:cnfStyle w:val="000000000000" w:firstRow="0" w:lastRow="0" w:firstColumn="0" w:lastColumn="0" w:oddVBand="0" w:evenVBand="0" w:oddHBand="0" w:evenHBand="0" w:firstRowFirstColumn="0" w:firstRowLastColumn="0" w:lastRowFirstColumn="0" w:lastRowLastColumn="0"/>
              <w:rPr>
                <w:color w:val="C00000"/>
              </w:rPr>
            </w:pPr>
            <w:proofErr w:type="spellStart"/>
            <w:r w:rsidRPr="002531FC">
              <w:rPr>
                <w:rFonts w:hint="eastAsia"/>
                <w:color w:val="C00000"/>
              </w:rPr>
              <w:t>Abdellaoui</w:t>
            </w:r>
            <w:proofErr w:type="spellEnd"/>
            <w:r w:rsidRPr="002531FC">
              <w:rPr>
                <w:rFonts w:hint="eastAsia"/>
                <w:color w:val="C00000"/>
              </w:rPr>
              <w:t xml:space="preserve"> et al. (2010), </w:t>
            </w:r>
            <w:proofErr w:type="spellStart"/>
            <w:r w:rsidR="00571591">
              <w:rPr>
                <w:color w:val="C00000"/>
              </w:rPr>
              <w:t>Ambrus</w:t>
            </w:r>
            <w:proofErr w:type="spellEnd"/>
            <w:r w:rsidR="00571591">
              <w:rPr>
                <w:color w:val="C00000"/>
              </w:rPr>
              <w:t xml:space="preserve"> et al. (2015), </w:t>
            </w:r>
            <w:proofErr w:type="spellStart"/>
            <w:r w:rsidRPr="002531FC">
              <w:rPr>
                <w:rFonts w:hint="eastAsia"/>
                <w:color w:val="C00000"/>
              </w:rPr>
              <w:t>Baillon</w:t>
            </w:r>
            <w:proofErr w:type="spellEnd"/>
            <w:r w:rsidRPr="002531FC">
              <w:rPr>
                <w:rFonts w:hint="eastAsia"/>
                <w:color w:val="C00000"/>
              </w:rPr>
              <w:t xml:space="preserve"> et al. (2016), Bateman and Munro (2005), Palma et al. (2010), Lee at el. (2012) </w:t>
            </w:r>
          </w:p>
        </w:tc>
        <w:tc>
          <w:tcPr>
            <w:tcW w:w="3474" w:type="dxa"/>
          </w:tcPr>
          <w:p w14:paraId="559C3F55" w14:textId="77777777" w:rsidR="002531FC" w:rsidRPr="002531FC" w:rsidRDefault="002531FC" w:rsidP="00487DBA">
            <w:pPr>
              <w:cnfStyle w:val="000000000000" w:firstRow="0" w:lastRow="0" w:firstColumn="0" w:lastColumn="0" w:oddVBand="0" w:evenVBand="0" w:oddHBand="0" w:evenHBand="0" w:firstRowFirstColumn="0" w:firstRowLastColumn="0" w:lastRowFirstColumn="0" w:lastRowLastColumn="0"/>
              <w:rPr>
                <w:color w:val="C00000"/>
              </w:rPr>
            </w:pPr>
            <w:r w:rsidRPr="002531FC">
              <w:rPr>
                <w:rFonts w:hint="eastAsia"/>
                <w:color w:val="C00000"/>
              </w:rPr>
              <w:t>Investigates extensive properties of group decision including risk preference: rationality, Pareto efficiency</w:t>
            </w:r>
          </w:p>
        </w:tc>
      </w:tr>
      <w:tr w:rsidR="002531FC" w14:paraId="796FA5E8" w14:textId="77777777" w:rsidTr="00487D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73" w:type="dxa"/>
          </w:tcPr>
          <w:p w14:paraId="572CA85F" w14:textId="77777777" w:rsidR="002531FC" w:rsidRDefault="002531FC" w:rsidP="00487DBA">
            <w:r>
              <w:rPr>
                <w:rFonts w:hint="eastAsia"/>
              </w:rPr>
              <w:t>3. Empirical studies on the household resource allocation</w:t>
            </w:r>
          </w:p>
        </w:tc>
        <w:tc>
          <w:tcPr>
            <w:tcW w:w="3474" w:type="dxa"/>
          </w:tcPr>
          <w:p w14:paraId="674424CB"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-Test representative agent model of household decision</w:t>
            </w:r>
          </w:p>
          <w:p w14:paraId="3C44693F"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-Factors for bargaining power</w:t>
            </w:r>
          </w:p>
        </w:tc>
        <w:tc>
          <w:tcPr>
            <w:tcW w:w="3474" w:type="dxa"/>
          </w:tcPr>
          <w:p w14:paraId="27866623"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 xml:space="preserve">Browning and </w:t>
            </w:r>
            <w:proofErr w:type="spellStart"/>
            <w:r>
              <w:rPr>
                <w:rFonts w:hint="eastAsia"/>
              </w:rPr>
              <w:t>Chiappori</w:t>
            </w:r>
            <w:proofErr w:type="spellEnd"/>
            <w:r>
              <w:rPr>
                <w:rFonts w:hint="eastAsia"/>
              </w:rPr>
              <w:t xml:space="preserve"> (1998), </w:t>
            </w:r>
            <w:proofErr w:type="spellStart"/>
            <w:r>
              <w:rPr>
                <w:rFonts w:hint="eastAsia"/>
              </w:rPr>
              <w:t>Chiappori</w:t>
            </w:r>
            <w:proofErr w:type="spellEnd"/>
            <w:r>
              <w:rPr>
                <w:rFonts w:hint="eastAsia"/>
              </w:rPr>
              <w:t xml:space="preserve"> and </w:t>
            </w:r>
            <w:proofErr w:type="spellStart"/>
            <w:r>
              <w:rPr>
                <w:rFonts w:hint="eastAsia"/>
              </w:rPr>
              <w:t>Ekeland</w:t>
            </w:r>
            <w:proofErr w:type="spellEnd"/>
            <w:r>
              <w:rPr>
                <w:rFonts w:hint="eastAsia"/>
              </w:rPr>
              <w:t xml:space="preserve"> (2011), Friedberg and Webb (2006), Bourguignon et al. (2009)</w:t>
            </w:r>
          </w:p>
        </w:tc>
        <w:tc>
          <w:tcPr>
            <w:tcW w:w="3474" w:type="dxa"/>
          </w:tcPr>
          <w:p w14:paraId="6A0914CB" w14:textId="77777777" w:rsidR="002531FC" w:rsidRDefault="002531FC" w:rsidP="00487DBA">
            <w:pPr>
              <w:cnfStyle w:val="000000100000" w:firstRow="0" w:lastRow="0" w:firstColumn="0" w:lastColumn="0" w:oddVBand="0" w:evenVBand="0" w:oddHBand="1" w:evenHBand="0" w:firstRowFirstColumn="0" w:firstRowLastColumn="0" w:lastRowFirstColumn="0" w:lastRowLastColumn="0"/>
            </w:pPr>
            <w:r>
              <w:rPr>
                <w:rFonts w:hint="eastAsia"/>
              </w:rPr>
              <w:t>Test Pareto efficiency directly by collecting both individual and collective choice data</w:t>
            </w:r>
          </w:p>
        </w:tc>
      </w:tr>
      <w:tr w:rsidR="002531FC" w14:paraId="439FE636" w14:textId="77777777" w:rsidTr="00487DBA">
        <w:tc>
          <w:tcPr>
            <w:cnfStyle w:val="001000000000" w:firstRow="0" w:lastRow="0" w:firstColumn="1" w:lastColumn="0" w:oddVBand="0" w:evenVBand="0" w:oddHBand="0" w:evenHBand="0" w:firstRowFirstColumn="0" w:firstRowLastColumn="0" w:lastRowFirstColumn="0" w:lastRowLastColumn="0"/>
            <w:tcW w:w="3473" w:type="dxa"/>
          </w:tcPr>
          <w:p w14:paraId="4B3CA047" w14:textId="77777777" w:rsidR="002531FC" w:rsidRDefault="002531FC" w:rsidP="00487DBA">
            <w:r>
              <w:rPr>
                <w:rFonts w:hint="eastAsia"/>
              </w:rPr>
              <w:t>4. Theoretical studies on preference aggregation</w:t>
            </w:r>
          </w:p>
        </w:tc>
        <w:tc>
          <w:tcPr>
            <w:tcW w:w="3474" w:type="dxa"/>
          </w:tcPr>
          <w:p w14:paraId="6FDDAC51" w14:textId="77777777" w:rsidR="002531FC" w:rsidRDefault="002531FC" w:rsidP="00487DBA">
            <w:pPr>
              <w:cnfStyle w:val="000000000000" w:firstRow="0" w:lastRow="0" w:firstColumn="0" w:lastColumn="0" w:oddVBand="0" w:evenVBand="0" w:oddHBand="0" w:evenHBand="0" w:firstRowFirstColumn="0" w:firstRowLastColumn="0" w:lastRowFirstColumn="0" w:lastRowLastColumn="0"/>
            </w:pPr>
            <w:r>
              <w:rPr>
                <w:rFonts w:hint="eastAsia"/>
              </w:rPr>
              <w:t>-Representative agent models</w:t>
            </w:r>
          </w:p>
          <w:p w14:paraId="2628882D" w14:textId="77777777" w:rsidR="002531FC" w:rsidRPr="00C51675" w:rsidRDefault="002531FC" w:rsidP="00487DBA">
            <w:pPr>
              <w:cnfStyle w:val="000000000000" w:firstRow="0" w:lastRow="0" w:firstColumn="0" w:lastColumn="0" w:oddVBand="0" w:evenVBand="0" w:oddHBand="0" w:evenHBand="0" w:firstRowFirstColumn="0" w:firstRowLastColumn="0" w:lastRowFirstColumn="0" w:lastRowLastColumn="0"/>
            </w:pPr>
            <w:r>
              <w:rPr>
                <w:rFonts w:hint="eastAsia"/>
              </w:rPr>
              <w:t>-Impossibility theorem</w:t>
            </w:r>
          </w:p>
        </w:tc>
        <w:tc>
          <w:tcPr>
            <w:tcW w:w="3474" w:type="dxa"/>
          </w:tcPr>
          <w:p w14:paraId="7BFCFDC9" w14:textId="77777777" w:rsidR="002531FC" w:rsidRDefault="002531FC" w:rsidP="00487DBA">
            <w:pPr>
              <w:cnfStyle w:val="000000000000" w:firstRow="0" w:lastRow="0" w:firstColumn="0" w:lastColumn="0" w:oddVBand="0" w:evenVBand="0" w:oddHBand="0" w:evenHBand="0" w:firstRowFirstColumn="0" w:firstRowLastColumn="0" w:lastRowFirstColumn="0" w:lastRowLastColumn="0"/>
            </w:pPr>
            <w:r>
              <w:rPr>
                <w:rFonts w:hint="eastAsia"/>
              </w:rPr>
              <w:t>Arrow</w:t>
            </w:r>
            <w:r>
              <w:t>’</w:t>
            </w:r>
            <w:r>
              <w:rPr>
                <w:rFonts w:hint="eastAsia"/>
              </w:rPr>
              <w:t xml:space="preserve">s </w:t>
            </w:r>
            <w:r>
              <w:t>impossibility</w:t>
            </w:r>
            <w:r>
              <w:rPr>
                <w:rFonts w:hint="eastAsia"/>
              </w:rPr>
              <w:t xml:space="preserve"> theorem, Jackson and Yariv (2014)</w:t>
            </w:r>
          </w:p>
        </w:tc>
        <w:tc>
          <w:tcPr>
            <w:tcW w:w="3474" w:type="dxa"/>
          </w:tcPr>
          <w:p w14:paraId="33A10740" w14:textId="77777777" w:rsidR="002531FC" w:rsidRPr="00ED2FD4" w:rsidRDefault="002531FC" w:rsidP="00487DBA">
            <w:pPr>
              <w:cnfStyle w:val="000000000000" w:firstRow="0" w:lastRow="0" w:firstColumn="0" w:lastColumn="0" w:oddVBand="0" w:evenVBand="0" w:oddHBand="0" w:evenHBand="0" w:firstRowFirstColumn="0" w:firstRowLastColumn="0" w:lastRowFirstColumn="0" w:lastRowLastColumn="0"/>
            </w:pPr>
          </w:p>
        </w:tc>
      </w:tr>
    </w:tbl>
    <w:p w14:paraId="62B7C08B" w14:textId="77777777" w:rsid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GulimChe" w:eastAsia="GulimChe" w:hAnsi="GulimChe" w:cs="GulimChe"/>
          <w:color w:val="000000"/>
          <w:kern w:val="0"/>
          <w:sz w:val="24"/>
          <w:szCs w:val="24"/>
        </w:rPr>
      </w:pPr>
      <w:r>
        <w:rPr>
          <w:rFonts w:ascii="GulimChe" w:eastAsia="GulimChe" w:hAnsi="GulimChe" w:cs="GulimChe"/>
          <w:color w:val="000000"/>
          <w:kern w:val="0"/>
          <w:sz w:val="24"/>
          <w:szCs w:val="24"/>
        </w:rPr>
        <w:br w:type="page"/>
      </w:r>
    </w:p>
    <w:p w14:paraId="12A5CB8B" w14:textId="64DABC33" w:rsidR="00571591" w:rsidRPr="008D218F" w:rsidRDefault="008D218F" w:rsidP="00571591">
      <w:pPr>
        <w:pStyle w:val="NoSpacing"/>
        <w:rPr>
          <w:rFonts w:eastAsiaTheme="minorHAnsi" w:cs="Times New Roman"/>
          <w:b/>
          <w:sz w:val="32"/>
          <w:szCs w:val="20"/>
        </w:rPr>
      </w:pPr>
      <w:r w:rsidRPr="008D218F">
        <w:rPr>
          <w:rFonts w:eastAsiaTheme="minorHAnsi" w:cs="Times New Roman" w:hint="eastAsia"/>
          <w:b/>
          <w:sz w:val="32"/>
          <w:szCs w:val="20"/>
        </w:rPr>
        <w:lastRenderedPageBreak/>
        <w:t>2</w:t>
      </w:r>
      <w:r w:rsidRPr="008D218F">
        <w:rPr>
          <w:rFonts w:eastAsiaTheme="minorHAnsi" w:cs="Times New Roman"/>
          <w:b/>
          <w:sz w:val="32"/>
          <w:szCs w:val="20"/>
        </w:rPr>
        <w:t xml:space="preserve">. </w:t>
      </w:r>
      <w:r w:rsidRPr="008D218F">
        <w:rPr>
          <w:rFonts w:hint="eastAsia"/>
          <w:b/>
          <w:sz w:val="32"/>
        </w:rPr>
        <w:t>Experimental studies on the preference aggregation</w:t>
      </w:r>
    </w:p>
    <w:p w14:paraId="5E02183C" w14:textId="6F8EA839" w:rsidR="008D218F" w:rsidRDefault="008D218F" w:rsidP="00571591">
      <w:pPr>
        <w:pStyle w:val="NoSpacing"/>
        <w:rPr>
          <w:rFonts w:eastAsiaTheme="minorHAnsi" w:cs="Times New Roman"/>
          <w:szCs w:val="20"/>
        </w:rPr>
      </w:pPr>
    </w:p>
    <w:p w14:paraId="7BD58BAA" w14:textId="3027650B" w:rsidR="0032505C" w:rsidRDefault="0032505C" w:rsidP="00F86F85">
      <w:pPr>
        <w:pStyle w:val="NoSpacing"/>
        <w:rPr>
          <w:rFonts w:eastAsiaTheme="minorHAnsi" w:cs="Times New Roman"/>
          <w:szCs w:val="20"/>
        </w:rPr>
      </w:pPr>
      <w:r>
        <w:rPr>
          <w:rFonts w:eastAsiaTheme="minorHAnsi" w:cs="Times New Roman"/>
          <w:szCs w:val="20"/>
        </w:rPr>
        <w:t>Three</w:t>
      </w:r>
      <w:r w:rsidR="00DC3C9F">
        <w:rPr>
          <w:rFonts w:eastAsiaTheme="minorHAnsi" w:cs="Times New Roman"/>
          <w:szCs w:val="20"/>
        </w:rPr>
        <w:t xml:space="preserve"> questions: 1) </w:t>
      </w:r>
      <w:r>
        <w:rPr>
          <w:rFonts w:eastAsiaTheme="minorHAnsi" w:cs="Times New Roman"/>
          <w:szCs w:val="20"/>
        </w:rPr>
        <w:t xml:space="preserve">Are individuals’ preference aggregated into that of group? </w:t>
      </w:r>
      <w:r w:rsidR="00DC3C9F">
        <w:rPr>
          <w:rFonts w:eastAsiaTheme="minorHAnsi" w:cs="Times New Roman"/>
          <w:szCs w:val="20"/>
        </w:rPr>
        <w:t xml:space="preserve">2) </w:t>
      </w:r>
      <w:r>
        <w:rPr>
          <w:rFonts w:eastAsiaTheme="minorHAnsi" w:cs="Times New Roman"/>
          <w:szCs w:val="20"/>
        </w:rPr>
        <w:t xml:space="preserve">Whose preference is reflected more (median, male vs female)? 3) Compared to the individual decision, which property does group decision show? </w:t>
      </w:r>
    </w:p>
    <w:p w14:paraId="0A4F0888" w14:textId="4F79D970" w:rsidR="00DC3C9F" w:rsidRDefault="00DC3C9F" w:rsidP="00571591">
      <w:pPr>
        <w:pStyle w:val="NoSpacing"/>
        <w:rPr>
          <w:rFonts w:eastAsiaTheme="minorHAnsi" w:cs="Times New Roman"/>
          <w:szCs w:val="20"/>
        </w:rPr>
      </w:pPr>
    </w:p>
    <w:p w14:paraId="6B31B2A1" w14:textId="0D3DF6FF" w:rsidR="00F86F85" w:rsidRPr="00DC3C9F" w:rsidRDefault="00F86F85" w:rsidP="00F86F85">
      <w:pPr>
        <w:pStyle w:val="NoSpacing"/>
        <w:rPr>
          <w:rFonts w:eastAsiaTheme="minorHAnsi" w:cs="Times New Roman"/>
          <w:b/>
          <w:szCs w:val="20"/>
        </w:rPr>
      </w:pPr>
      <w:r w:rsidRPr="00DC3C9F">
        <w:rPr>
          <w:rFonts w:eastAsiaTheme="minorHAnsi" w:cs="Times New Roman"/>
          <w:b/>
          <w:szCs w:val="20"/>
        </w:rPr>
        <w:t>Summar</w:t>
      </w:r>
      <w:r w:rsidR="005C5001">
        <w:rPr>
          <w:rFonts w:eastAsiaTheme="minorHAnsi" w:cs="Times New Roman"/>
          <w:b/>
          <w:szCs w:val="20"/>
        </w:rPr>
        <w:t>y</w:t>
      </w:r>
      <w:bookmarkStart w:id="0" w:name="_GoBack"/>
      <w:bookmarkEnd w:id="0"/>
    </w:p>
    <w:p w14:paraId="10977236" w14:textId="5F6A3BEF" w:rsidR="00F86F85" w:rsidRDefault="00F86F85" w:rsidP="00571591">
      <w:pPr>
        <w:pStyle w:val="NoSpacing"/>
        <w:rPr>
          <w:rFonts w:eastAsiaTheme="minorHAnsi" w:cs="Times New Roman"/>
          <w:szCs w:val="20"/>
        </w:rPr>
      </w:pPr>
      <w:r>
        <w:rPr>
          <w:rFonts w:eastAsiaTheme="minorHAnsi" w:cs="Times New Roman" w:hint="eastAsia"/>
          <w:szCs w:val="20"/>
        </w:rPr>
        <w:t>T</w:t>
      </w:r>
      <w:r>
        <w:rPr>
          <w:rFonts w:eastAsiaTheme="minorHAnsi" w:cs="Times New Roman"/>
          <w:szCs w:val="20"/>
        </w:rPr>
        <w:t xml:space="preserve">here have been previous </w:t>
      </w:r>
      <w:r w:rsidR="00B33574">
        <w:rPr>
          <w:rFonts w:eastAsiaTheme="minorHAnsi" w:cs="Times New Roman"/>
          <w:szCs w:val="20"/>
        </w:rPr>
        <w:t xml:space="preserve">experimental </w:t>
      </w:r>
      <w:r>
        <w:rPr>
          <w:rFonts w:eastAsiaTheme="minorHAnsi" w:cs="Times New Roman"/>
          <w:szCs w:val="20"/>
        </w:rPr>
        <w:t xml:space="preserve">studies that show individuals’ risk preferences are aggregated into that of group. </w:t>
      </w:r>
      <w:r w:rsidR="00B33574">
        <w:rPr>
          <w:rFonts w:eastAsiaTheme="minorHAnsi" w:cs="Times New Roman"/>
          <w:szCs w:val="20"/>
        </w:rPr>
        <w:t xml:space="preserve">Similar to our study, they </w:t>
      </w:r>
      <w:r w:rsidR="00C35E62">
        <w:rPr>
          <w:rFonts w:eastAsiaTheme="minorHAnsi" w:cs="Times New Roman"/>
          <w:szCs w:val="20"/>
        </w:rPr>
        <w:t xml:space="preserve">collect </w:t>
      </w:r>
      <w:r w:rsidR="00B33574">
        <w:rPr>
          <w:rFonts w:eastAsiaTheme="minorHAnsi" w:cs="Times New Roman"/>
          <w:szCs w:val="20"/>
        </w:rPr>
        <w:t xml:space="preserve">both individual and joint choice </w:t>
      </w:r>
      <w:r w:rsidR="00C35E62">
        <w:rPr>
          <w:rFonts w:eastAsiaTheme="minorHAnsi" w:cs="Times New Roman"/>
          <w:szCs w:val="20"/>
        </w:rPr>
        <w:t>on</w:t>
      </w:r>
      <w:r w:rsidR="00B33574">
        <w:rPr>
          <w:rFonts w:eastAsiaTheme="minorHAnsi" w:cs="Times New Roman"/>
          <w:szCs w:val="20"/>
        </w:rPr>
        <w:t xml:space="preserve"> MPL (multiple price list) or linear budget set, and </w:t>
      </w:r>
      <w:r w:rsidR="00473D1E">
        <w:rPr>
          <w:rFonts w:eastAsiaTheme="minorHAnsi" w:cs="Times New Roman"/>
          <w:szCs w:val="20"/>
        </w:rPr>
        <w:t>conclude</w:t>
      </w:r>
      <w:r w:rsidR="00D5781E">
        <w:rPr>
          <w:rFonts w:eastAsiaTheme="minorHAnsi" w:cs="Times New Roman"/>
          <w:szCs w:val="20"/>
        </w:rPr>
        <w:t xml:space="preserve"> that</w:t>
      </w:r>
      <w:r w:rsidR="00B33574">
        <w:rPr>
          <w:rFonts w:eastAsiaTheme="minorHAnsi" w:cs="Times New Roman"/>
          <w:szCs w:val="20"/>
        </w:rPr>
        <w:t xml:space="preserve"> the</w:t>
      </w:r>
      <w:r w:rsidR="00473D1E">
        <w:rPr>
          <w:rFonts w:eastAsiaTheme="minorHAnsi" w:cs="Times New Roman"/>
          <w:szCs w:val="20"/>
        </w:rPr>
        <w:t xml:space="preserve"> one-dimensional</w:t>
      </w:r>
      <w:r w:rsidR="00C35E62">
        <w:rPr>
          <w:rFonts w:eastAsiaTheme="minorHAnsi" w:cs="Times New Roman"/>
          <w:szCs w:val="20"/>
        </w:rPr>
        <w:t xml:space="preserve"> measure of </w:t>
      </w:r>
      <w:r w:rsidR="00B33574">
        <w:rPr>
          <w:rFonts w:eastAsiaTheme="minorHAnsi" w:cs="Times New Roman"/>
          <w:szCs w:val="20"/>
        </w:rPr>
        <w:t xml:space="preserve">group choice’s risk aversion </w:t>
      </w:r>
      <w:r w:rsidR="004468F0">
        <w:rPr>
          <w:rFonts w:eastAsiaTheme="minorHAnsi" w:cs="Times New Roman"/>
          <w:szCs w:val="20"/>
        </w:rPr>
        <w:t>can be represented as a convex combination of</w:t>
      </w:r>
      <w:r w:rsidR="00B33574">
        <w:rPr>
          <w:rFonts w:eastAsiaTheme="minorHAnsi" w:cs="Times New Roman"/>
          <w:szCs w:val="20"/>
        </w:rPr>
        <w:t xml:space="preserve"> those of group members (</w:t>
      </w:r>
      <w:proofErr w:type="spellStart"/>
      <w:r w:rsidR="00B33574" w:rsidRPr="0056258E">
        <w:rPr>
          <w:rFonts w:eastAsiaTheme="minorHAnsi"/>
          <w:color w:val="000000"/>
          <w:szCs w:val="20"/>
        </w:rPr>
        <w:t>Abdellaoui</w:t>
      </w:r>
      <w:proofErr w:type="spellEnd"/>
      <w:r w:rsidR="00B33574">
        <w:rPr>
          <w:rFonts w:eastAsiaTheme="minorHAnsi"/>
          <w:color w:val="000000"/>
          <w:szCs w:val="20"/>
        </w:rPr>
        <w:t xml:space="preserve"> et al. (2013), </w:t>
      </w:r>
      <w:proofErr w:type="spellStart"/>
      <w:r w:rsidR="00B33574">
        <w:rPr>
          <w:rFonts w:eastAsiaTheme="minorHAnsi" w:cs="GulimChe"/>
          <w:color w:val="000000"/>
          <w:kern w:val="0"/>
          <w:szCs w:val="20"/>
        </w:rPr>
        <w:t>A</w:t>
      </w:r>
      <w:r w:rsidR="00B33574" w:rsidRPr="00571591">
        <w:rPr>
          <w:rFonts w:eastAsiaTheme="minorHAnsi" w:cs="GulimChe"/>
          <w:color w:val="000000"/>
          <w:kern w:val="0"/>
          <w:szCs w:val="20"/>
        </w:rPr>
        <w:t>mbrus</w:t>
      </w:r>
      <w:proofErr w:type="spellEnd"/>
      <w:r w:rsidR="00B33574">
        <w:rPr>
          <w:rFonts w:eastAsiaTheme="minorHAnsi" w:cs="GulimChe"/>
          <w:color w:val="000000"/>
          <w:kern w:val="0"/>
          <w:szCs w:val="20"/>
        </w:rPr>
        <w:t xml:space="preserve"> et al. (</w:t>
      </w:r>
      <w:r w:rsidR="00B33574" w:rsidRPr="00571591">
        <w:rPr>
          <w:rFonts w:eastAsiaTheme="minorHAnsi" w:cs="GulimChe"/>
          <w:color w:val="000000"/>
          <w:kern w:val="0"/>
          <w:szCs w:val="20"/>
        </w:rPr>
        <w:t>2015</w:t>
      </w:r>
      <w:r w:rsidR="00B33574">
        <w:rPr>
          <w:rFonts w:eastAsiaTheme="minorHAnsi" w:cs="GulimChe"/>
          <w:color w:val="000000"/>
          <w:kern w:val="0"/>
          <w:szCs w:val="20"/>
        </w:rPr>
        <w:t xml:space="preserve">), </w:t>
      </w:r>
      <w:proofErr w:type="spellStart"/>
      <w:r w:rsidR="00B33574" w:rsidRPr="00571591">
        <w:rPr>
          <w:rFonts w:eastAsiaTheme="minorHAnsi" w:cs="Times New Roman"/>
          <w:color w:val="000000"/>
          <w:kern w:val="0"/>
          <w:szCs w:val="20"/>
        </w:rPr>
        <w:t>Baillon</w:t>
      </w:r>
      <w:proofErr w:type="spellEnd"/>
      <w:r w:rsidR="00B33574">
        <w:rPr>
          <w:rFonts w:eastAsiaTheme="minorHAnsi" w:cs="Times New Roman"/>
          <w:color w:val="000000"/>
          <w:kern w:val="0"/>
          <w:szCs w:val="20"/>
        </w:rPr>
        <w:t xml:space="preserve"> et al. (</w:t>
      </w:r>
      <w:r w:rsidR="00B444E4">
        <w:rPr>
          <w:rFonts w:eastAsiaTheme="minorHAnsi" w:cs="Times New Roman"/>
          <w:color w:val="000000"/>
          <w:kern w:val="0"/>
          <w:szCs w:val="20"/>
        </w:rPr>
        <w:t>2016), Bateman and Munro (2005), De Palma et al. (2011), Deck at al. (2012)</w:t>
      </w:r>
      <w:r w:rsidR="00B33574">
        <w:rPr>
          <w:rFonts w:eastAsiaTheme="minorHAnsi" w:cs="Times New Roman"/>
          <w:szCs w:val="20"/>
        </w:rPr>
        <w:t>).</w:t>
      </w:r>
    </w:p>
    <w:p w14:paraId="22D879CA" w14:textId="77777777" w:rsidR="00F86F85" w:rsidRPr="00DC3C9F" w:rsidRDefault="00F86F85" w:rsidP="00571591">
      <w:pPr>
        <w:pStyle w:val="NoSpacing"/>
        <w:rPr>
          <w:rFonts w:eastAsiaTheme="minorHAnsi" w:cs="Times New Roman"/>
          <w:szCs w:val="20"/>
        </w:rPr>
      </w:pPr>
    </w:p>
    <w:p w14:paraId="5219A95C"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w:t>
      </w:r>
      <w:proofErr w:type="gramStart"/>
      <w:r w:rsidRPr="0056258E">
        <w:rPr>
          <w:rFonts w:asciiTheme="minorHAnsi" w:eastAsiaTheme="minorHAnsi" w:hAnsiTheme="minorHAnsi"/>
          <w:color w:val="000000"/>
          <w:sz w:val="20"/>
          <w:szCs w:val="20"/>
        </w:rPr>
        <w:t>article{</w:t>
      </w:r>
      <w:proofErr w:type="gramEnd"/>
      <w:r w:rsidRPr="0056258E">
        <w:rPr>
          <w:rFonts w:asciiTheme="minorHAnsi" w:eastAsiaTheme="minorHAnsi" w:hAnsiTheme="minorHAnsi"/>
          <w:color w:val="000000"/>
          <w:sz w:val="20"/>
          <w:szCs w:val="20"/>
        </w:rPr>
        <w:t>abdellaoui2013individual,</w:t>
      </w:r>
    </w:p>
    <w:p w14:paraId="3D830617"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title</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Individual vs. couple behavior: an experimental investigation of risk preferences},</w:t>
      </w:r>
    </w:p>
    <w:p w14:paraId="668D67C3"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author</w:t>
      </w:r>
      <w:proofErr w:type="gramStart"/>
      <w:r w:rsidRPr="0056258E">
        <w:rPr>
          <w:rFonts w:asciiTheme="minorHAnsi" w:eastAsiaTheme="minorHAnsi" w:hAnsiTheme="minorHAnsi"/>
          <w:color w:val="000000"/>
          <w:sz w:val="20"/>
          <w:szCs w:val="20"/>
        </w:rPr>
        <w:t>={</w:t>
      </w:r>
      <w:proofErr w:type="spellStart"/>
      <w:proofErr w:type="gramEnd"/>
      <w:r w:rsidRPr="0056258E">
        <w:rPr>
          <w:rFonts w:asciiTheme="minorHAnsi" w:eastAsiaTheme="minorHAnsi" w:hAnsiTheme="minorHAnsi"/>
          <w:color w:val="000000"/>
          <w:sz w:val="20"/>
          <w:szCs w:val="20"/>
        </w:rPr>
        <w:t>Abdellaoui</w:t>
      </w:r>
      <w:proofErr w:type="spellEnd"/>
      <w:r w:rsidRPr="0056258E">
        <w:rPr>
          <w:rFonts w:asciiTheme="minorHAnsi" w:eastAsiaTheme="minorHAnsi" w:hAnsiTheme="minorHAnsi"/>
          <w:color w:val="000000"/>
          <w:sz w:val="20"/>
          <w:szCs w:val="20"/>
        </w:rPr>
        <w:t xml:space="preserve">, Mohammed and </w:t>
      </w:r>
      <w:proofErr w:type="spellStart"/>
      <w:r w:rsidRPr="0056258E">
        <w:rPr>
          <w:rFonts w:asciiTheme="minorHAnsi" w:eastAsiaTheme="minorHAnsi" w:hAnsiTheme="minorHAnsi"/>
          <w:color w:val="000000"/>
          <w:sz w:val="20"/>
          <w:szCs w:val="20"/>
        </w:rPr>
        <w:t>l’Haridon</w:t>
      </w:r>
      <w:proofErr w:type="spellEnd"/>
      <w:r w:rsidRPr="0056258E">
        <w:rPr>
          <w:rFonts w:asciiTheme="minorHAnsi" w:eastAsiaTheme="minorHAnsi" w:hAnsiTheme="minorHAnsi"/>
          <w:color w:val="000000"/>
          <w:sz w:val="20"/>
          <w:szCs w:val="20"/>
        </w:rPr>
        <w:t xml:space="preserve">, Olivier and </w:t>
      </w:r>
      <w:proofErr w:type="spellStart"/>
      <w:r w:rsidRPr="0056258E">
        <w:rPr>
          <w:rFonts w:asciiTheme="minorHAnsi" w:eastAsiaTheme="minorHAnsi" w:hAnsiTheme="minorHAnsi"/>
          <w:color w:val="000000"/>
          <w:sz w:val="20"/>
          <w:szCs w:val="20"/>
        </w:rPr>
        <w:t>Paraschiv</w:t>
      </w:r>
      <w:proofErr w:type="spellEnd"/>
      <w:r w:rsidRPr="0056258E">
        <w:rPr>
          <w:rFonts w:asciiTheme="minorHAnsi" w:eastAsiaTheme="minorHAnsi" w:hAnsiTheme="minorHAnsi"/>
          <w:color w:val="000000"/>
          <w:sz w:val="20"/>
          <w:szCs w:val="20"/>
        </w:rPr>
        <w:t>, Corina},</w:t>
      </w:r>
    </w:p>
    <w:p w14:paraId="59D281A6"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journal</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Theory and decision},</w:t>
      </w:r>
    </w:p>
    <w:p w14:paraId="7BC4A706"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volume</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75},</w:t>
      </w:r>
    </w:p>
    <w:p w14:paraId="42489CB2"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number</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2},</w:t>
      </w:r>
    </w:p>
    <w:p w14:paraId="76B03AE4"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pages</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175--191},</w:t>
      </w:r>
    </w:p>
    <w:p w14:paraId="61D0420D"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year</w:t>
      </w:r>
      <w:proofErr w:type="gramStart"/>
      <w:r w:rsidRPr="0056258E">
        <w:rPr>
          <w:rFonts w:asciiTheme="minorHAnsi" w:eastAsiaTheme="minorHAnsi" w:hAnsiTheme="minorHAnsi"/>
          <w:color w:val="000000"/>
          <w:sz w:val="20"/>
          <w:szCs w:val="20"/>
        </w:rPr>
        <w:t>={</w:t>
      </w:r>
      <w:proofErr w:type="gramEnd"/>
      <w:r w:rsidRPr="0056258E">
        <w:rPr>
          <w:rFonts w:asciiTheme="minorHAnsi" w:eastAsiaTheme="minorHAnsi" w:hAnsiTheme="minorHAnsi"/>
          <w:color w:val="000000"/>
          <w:sz w:val="20"/>
          <w:szCs w:val="20"/>
        </w:rPr>
        <w:t>2013},</w:t>
      </w:r>
    </w:p>
    <w:p w14:paraId="0D82C511"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 xml:space="preserve">  publisher={Springer}</w:t>
      </w:r>
    </w:p>
    <w:p w14:paraId="6CCED692" w14:textId="77777777" w:rsidR="0056258E" w:rsidRPr="0056258E" w:rsidRDefault="0056258E" w:rsidP="0056258E">
      <w:pPr>
        <w:pStyle w:val="HTMLPreformatted"/>
        <w:rPr>
          <w:rFonts w:asciiTheme="minorHAnsi" w:eastAsiaTheme="minorHAnsi" w:hAnsiTheme="minorHAnsi"/>
          <w:color w:val="000000"/>
          <w:sz w:val="20"/>
          <w:szCs w:val="20"/>
        </w:rPr>
      </w:pPr>
      <w:r w:rsidRPr="0056258E">
        <w:rPr>
          <w:rFonts w:asciiTheme="minorHAnsi" w:eastAsiaTheme="minorHAnsi" w:hAnsiTheme="minorHAnsi"/>
          <w:color w:val="000000"/>
          <w:sz w:val="20"/>
          <w:szCs w:val="20"/>
        </w:rPr>
        <w:t>}</w:t>
      </w:r>
    </w:p>
    <w:p w14:paraId="3BAB42D9" w14:textId="081D92BA" w:rsidR="0056258E" w:rsidRPr="0056258E" w:rsidRDefault="0056258E" w:rsidP="0056258E">
      <w:pPr>
        <w:wordWrap/>
        <w:adjustRightInd w:val="0"/>
        <w:spacing w:after="0" w:line="240" w:lineRule="auto"/>
        <w:rPr>
          <w:rFonts w:eastAsiaTheme="minorHAnsi" w:cs="Times-Roman"/>
          <w:color w:val="131413"/>
          <w:kern w:val="0"/>
          <w:szCs w:val="20"/>
        </w:rPr>
      </w:pPr>
      <w:r w:rsidRPr="0056258E">
        <w:rPr>
          <w:rFonts w:eastAsiaTheme="minorHAnsi" w:cs="Times-Bold"/>
          <w:b/>
          <w:bCs/>
          <w:color w:val="131413"/>
          <w:kern w:val="0"/>
          <w:szCs w:val="20"/>
        </w:rPr>
        <w:t xml:space="preserve">Abstract </w:t>
      </w:r>
      <w:r w:rsidRPr="0056258E">
        <w:rPr>
          <w:rFonts w:eastAsiaTheme="minorHAnsi" w:cs="Times-Roman"/>
          <w:color w:val="131413"/>
          <w:kern w:val="0"/>
          <w:szCs w:val="20"/>
        </w:rPr>
        <w:t>In this article, we elicit both individuals’ and couples’ preferences assuming</w:t>
      </w:r>
      <w:r>
        <w:rPr>
          <w:rFonts w:eastAsiaTheme="minorHAnsi" w:cs="Times-Roman"/>
          <w:color w:val="131413"/>
          <w:kern w:val="0"/>
          <w:szCs w:val="20"/>
        </w:rPr>
        <w:t xml:space="preserve"> </w:t>
      </w:r>
      <w:r w:rsidRPr="0056258E">
        <w:rPr>
          <w:rFonts w:eastAsiaTheme="minorHAnsi" w:cs="Times-Roman"/>
          <w:color w:val="131413"/>
          <w:kern w:val="0"/>
          <w:szCs w:val="20"/>
        </w:rPr>
        <w:t>prospect theory (PT) as a general theoretical framework for decision under risk.</w:t>
      </w:r>
      <w:r>
        <w:rPr>
          <w:rFonts w:eastAsiaTheme="minorHAnsi" w:cs="Times-Roman"/>
          <w:color w:val="131413"/>
          <w:kern w:val="0"/>
          <w:szCs w:val="20"/>
        </w:rPr>
        <w:t xml:space="preserve"> </w:t>
      </w:r>
      <w:r w:rsidRPr="0056258E">
        <w:rPr>
          <w:rFonts w:eastAsiaTheme="minorHAnsi" w:cs="Times-Roman"/>
          <w:color w:val="131413"/>
          <w:kern w:val="0"/>
          <w:szCs w:val="20"/>
        </w:rPr>
        <w:t>Our experimental method, based on certainty equivalents, allows to infer measurements</w:t>
      </w:r>
      <w:r>
        <w:rPr>
          <w:rFonts w:eastAsiaTheme="minorHAnsi" w:cs="Times-Roman"/>
          <w:color w:val="131413"/>
          <w:kern w:val="0"/>
          <w:szCs w:val="20"/>
        </w:rPr>
        <w:t xml:space="preserve"> </w:t>
      </w:r>
      <w:r w:rsidRPr="0056258E">
        <w:rPr>
          <w:rFonts w:eastAsiaTheme="minorHAnsi" w:cs="Times-Roman"/>
          <w:color w:val="131413"/>
          <w:kern w:val="0"/>
          <w:szCs w:val="20"/>
        </w:rPr>
        <w:t>of utility and probability weighting at the individual level and at the couple</w:t>
      </w:r>
      <w:r>
        <w:rPr>
          <w:rFonts w:eastAsiaTheme="minorHAnsi" w:cs="Times-Roman"/>
          <w:color w:val="131413"/>
          <w:kern w:val="0"/>
          <w:szCs w:val="20"/>
        </w:rPr>
        <w:t xml:space="preserve"> </w:t>
      </w:r>
      <w:r w:rsidRPr="0056258E">
        <w:rPr>
          <w:rFonts w:eastAsiaTheme="minorHAnsi" w:cs="Times-Roman"/>
          <w:color w:val="131413"/>
          <w:kern w:val="0"/>
          <w:szCs w:val="20"/>
        </w:rPr>
        <w:t>level. Our main results are twofold. First, risk attitude for couples is compatible with</w:t>
      </w:r>
      <w:r>
        <w:rPr>
          <w:rFonts w:eastAsiaTheme="minorHAnsi" w:cs="Times-Roman"/>
          <w:color w:val="131413"/>
          <w:kern w:val="0"/>
          <w:szCs w:val="20"/>
        </w:rPr>
        <w:t xml:space="preserve"> </w:t>
      </w:r>
      <w:r w:rsidRPr="0056258E">
        <w:rPr>
          <w:rFonts w:eastAsiaTheme="minorHAnsi" w:cs="Times-Roman"/>
          <w:color w:val="131413"/>
          <w:kern w:val="0"/>
          <w:szCs w:val="20"/>
        </w:rPr>
        <w:t xml:space="preserve">PT and incorporates deviations from expected utility </w:t>
      </w:r>
      <w:proofErr w:type="gramStart"/>
      <w:r w:rsidRPr="0056258E">
        <w:rPr>
          <w:rFonts w:eastAsiaTheme="minorHAnsi" w:cs="Times-Roman"/>
          <w:color w:val="131413"/>
          <w:kern w:val="0"/>
          <w:szCs w:val="20"/>
        </w:rPr>
        <w:t>similar to</w:t>
      </w:r>
      <w:proofErr w:type="gramEnd"/>
      <w:r w:rsidRPr="0056258E">
        <w:rPr>
          <w:rFonts w:eastAsiaTheme="minorHAnsi" w:cs="Times-Roman"/>
          <w:color w:val="131413"/>
          <w:kern w:val="0"/>
          <w:szCs w:val="20"/>
        </w:rPr>
        <w:t xml:space="preserve"> those found in individual</w:t>
      </w:r>
      <w:r>
        <w:rPr>
          <w:rFonts w:eastAsiaTheme="minorHAnsi" w:cs="Times-Roman"/>
          <w:color w:val="131413"/>
          <w:kern w:val="0"/>
          <w:szCs w:val="20"/>
        </w:rPr>
        <w:t xml:space="preserve"> </w:t>
      </w:r>
      <w:r w:rsidRPr="0056258E">
        <w:rPr>
          <w:rFonts w:eastAsiaTheme="minorHAnsi" w:cs="Times-Roman"/>
          <w:color w:val="131413"/>
          <w:kern w:val="0"/>
          <w:szCs w:val="20"/>
        </w:rPr>
        <w:t>decision making. Second, couples’ attitudes towards risk are found to be consistent</w:t>
      </w:r>
      <w:r>
        <w:rPr>
          <w:rFonts w:eastAsiaTheme="minorHAnsi" w:cs="Times-Roman"/>
          <w:color w:val="131413"/>
          <w:kern w:val="0"/>
          <w:szCs w:val="20"/>
        </w:rPr>
        <w:t xml:space="preserve"> </w:t>
      </w:r>
      <w:r w:rsidRPr="0056258E">
        <w:rPr>
          <w:rFonts w:eastAsiaTheme="minorHAnsi" w:cs="Times-Roman"/>
          <w:color w:val="131413"/>
          <w:kern w:val="0"/>
          <w:szCs w:val="20"/>
        </w:rPr>
        <w:t>with a</w:t>
      </w:r>
      <w:r>
        <w:rPr>
          <w:rFonts w:eastAsiaTheme="minorHAnsi" w:cs="Times-Roman"/>
          <w:color w:val="131413"/>
          <w:kern w:val="0"/>
          <w:szCs w:val="20"/>
        </w:rPr>
        <w:t xml:space="preserve"> </w:t>
      </w:r>
      <w:r w:rsidRPr="0056258E">
        <w:rPr>
          <w:rFonts w:eastAsiaTheme="minorHAnsi" w:cs="Times-Roman"/>
          <w:color w:val="131413"/>
          <w:kern w:val="0"/>
          <w:szCs w:val="20"/>
        </w:rPr>
        <w:t>mix of individual attitudes, women being more influent on couples’ preferences</w:t>
      </w:r>
    </w:p>
    <w:p w14:paraId="6161B61C" w14:textId="3DFA4DD4" w:rsidR="00571591" w:rsidRPr="0056258E" w:rsidRDefault="0056258E" w:rsidP="0056258E">
      <w:pPr>
        <w:pStyle w:val="NoSpacing"/>
        <w:rPr>
          <w:rFonts w:eastAsiaTheme="minorHAnsi" w:cs="Times-Roman"/>
          <w:color w:val="131413"/>
          <w:kern w:val="0"/>
          <w:szCs w:val="20"/>
        </w:rPr>
      </w:pPr>
      <w:r w:rsidRPr="0056258E">
        <w:rPr>
          <w:rFonts w:eastAsiaTheme="minorHAnsi" w:cs="Times-Roman"/>
          <w:color w:val="131413"/>
          <w:kern w:val="0"/>
          <w:szCs w:val="20"/>
        </w:rPr>
        <w:t>at low probability levels.</w:t>
      </w:r>
    </w:p>
    <w:p w14:paraId="468899F4" w14:textId="2D8B4099" w:rsidR="0056258E" w:rsidRDefault="00ED7F47" w:rsidP="0056258E">
      <w:pPr>
        <w:pStyle w:val="NoSpacing"/>
        <w:rPr>
          <w:rFonts w:eastAsiaTheme="minorHAnsi" w:cs="Times New Roman"/>
          <w:szCs w:val="20"/>
        </w:rPr>
      </w:pPr>
      <w:r>
        <w:rPr>
          <w:rFonts w:eastAsiaTheme="minorHAnsi" w:cs="Times New Roman"/>
          <w:b/>
          <w:szCs w:val="20"/>
        </w:rPr>
        <w:t>Note</w:t>
      </w:r>
      <w:r w:rsidR="0056258E">
        <w:rPr>
          <w:rFonts w:eastAsiaTheme="minorHAnsi" w:cs="Times New Roman"/>
          <w:szCs w:val="20"/>
        </w:rPr>
        <w:t xml:space="preserve"> RDU, Risk Premium, NLLS</w:t>
      </w:r>
    </w:p>
    <w:p w14:paraId="21F5B7A5" w14:textId="77777777" w:rsidR="0056258E" w:rsidRDefault="0056258E" w:rsidP="0056258E">
      <w:pPr>
        <w:pStyle w:val="NoSpacing"/>
        <w:rPr>
          <w:rFonts w:eastAsiaTheme="minorHAnsi" w:cs="Times New Roman"/>
          <w:szCs w:val="20"/>
        </w:rPr>
      </w:pPr>
    </w:p>
    <w:p w14:paraId="445A31A0"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w:t>
      </w:r>
      <w:proofErr w:type="gramStart"/>
      <w:r w:rsidRPr="00571591">
        <w:rPr>
          <w:rFonts w:eastAsiaTheme="minorHAnsi" w:cs="GulimChe"/>
          <w:color w:val="000000"/>
          <w:kern w:val="0"/>
          <w:szCs w:val="20"/>
        </w:rPr>
        <w:t>article{</w:t>
      </w:r>
      <w:proofErr w:type="gramEnd"/>
      <w:r w:rsidRPr="00571591">
        <w:rPr>
          <w:rFonts w:eastAsiaTheme="minorHAnsi" w:cs="GulimChe"/>
          <w:color w:val="000000"/>
          <w:kern w:val="0"/>
          <w:szCs w:val="20"/>
        </w:rPr>
        <w:t>ambrus2015individual,</w:t>
      </w:r>
    </w:p>
    <w:p w14:paraId="532EB079"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title</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How individual preferences are aggregated in groups: An experimental study},</w:t>
      </w:r>
    </w:p>
    <w:p w14:paraId="4134FAA2"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author</w:t>
      </w:r>
      <w:proofErr w:type="gramStart"/>
      <w:r w:rsidRPr="00571591">
        <w:rPr>
          <w:rFonts w:eastAsiaTheme="minorHAnsi" w:cs="GulimChe"/>
          <w:color w:val="000000"/>
          <w:kern w:val="0"/>
          <w:szCs w:val="20"/>
        </w:rPr>
        <w:t>={</w:t>
      </w:r>
      <w:proofErr w:type="spellStart"/>
      <w:proofErr w:type="gramEnd"/>
      <w:r w:rsidRPr="00571591">
        <w:rPr>
          <w:rFonts w:eastAsiaTheme="minorHAnsi" w:cs="GulimChe"/>
          <w:color w:val="000000"/>
          <w:kern w:val="0"/>
          <w:szCs w:val="20"/>
        </w:rPr>
        <w:t>Ambrus</w:t>
      </w:r>
      <w:proofErr w:type="spellEnd"/>
      <w:r w:rsidRPr="00571591">
        <w:rPr>
          <w:rFonts w:eastAsiaTheme="minorHAnsi" w:cs="GulimChe"/>
          <w:color w:val="000000"/>
          <w:kern w:val="0"/>
          <w:szCs w:val="20"/>
        </w:rPr>
        <w:t>, Attila and Greiner, Ben and Pathak, Parag A},</w:t>
      </w:r>
    </w:p>
    <w:p w14:paraId="287FE92D"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journal</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Journal of Public Economics},</w:t>
      </w:r>
    </w:p>
    <w:p w14:paraId="4E213265"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volume</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129},</w:t>
      </w:r>
    </w:p>
    <w:p w14:paraId="6A973EBB"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lastRenderedPageBreak/>
        <w:t xml:space="preserve">  pages</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1--13},</w:t>
      </w:r>
    </w:p>
    <w:p w14:paraId="474E774E"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year</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2015},</w:t>
      </w:r>
    </w:p>
    <w:p w14:paraId="2843D057"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publisher={Elsevier}</w:t>
      </w:r>
    </w:p>
    <w:p w14:paraId="282B37EB" w14:textId="6200ED08" w:rsidR="00571591" w:rsidRPr="00571591" w:rsidRDefault="00571591" w:rsidP="006602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szCs w:val="20"/>
        </w:rPr>
      </w:pPr>
      <w:r w:rsidRPr="00571591">
        <w:rPr>
          <w:rFonts w:eastAsiaTheme="minorHAnsi" w:cs="GulimChe"/>
          <w:color w:val="000000"/>
          <w:kern w:val="0"/>
          <w:szCs w:val="20"/>
        </w:rPr>
        <w:t>}</w:t>
      </w:r>
    </w:p>
    <w:p w14:paraId="3E171CDE" w14:textId="044AFBAE" w:rsidR="00571591" w:rsidRPr="00571591" w:rsidRDefault="008D218F" w:rsidP="008D218F">
      <w:pPr>
        <w:wordWrap/>
        <w:adjustRightInd w:val="0"/>
        <w:spacing w:after="0" w:line="240" w:lineRule="auto"/>
        <w:rPr>
          <w:rFonts w:eastAsiaTheme="minorHAnsi" w:cs="AdvTT5235d5a9"/>
          <w:kern w:val="0"/>
          <w:szCs w:val="20"/>
        </w:rPr>
      </w:pPr>
      <w:r w:rsidRPr="008D218F">
        <w:rPr>
          <w:rFonts w:eastAsiaTheme="minorHAnsi" w:cs="AdvTT5235d5a9"/>
          <w:b/>
          <w:kern w:val="0"/>
          <w:szCs w:val="20"/>
        </w:rPr>
        <w:t>Abstract:</w:t>
      </w:r>
      <w:r>
        <w:rPr>
          <w:rFonts w:eastAsiaTheme="minorHAnsi" w:cs="AdvTT5235d5a9"/>
          <w:kern w:val="0"/>
          <w:szCs w:val="20"/>
        </w:rPr>
        <w:t xml:space="preserve"> </w:t>
      </w:r>
      <w:r w:rsidR="00571591" w:rsidRPr="00571591">
        <w:rPr>
          <w:rFonts w:eastAsiaTheme="minorHAnsi" w:cs="AdvTT5235d5a9"/>
          <w:kern w:val="0"/>
          <w:szCs w:val="20"/>
        </w:rPr>
        <w:t>This paper experimentally investigates how individual preferences, through unrestricted deliberation, are aggregated</w:t>
      </w:r>
      <w:r>
        <w:rPr>
          <w:rFonts w:eastAsiaTheme="minorHAnsi" w:cs="AdvTT5235d5a9"/>
          <w:kern w:val="0"/>
          <w:szCs w:val="20"/>
        </w:rPr>
        <w:t xml:space="preserve"> </w:t>
      </w:r>
      <w:r w:rsidR="00571591" w:rsidRPr="00571591">
        <w:rPr>
          <w:rFonts w:eastAsiaTheme="minorHAnsi" w:cs="AdvTT5235d5a9"/>
          <w:kern w:val="0"/>
          <w:szCs w:val="20"/>
        </w:rPr>
        <w:t>into a group decision in two contexts: reciprocating gifts and choosing between lotteries. In both contexts,</w:t>
      </w:r>
      <w:r>
        <w:rPr>
          <w:rFonts w:eastAsiaTheme="minorHAnsi" w:cs="AdvTT5235d5a9"/>
          <w:kern w:val="0"/>
          <w:szCs w:val="20"/>
        </w:rPr>
        <w:t xml:space="preserve"> </w:t>
      </w:r>
      <w:r w:rsidR="00571591" w:rsidRPr="00571591">
        <w:rPr>
          <w:rFonts w:eastAsiaTheme="minorHAnsi" w:cs="AdvTT5235d5a9"/>
          <w:kern w:val="0"/>
          <w:szCs w:val="20"/>
        </w:rPr>
        <w:t xml:space="preserve">we </w:t>
      </w:r>
      <w:r w:rsidR="00571591" w:rsidRPr="00571591">
        <w:rPr>
          <w:rFonts w:eastAsiaTheme="minorHAnsi" w:cs="AdvTT5235d5a9+fb"/>
          <w:kern w:val="0"/>
          <w:szCs w:val="20"/>
        </w:rPr>
        <w:t>fi</w:t>
      </w:r>
      <w:r w:rsidR="00571591" w:rsidRPr="00571591">
        <w:rPr>
          <w:rFonts w:eastAsiaTheme="minorHAnsi" w:cs="AdvTT5235d5a9"/>
          <w:kern w:val="0"/>
          <w:szCs w:val="20"/>
        </w:rPr>
        <w:t>nd that median group members have a signi</w:t>
      </w:r>
      <w:r w:rsidR="00571591" w:rsidRPr="00571591">
        <w:rPr>
          <w:rFonts w:eastAsiaTheme="minorHAnsi" w:cs="AdvTT5235d5a9+fb"/>
          <w:kern w:val="0"/>
          <w:szCs w:val="20"/>
        </w:rPr>
        <w:t>fi</w:t>
      </w:r>
      <w:r w:rsidR="00571591" w:rsidRPr="00571591">
        <w:rPr>
          <w:rFonts w:eastAsiaTheme="minorHAnsi" w:cs="AdvTT5235d5a9"/>
          <w:kern w:val="0"/>
          <w:szCs w:val="20"/>
        </w:rPr>
        <w:t>cant impact on the group decision, but the median is not the</w:t>
      </w:r>
      <w:r>
        <w:rPr>
          <w:rFonts w:eastAsiaTheme="minorHAnsi" w:cs="AdvTT5235d5a9"/>
          <w:kern w:val="0"/>
          <w:szCs w:val="20"/>
        </w:rPr>
        <w:t xml:space="preserve"> </w:t>
      </w:r>
      <w:r w:rsidR="00571591" w:rsidRPr="00571591">
        <w:rPr>
          <w:rFonts w:eastAsiaTheme="minorHAnsi" w:cs="AdvTT5235d5a9"/>
          <w:kern w:val="0"/>
          <w:szCs w:val="20"/>
        </w:rPr>
        <w:t>only in</w:t>
      </w:r>
      <w:r w:rsidR="00571591" w:rsidRPr="00571591">
        <w:rPr>
          <w:rFonts w:eastAsiaTheme="minorHAnsi" w:cs="AdvTT5235d5a9+fb"/>
          <w:kern w:val="0"/>
          <w:szCs w:val="20"/>
        </w:rPr>
        <w:t>fl</w:t>
      </w:r>
      <w:r w:rsidR="00571591" w:rsidRPr="00571591">
        <w:rPr>
          <w:rFonts w:eastAsiaTheme="minorHAnsi" w:cs="AdvTT5235d5a9"/>
          <w:kern w:val="0"/>
          <w:szCs w:val="20"/>
        </w:rPr>
        <w:t>uential group member. Non-median members closer to the median tend to have more in</w:t>
      </w:r>
      <w:r w:rsidR="00571591" w:rsidRPr="00571591">
        <w:rPr>
          <w:rFonts w:eastAsiaTheme="minorHAnsi" w:cs="AdvTT5235d5a9+fb"/>
          <w:kern w:val="0"/>
          <w:szCs w:val="20"/>
        </w:rPr>
        <w:t>fl</w:t>
      </w:r>
      <w:r w:rsidR="00571591" w:rsidRPr="00571591">
        <w:rPr>
          <w:rFonts w:eastAsiaTheme="minorHAnsi" w:cs="AdvTT5235d5a9"/>
          <w:kern w:val="0"/>
          <w:szCs w:val="20"/>
        </w:rPr>
        <w:t>uence than</w:t>
      </w:r>
      <w:r>
        <w:rPr>
          <w:rFonts w:eastAsiaTheme="minorHAnsi" w:cs="AdvTT5235d5a9"/>
          <w:kern w:val="0"/>
          <w:szCs w:val="20"/>
        </w:rPr>
        <w:t xml:space="preserve"> </w:t>
      </w:r>
      <w:r w:rsidR="00571591" w:rsidRPr="00571591">
        <w:rPr>
          <w:rFonts w:eastAsiaTheme="minorHAnsi" w:cs="AdvTT5235d5a9"/>
          <w:kern w:val="0"/>
          <w:szCs w:val="20"/>
        </w:rPr>
        <w:t>other</w:t>
      </w:r>
      <w:r>
        <w:rPr>
          <w:rFonts w:eastAsiaTheme="minorHAnsi" w:cs="AdvTT5235d5a9"/>
          <w:kern w:val="0"/>
          <w:szCs w:val="20"/>
        </w:rPr>
        <w:t xml:space="preserve"> </w:t>
      </w:r>
      <w:r w:rsidR="00571591" w:rsidRPr="00571591">
        <w:rPr>
          <w:rFonts w:eastAsiaTheme="minorHAnsi" w:cs="AdvTT5235d5a9"/>
          <w:kern w:val="0"/>
          <w:szCs w:val="20"/>
        </w:rPr>
        <w:t>members. By investigating the same individual's in</w:t>
      </w:r>
      <w:r w:rsidR="00571591" w:rsidRPr="00571591">
        <w:rPr>
          <w:rFonts w:eastAsiaTheme="minorHAnsi" w:cs="AdvTT5235d5a9+fb"/>
          <w:kern w:val="0"/>
          <w:szCs w:val="20"/>
        </w:rPr>
        <w:t>fl</w:t>
      </w:r>
      <w:r w:rsidR="00571591" w:rsidRPr="00571591">
        <w:rPr>
          <w:rFonts w:eastAsiaTheme="minorHAnsi" w:cs="AdvTT5235d5a9"/>
          <w:kern w:val="0"/>
          <w:szCs w:val="20"/>
        </w:rPr>
        <w:t>uence in different groups,</w:t>
      </w:r>
      <w:r>
        <w:rPr>
          <w:rFonts w:eastAsiaTheme="minorHAnsi" w:cs="AdvTT5235d5a9"/>
          <w:kern w:val="0"/>
          <w:szCs w:val="20"/>
        </w:rPr>
        <w:t xml:space="preserve"> </w:t>
      </w:r>
      <w:r w:rsidR="00571591" w:rsidRPr="00571591">
        <w:rPr>
          <w:rFonts w:eastAsiaTheme="minorHAnsi" w:cs="AdvTT5235d5a9"/>
          <w:kern w:val="0"/>
          <w:szCs w:val="20"/>
        </w:rPr>
        <w:t xml:space="preserve">we </w:t>
      </w:r>
      <w:r w:rsidR="00571591" w:rsidRPr="00571591">
        <w:rPr>
          <w:rFonts w:eastAsiaTheme="minorHAnsi" w:cs="AdvTT5235d5a9+fb"/>
          <w:kern w:val="0"/>
          <w:szCs w:val="20"/>
        </w:rPr>
        <w:t>fi</w:t>
      </w:r>
      <w:r w:rsidR="00571591" w:rsidRPr="00571591">
        <w:rPr>
          <w:rFonts w:eastAsiaTheme="minorHAnsi" w:cs="AdvTT5235d5a9"/>
          <w:kern w:val="0"/>
          <w:szCs w:val="20"/>
        </w:rPr>
        <w:t>nd evidence for relative</w:t>
      </w:r>
      <w:r>
        <w:rPr>
          <w:rFonts w:eastAsiaTheme="minorHAnsi" w:cs="AdvTT5235d5a9"/>
          <w:kern w:val="0"/>
          <w:szCs w:val="20"/>
        </w:rPr>
        <w:t xml:space="preserve"> </w:t>
      </w:r>
      <w:r w:rsidR="00571591" w:rsidRPr="00571591">
        <w:rPr>
          <w:rFonts w:eastAsiaTheme="minorHAnsi" w:cs="AdvTT5235d5a9"/>
          <w:kern w:val="0"/>
          <w:szCs w:val="20"/>
        </w:rPr>
        <w:t>position in the group having a direct effect on in</w:t>
      </w:r>
      <w:r w:rsidR="00571591" w:rsidRPr="00571591">
        <w:rPr>
          <w:rFonts w:eastAsiaTheme="minorHAnsi" w:cs="AdvTT5235d5a9+fb"/>
          <w:kern w:val="0"/>
          <w:szCs w:val="20"/>
        </w:rPr>
        <w:t>fl</w:t>
      </w:r>
      <w:r w:rsidR="00571591" w:rsidRPr="00571591">
        <w:rPr>
          <w:rFonts w:eastAsiaTheme="minorHAnsi" w:cs="AdvTT5235d5a9"/>
          <w:kern w:val="0"/>
          <w:szCs w:val="20"/>
        </w:rPr>
        <w:t>uence. These results are consistent</w:t>
      </w:r>
      <w:r>
        <w:rPr>
          <w:rFonts w:eastAsiaTheme="minorHAnsi" w:cs="AdvTT5235d5a9"/>
          <w:kern w:val="0"/>
          <w:szCs w:val="20"/>
        </w:rPr>
        <w:t xml:space="preserve"> </w:t>
      </w:r>
      <w:r w:rsidR="00571591" w:rsidRPr="00571591">
        <w:rPr>
          <w:rFonts w:eastAsiaTheme="minorHAnsi" w:cs="AdvTT5235d5a9"/>
          <w:kern w:val="0"/>
          <w:szCs w:val="20"/>
        </w:rPr>
        <w:t>with predictions from</w:t>
      </w:r>
      <w:r>
        <w:rPr>
          <w:rFonts w:eastAsiaTheme="minorHAnsi" w:cs="AdvTT5235d5a9"/>
          <w:kern w:val="0"/>
          <w:szCs w:val="20"/>
        </w:rPr>
        <w:t xml:space="preserve"> </w:t>
      </w:r>
      <w:r w:rsidR="00571591" w:rsidRPr="00571591">
        <w:rPr>
          <w:rFonts w:eastAsiaTheme="minorHAnsi" w:cs="AdvTT5235d5a9"/>
          <w:kern w:val="0"/>
          <w:szCs w:val="20"/>
        </w:rPr>
        <w:t>spatial</w:t>
      </w:r>
      <w:r>
        <w:rPr>
          <w:rFonts w:eastAsiaTheme="minorHAnsi" w:cs="AdvTT5235d5a9"/>
          <w:kern w:val="0"/>
          <w:szCs w:val="20"/>
        </w:rPr>
        <w:t xml:space="preserve"> </w:t>
      </w:r>
      <w:r w:rsidR="00571591" w:rsidRPr="00571591">
        <w:rPr>
          <w:rFonts w:eastAsiaTheme="minorHAnsi" w:cs="AdvTT5235d5a9"/>
          <w:kern w:val="0"/>
          <w:szCs w:val="20"/>
        </w:rPr>
        <w:t xml:space="preserve">models of dynamic bargaining, for members with intermediate levels of patience. We also </w:t>
      </w:r>
      <w:r w:rsidR="00571591" w:rsidRPr="00571591">
        <w:rPr>
          <w:rFonts w:eastAsiaTheme="minorHAnsi" w:cs="AdvTT5235d5a9+fb"/>
          <w:kern w:val="0"/>
          <w:szCs w:val="20"/>
        </w:rPr>
        <w:t>fi</w:t>
      </w:r>
      <w:r w:rsidR="00571591" w:rsidRPr="00571591">
        <w:rPr>
          <w:rFonts w:eastAsiaTheme="minorHAnsi" w:cs="AdvTT5235d5a9"/>
          <w:kern w:val="0"/>
          <w:szCs w:val="20"/>
        </w:rPr>
        <w:t>nd that group</w:t>
      </w:r>
      <w:r>
        <w:rPr>
          <w:rFonts w:eastAsiaTheme="minorHAnsi" w:cs="AdvTT5235d5a9"/>
          <w:kern w:val="0"/>
          <w:szCs w:val="20"/>
        </w:rPr>
        <w:t xml:space="preserve"> </w:t>
      </w:r>
      <w:r w:rsidR="00571591" w:rsidRPr="00571591">
        <w:rPr>
          <w:rFonts w:eastAsiaTheme="minorHAnsi" w:cs="AdvTT5235d5a9"/>
          <w:kern w:val="0"/>
          <w:szCs w:val="20"/>
        </w:rPr>
        <w:t>deliberation involves bargaining and compromise as well as persuasion: preferences tend to shift towards the</w:t>
      </w:r>
      <w:r>
        <w:rPr>
          <w:rFonts w:eastAsiaTheme="minorHAnsi" w:cs="AdvTT5235d5a9"/>
          <w:kern w:val="0"/>
          <w:szCs w:val="20"/>
        </w:rPr>
        <w:t xml:space="preserve"> </w:t>
      </w:r>
      <w:r w:rsidR="00571591" w:rsidRPr="00571591">
        <w:rPr>
          <w:rFonts w:eastAsiaTheme="minorHAnsi" w:cs="AdvTT5235d5a9"/>
          <w:kern w:val="0"/>
          <w:szCs w:val="20"/>
        </w:rPr>
        <w:t>choice of the individual's previous group, especially for those with extreme individual preferences.</w:t>
      </w:r>
    </w:p>
    <w:p w14:paraId="063BEF5B" w14:textId="20793B90" w:rsidR="00571591" w:rsidRDefault="00ED7F47" w:rsidP="00571591">
      <w:pPr>
        <w:pStyle w:val="NoSpacing"/>
        <w:rPr>
          <w:rFonts w:eastAsiaTheme="minorHAnsi" w:cs="Times New Roman"/>
          <w:szCs w:val="20"/>
        </w:rPr>
      </w:pPr>
      <w:r>
        <w:rPr>
          <w:rFonts w:eastAsiaTheme="minorHAnsi" w:cs="Times New Roman"/>
          <w:b/>
          <w:szCs w:val="20"/>
        </w:rPr>
        <w:t>Note</w:t>
      </w:r>
      <w:r w:rsidR="00A53B52">
        <w:rPr>
          <w:rFonts w:eastAsiaTheme="minorHAnsi" w:cs="Times New Roman"/>
          <w:szCs w:val="20"/>
        </w:rPr>
        <w:t xml:space="preserve"> MPL (Multiple price list), median member</w:t>
      </w:r>
    </w:p>
    <w:p w14:paraId="576DCFAF" w14:textId="77777777" w:rsidR="00A53B52" w:rsidRPr="00571591" w:rsidRDefault="00A53B52" w:rsidP="00571591">
      <w:pPr>
        <w:pStyle w:val="NoSpacing"/>
        <w:rPr>
          <w:rFonts w:eastAsiaTheme="minorHAnsi" w:cs="Times New Roman"/>
          <w:szCs w:val="20"/>
        </w:rPr>
      </w:pPr>
    </w:p>
    <w:p w14:paraId="7C944309"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w:t>
      </w:r>
      <w:proofErr w:type="gramStart"/>
      <w:r w:rsidRPr="00571591">
        <w:rPr>
          <w:rFonts w:eastAsiaTheme="minorHAnsi" w:cs="Times New Roman"/>
          <w:color w:val="000000"/>
          <w:kern w:val="0"/>
          <w:szCs w:val="20"/>
        </w:rPr>
        <w:t>article{</w:t>
      </w:r>
      <w:proofErr w:type="gramEnd"/>
      <w:r w:rsidRPr="00571591">
        <w:rPr>
          <w:rFonts w:eastAsiaTheme="minorHAnsi" w:cs="Times New Roman"/>
          <w:color w:val="000000"/>
          <w:kern w:val="0"/>
          <w:szCs w:val="20"/>
        </w:rPr>
        <w:t>baillon2016group,</w:t>
      </w:r>
    </w:p>
    <w:p w14:paraId="5EDC9B91"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title</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Group decision rules and group rationality under risk},</w:t>
      </w:r>
    </w:p>
    <w:p w14:paraId="5048E7B6"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author</w:t>
      </w:r>
      <w:proofErr w:type="gramStart"/>
      <w:r w:rsidRPr="00571591">
        <w:rPr>
          <w:rFonts w:eastAsiaTheme="minorHAnsi" w:cs="Times New Roman"/>
          <w:color w:val="000000"/>
          <w:kern w:val="0"/>
          <w:szCs w:val="20"/>
        </w:rPr>
        <w:t>={</w:t>
      </w:r>
      <w:proofErr w:type="spellStart"/>
      <w:proofErr w:type="gramEnd"/>
      <w:r w:rsidRPr="00571591">
        <w:rPr>
          <w:rFonts w:eastAsiaTheme="minorHAnsi" w:cs="Times New Roman"/>
          <w:color w:val="000000"/>
          <w:kern w:val="0"/>
          <w:szCs w:val="20"/>
        </w:rPr>
        <w:t>Baillon</w:t>
      </w:r>
      <w:proofErr w:type="spellEnd"/>
      <w:r w:rsidRPr="00571591">
        <w:rPr>
          <w:rFonts w:eastAsiaTheme="minorHAnsi" w:cs="Times New Roman"/>
          <w:color w:val="000000"/>
          <w:kern w:val="0"/>
          <w:szCs w:val="20"/>
        </w:rPr>
        <w:t xml:space="preserve">, </w:t>
      </w:r>
      <w:proofErr w:type="spellStart"/>
      <w:r w:rsidRPr="00571591">
        <w:rPr>
          <w:rFonts w:eastAsiaTheme="minorHAnsi" w:cs="Times New Roman"/>
          <w:color w:val="000000"/>
          <w:kern w:val="0"/>
          <w:szCs w:val="20"/>
        </w:rPr>
        <w:t>Aur</w:t>
      </w:r>
      <w:proofErr w:type="spellEnd"/>
      <w:r w:rsidRPr="00571591">
        <w:rPr>
          <w:rFonts w:eastAsiaTheme="minorHAnsi" w:cs="Times New Roman"/>
          <w:color w:val="000000"/>
          <w:kern w:val="0"/>
          <w:szCs w:val="20"/>
        </w:rPr>
        <w:t xml:space="preserve">{\'e}lien and </w:t>
      </w:r>
      <w:proofErr w:type="spellStart"/>
      <w:r w:rsidRPr="00571591">
        <w:rPr>
          <w:rFonts w:eastAsiaTheme="minorHAnsi" w:cs="Times New Roman"/>
          <w:color w:val="000000"/>
          <w:kern w:val="0"/>
          <w:szCs w:val="20"/>
        </w:rPr>
        <w:t>Bleichrodt</w:t>
      </w:r>
      <w:proofErr w:type="spellEnd"/>
      <w:r w:rsidRPr="00571591">
        <w:rPr>
          <w:rFonts w:eastAsiaTheme="minorHAnsi" w:cs="Times New Roman"/>
          <w:color w:val="000000"/>
          <w:kern w:val="0"/>
          <w:szCs w:val="20"/>
        </w:rPr>
        <w:t xml:space="preserve">, Han and Liu, Ning and </w:t>
      </w:r>
      <w:proofErr w:type="spellStart"/>
      <w:r w:rsidRPr="00571591">
        <w:rPr>
          <w:rFonts w:eastAsiaTheme="minorHAnsi" w:cs="Times New Roman"/>
          <w:color w:val="000000"/>
          <w:kern w:val="0"/>
          <w:szCs w:val="20"/>
        </w:rPr>
        <w:t>Wakker</w:t>
      </w:r>
      <w:proofErr w:type="spellEnd"/>
      <w:r w:rsidRPr="00571591">
        <w:rPr>
          <w:rFonts w:eastAsiaTheme="minorHAnsi" w:cs="Times New Roman"/>
          <w:color w:val="000000"/>
          <w:kern w:val="0"/>
          <w:szCs w:val="20"/>
        </w:rPr>
        <w:t>, Peter P},</w:t>
      </w:r>
    </w:p>
    <w:p w14:paraId="17EE0963"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journal</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Journal of Risk and Uncertainty},</w:t>
      </w:r>
    </w:p>
    <w:p w14:paraId="21EACD65"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volume</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52},</w:t>
      </w:r>
    </w:p>
    <w:p w14:paraId="47D65888"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number</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2},</w:t>
      </w:r>
    </w:p>
    <w:p w14:paraId="050F4622"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pages</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99--116},</w:t>
      </w:r>
    </w:p>
    <w:p w14:paraId="360228F8"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year</w:t>
      </w:r>
      <w:proofErr w:type="gramStart"/>
      <w:r w:rsidRPr="00571591">
        <w:rPr>
          <w:rFonts w:eastAsiaTheme="minorHAnsi" w:cs="Times New Roman"/>
          <w:color w:val="000000"/>
          <w:kern w:val="0"/>
          <w:szCs w:val="20"/>
        </w:rPr>
        <w:t>={</w:t>
      </w:r>
      <w:proofErr w:type="gramEnd"/>
      <w:r w:rsidRPr="00571591">
        <w:rPr>
          <w:rFonts w:eastAsiaTheme="minorHAnsi" w:cs="Times New Roman"/>
          <w:color w:val="000000"/>
          <w:kern w:val="0"/>
          <w:szCs w:val="20"/>
        </w:rPr>
        <w:t>2016},</w:t>
      </w:r>
    </w:p>
    <w:p w14:paraId="0BEA88CA"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 xml:space="preserve">  publisher={Springer}</w:t>
      </w:r>
    </w:p>
    <w:p w14:paraId="3F8E66EE"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Times New Roman"/>
          <w:color w:val="000000"/>
          <w:kern w:val="0"/>
          <w:szCs w:val="20"/>
        </w:rPr>
      </w:pPr>
      <w:r w:rsidRPr="00571591">
        <w:rPr>
          <w:rFonts w:eastAsiaTheme="minorHAnsi" w:cs="Times New Roman"/>
          <w:color w:val="000000"/>
          <w:kern w:val="0"/>
          <w:szCs w:val="20"/>
        </w:rPr>
        <w:t>}</w:t>
      </w:r>
    </w:p>
    <w:p w14:paraId="099B5CCF" w14:textId="4BA60319" w:rsidR="00571591" w:rsidRPr="00571591" w:rsidRDefault="00571591" w:rsidP="008D218F">
      <w:pPr>
        <w:wordWrap/>
        <w:adjustRightInd w:val="0"/>
        <w:spacing w:after="0" w:line="240" w:lineRule="auto"/>
        <w:rPr>
          <w:rFonts w:eastAsiaTheme="minorHAnsi" w:cs="Times New Roman"/>
          <w:color w:val="131413"/>
          <w:kern w:val="0"/>
          <w:szCs w:val="20"/>
        </w:rPr>
      </w:pPr>
      <w:r w:rsidRPr="008D218F">
        <w:rPr>
          <w:rFonts w:eastAsiaTheme="minorHAnsi" w:cs="Times New Roman"/>
          <w:b/>
          <w:color w:val="131413"/>
          <w:kern w:val="0"/>
          <w:szCs w:val="20"/>
        </w:rPr>
        <w:t>Abstract</w:t>
      </w:r>
      <w:r w:rsidR="008D218F" w:rsidRPr="008D218F">
        <w:rPr>
          <w:rFonts w:eastAsiaTheme="minorHAnsi" w:cs="Times New Roman"/>
          <w:b/>
          <w:color w:val="131413"/>
          <w:kern w:val="0"/>
          <w:szCs w:val="20"/>
        </w:rPr>
        <w:t>:</w:t>
      </w:r>
      <w:r w:rsidRPr="00571591">
        <w:rPr>
          <w:rFonts w:eastAsiaTheme="minorHAnsi" w:cs="Times New Roman"/>
          <w:color w:val="131413"/>
          <w:kern w:val="0"/>
          <w:szCs w:val="20"/>
        </w:rPr>
        <w:t xml:space="preserve"> This paper investigates the rationality of group decisions versus individual</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decisions under risk. We study two group decision rules, majority and unanimity, in</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stochastic dominance and Allais paradox tasks. We distinguish communication effects</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(the effects of group discussions and interactions) from aggregation effects (mere</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impact of the voting procedure), which makes it possible to better understand the</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complex dynamics of group decision making. In an experiment, both effects occurred</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for intellective tasks whereas there were only aggregation effects in judgmental tasks.</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Communication effects always led to more rational choices; aggregation effects did so</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sometimes but not always. Groups violated stochastic dominance less often than</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individuals did, which was due to both aggregation and communication effects. In</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the Allais paradox tasks, there were almost no communication effects, and aggregation</w:t>
      </w:r>
      <w:r w:rsidR="008D218F">
        <w:rPr>
          <w:rFonts w:eastAsiaTheme="minorHAnsi" w:cs="Times New Roman"/>
          <w:color w:val="131413"/>
          <w:kern w:val="0"/>
          <w:szCs w:val="20"/>
        </w:rPr>
        <w:t xml:space="preserve"> </w:t>
      </w:r>
      <w:r w:rsidRPr="00571591">
        <w:rPr>
          <w:rFonts w:eastAsiaTheme="minorHAnsi" w:cs="Times New Roman"/>
          <w:color w:val="131413"/>
          <w:kern w:val="0"/>
          <w:szCs w:val="20"/>
        </w:rPr>
        <w:t>effects made groups deviate more from expected utility than individuals.</w:t>
      </w:r>
    </w:p>
    <w:p w14:paraId="28442BB8" w14:textId="6A267B67" w:rsidR="00571591" w:rsidRPr="00ED7F47" w:rsidRDefault="00ED7F47" w:rsidP="00571591">
      <w:pPr>
        <w:pStyle w:val="NoSpacing"/>
        <w:rPr>
          <w:rFonts w:eastAsiaTheme="minorHAnsi" w:cs="Times New Roman"/>
          <w:color w:val="131413"/>
          <w:kern w:val="0"/>
          <w:szCs w:val="20"/>
        </w:rPr>
      </w:pPr>
      <w:r w:rsidRPr="00ED7F47">
        <w:rPr>
          <w:rFonts w:eastAsiaTheme="minorHAnsi" w:cs="Times New Roman" w:hint="eastAsia"/>
          <w:b/>
          <w:color w:val="131413"/>
          <w:kern w:val="0"/>
          <w:szCs w:val="20"/>
        </w:rPr>
        <w:t>N</w:t>
      </w:r>
      <w:r w:rsidRPr="00ED7F47">
        <w:rPr>
          <w:rFonts w:eastAsiaTheme="minorHAnsi" w:cs="Times New Roman"/>
          <w:b/>
          <w:color w:val="131413"/>
          <w:kern w:val="0"/>
          <w:szCs w:val="20"/>
        </w:rPr>
        <w:t>ote</w:t>
      </w:r>
      <w:r>
        <w:rPr>
          <w:rFonts w:eastAsiaTheme="minorHAnsi" w:cs="Times New Roman"/>
          <w:b/>
          <w:color w:val="131413"/>
          <w:kern w:val="0"/>
          <w:szCs w:val="20"/>
        </w:rPr>
        <w:t xml:space="preserve"> </w:t>
      </w:r>
      <w:r>
        <w:rPr>
          <w:rFonts w:eastAsiaTheme="minorHAnsi" w:cs="Times New Roman"/>
          <w:color w:val="131413"/>
          <w:kern w:val="0"/>
          <w:szCs w:val="20"/>
        </w:rPr>
        <w:t>aggregation</w:t>
      </w:r>
      <w:r w:rsidR="0018270D">
        <w:rPr>
          <w:rFonts w:eastAsiaTheme="minorHAnsi" w:cs="Times New Roman"/>
          <w:color w:val="131413"/>
          <w:kern w:val="0"/>
          <w:szCs w:val="20"/>
        </w:rPr>
        <w:t xml:space="preserve"> – what would a group choose without interaction (expected decision based on individual decision); communication – what did a group choose</w:t>
      </w:r>
    </w:p>
    <w:p w14:paraId="4FA03411" w14:textId="77777777" w:rsidR="00ED7F47" w:rsidRPr="00571591" w:rsidRDefault="00ED7F47" w:rsidP="00571591">
      <w:pPr>
        <w:pStyle w:val="NoSpacing"/>
        <w:rPr>
          <w:rFonts w:eastAsiaTheme="minorHAnsi" w:cs="Times New Roman"/>
          <w:color w:val="131413"/>
          <w:kern w:val="0"/>
          <w:szCs w:val="20"/>
        </w:rPr>
      </w:pPr>
    </w:p>
    <w:p w14:paraId="5A4E065D"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w:t>
      </w:r>
      <w:proofErr w:type="gramStart"/>
      <w:r w:rsidRPr="00571591">
        <w:rPr>
          <w:rFonts w:asciiTheme="minorHAnsi" w:eastAsiaTheme="minorHAnsi" w:hAnsiTheme="minorHAnsi" w:cs="Times New Roman"/>
          <w:color w:val="000000"/>
          <w:sz w:val="20"/>
          <w:szCs w:val="20"/>
        </w:rPr>
        <w:t>article{</w:t>
      </w:r>
      <w:proofErr w:type="gramEnd"/>
      <w:r w:rsidRPr="00571591">
        <w:rPr>
          <w:rFonts w:asciiTheme="minorHAnsi" w:eastAsiaTheme="minorHAnsi" w:hAnsiTheme="minorHAnsi" w:cs="Times New Roman"/>
          <w:color w:val="000000"/>
          <w:sz w:val="20"/>
          <w:szCs w:val="20"/>
        </w:rPr>
        <w:t>bateman2005experiment,</w:t>
      </w:r>
    </w:p>
    <w:p w14:paraId="7E56F36D"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title</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An experiment on risky choice amongst households},</w:t>
      </w:r>
    </w:p>
    <w:p w14:paraId="68C58E09"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author</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Bateman, Ian and Munro, Alistair},</w:t>
      </w:r>
    </w:p>
    <w:p w14:paraId="7DE6EFC5"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journal</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The Economic Journal},</w:t>
      </w:r>
    </w:p>
    <w:p w14:paraId="1F89461D"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volume</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115},</w:t>
      </w:r>
    </w:p>
    <w:p w14:paraId="70538F96"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number</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502},</w:t>
      </w:r>
    </w:p>
    <w:p w14:paraId="50B87184"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pages={C176--C189},</w:t>
      </w:r>
    </w:p>
    <w:p w14:paraId="4EE7B0E4"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year</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2005},</w:t>
      </w:r>
    </w:p>
    <w:p w14:paraId="2979EFCC"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 xml:space="preserve">  publisher</w:t>
      </w:r>
      <w:proofErr w:type="gramStart"/>
      <w:r w:rsidRPr="00571591">
        <w:rPr>
          <w:rFonts w:asciiTheme="minorHAnsi" w:eastAsiaTheme="minorHAnsi" w:hAnsiTheme="minorHAnsi" w:cs="Times New Roman"/>
          <w:color w:val="000000"/>
          <w:sz w:val="20"/>
          <w:szCs w:val="20"/>
        </w:rPr>
        <w:t>={</w:t>
      </w:r>
      <w:proofErr w:type="gramEnd"/>
      <w:r w:rsidRPr="00571591">
        <w:rPr>
          <w:rFonts w:asciiTheme="minorHAnsi" w:eastAsiaTheme="minorHAnsi" w:hAnsiTheme="minorHAnsi" w:cs="Times New Roman"/>
          <w:color w:val="000000"/>
          <w:sz w:val="20"/>
          <w:szCs w:val="20"/>
        </w:rPr>
        <w:t>Wiley Online Library}</w:t>
      </w:r>
    </w:p>
    <w:p w14:paraId="45F13E33" w14:textId="77777777" w:rsidR="00571591" w:rsidRPr="00571591" w:rsidRDefault="00571591" w:rsidP="00571591">
      <w:pPr>
        <w:pStyle w:val="HTMLPreformatted"/>
        <w:jc w:val="both"/>
        <w:rPr>
          <w:rFonts w:asciiTheme="minorHAnsi" w:eastAsiaTheme="minorHAnsi" w:hAnsiTheme="minorHAnsi" w:cs="Times New Roman"/>
          <w:color w:val="000000"/>
          <w:sz w:val="20"/>
          <w:szCs w:val="20"/>
        </w:rPr>
      </w:pPr>
      <w:r w:rsidRPr="00571591">
        <w:rPr>
          <w:rFonts w:asciiTheme="minorHAnsi" w:eastAsiaTheme="minorHAnsi" w:hAnsiTheme="minorHAnsi" w:cs="Times New Roman"/>
          <w:color w:val="000000"/>
          <w:sz w:val="20"/>
          <w:szCs w:val="20"/>
        </w:rPr>
        <w:t>}</w:t>
      </w:r>
    </w:p>
    <w:p w14:paraId="53BD4924" w14:textId="248C7249" w:rsidR="00571591" w:rsidRPr="00571591" w:rsidRDefault="008D218F" w:rsidP="008D218F">
      <w:pPr>
        <w:wordWrap/>
        <w:adjustRightInd w:val="0"/>
        <w:spacing w:after="0" w:line="240" w:lineRule="auto"/>
        <w:rPr>
          <w:rFonts w:eastAsiaTheme="minorHAnsi" w:cs="Times New Roman"/>
          <w:kern w:val="0"/>
          <w:szCs w:val="20"/>
        </w:rPr>
      </w:pPr>
      <w:r w:rsidRPr="008D218F">
        <w:rPr>
          <w:rFonts w:eastAsiaTheme="minorHAnsi" w:cs="Times New Roman"/>
          <w:b/>
          <w:kern w:val="0"/>
          <w:szCs w:val="20"/>
        </w:rPr>
        <w:t xml:space="preserve">Abstract: </w:t>
      </w:r>
      <w:r w:rsidR="00571591" w:rsidRPr="00571591">
        <w:rPr>
          <w:rFonts w:eastAsiaTheme="minorHAnsi" w:cs="Times New Roman"/>
          <w:kern w:val="0"/>
          <w:szCs w:val="20"/>
        </w:rPr>
        <w:t>A host of experiments have examined theories of risky choice using individuals. However, many</w:t>
      </w:r>
      <w:r>
        <w:rPr>
          <w:rFonts w:eastAsiaTheme="minorHAnsi" w:cs="Times New Roman"/>
          <w:kern w:val="0"/>
          <w:szCs w:val="20"/>
        </w:rPr>
        <w:t xml:space="preserve"> </w:t>
      </w:r>
      <w:r w:rsidR="00571591" w:rsidRPr="00571591">
        <w:rPr>
          <w:rFonts w:eastAsiaTheme="minorHAnsi" w:cs="Times New Roman"/>
          <w:kern w:val="0"/>
          <w:szCs w:val="20"/>
        </w:rPr>
        <w:t>important economic decisions are taken within multi-adult households. This paper reports on</w:t>
      </w:r>
      <w:r>
        <w:rPr>
          <w:rFonts w:eastAsiaTheme="minorHAnsi" w:cs="Times New Roman"/>
          <w:kern w:val="0"/>
          <w:szCs w:val="20"/>
        </w:rPr>
        <w:t xml:space="preserve"> </w:t>
      </w:r>
      <w:r w:rsidR="00571591" w:rsidRPr="00571591">
        <w:rPr>
          <w:rFonts w:eastAsiaTheme="minorHAnsi" w:cs="Times New Roman"/>
          <w:kern w:val="0"/>
          <w:szCs w:val="20"/>
        </w:rPr>
        <w:t>the first economic experiment designed to test theories of household choice. We use established</w:t>
      </w:r>
      <w:r>
        <w:rPr>
          <w:rFonts w:eastAsiaTheme="minorHAnsi" w:cs="Times New Roman" w:hint="eastAsia"/>
          <w:kern w:val="0"/>
          <w:szCs w:val="20"/>
        </w:rPr>
        <w:t xml:space="preserve"> </w:t>
      </w:r>
      <w:r w:rsidR="00571591" w:rsidRPr="00571591">
        <w:rPr>
          <w:rFonts w:eastAsiaTheme="minorHAnsi" w:cs="Times New Roman"/>
          <w:kern w:val="0"/>
          <w:szCs w:val="20"/>
        </w:rPr>
        <w:t>couples and face them individually and jointly with decisions involving monetary payoffs.</w:t>
      </w:r>
      <w:r>
        <w:rPr>
          <w:rFonts w:eastAsiaTheme="minorHAnsi" w:cs="Times New Roman" w:hint="eastAsia"/>
          <w:kern w:val="0"/>
          <w:szCs w:val="20"/>
        </w:rPr>
        <w:t xml:space="preserve"> </w:t>
      </w:r>
      <w:r w:rsidR="00571591" w:rsidRPr="00571591">
        <w:rPr>
          <w:rFonts w:eastAsiaTheme="minorHAnsi" w:cs="Times New Roman"/>
          <w:kern w:val="0"/>
          <w:szCs w:val="20"/>
        </w:rPr>
        <w:t>We find that joint choices typically are more risk averse than those made by individuals.</w:t>
      </w:r>
      <w:r>
        <w:rPr>
          <w:rFonts w:eastAsiaTheme="minorHAnsi" w:cs="Times New Roman"/>
          <w:kern w:val="0"/>
          <w:szCs w:val="20"/>
        </w:rPr>
        <w:t xml:space="preserve"> </w:t>
      </w:r>
      <w:r w:rsidR="00571591" w:rsidRPr="00571591">
        <w:rPr>
          <w:rFonts w:eastAsiaTheme="minorHAnsi" w:cs="Times New Roman"/>
          <w:kern w:val="0"/>
          <w:szCs w:val="20"/>
        </w:rPr>
        <w:t>Meanwhile, choices made by couples exhibit the same kinds of departures from expected utility</w:t>
      </w:r>
      <w:r>
        <w:rPr>
          <w:rFonts w:eastAsiaTheme="minorHAnsi" w:cs="Times New Roman"/>
          <w:kern w:val="0"/>
          <w:szCs w:val="20"/>
        </w:rPr>
        <w:t xml:space="preserve"> </w:t>
      </w:r>
      <w:r w:rsidR="00571591" w:rsidRPr="00571591">
        <w:rPr>
          <w:rFonts w:eastAsiaTheme="minorHAnsi" w:cs="Times New Roman"/>
          <w:kern w:val="0"/>
          <w:szCs w:val="20"/>
        </w:rPr>
        <w:t>theory (e.g. the common ratio and common consequence effects) as are regularly recorded</w:t>
      </w:r>
      <w:r>
        <w:rPr>
          <w:rFonts w:eastAsiaTheme="minorHAnsi" w:cs="Times New Roman"/>
          <w:kern w:val="0"/>
          <w:szCs w:val="20"/>
        </w:rPr>
        <w:t xml:space="preserve"> </w:t>
      </w:r>
      <w:r w:rsidR="00571591" w:rsidRPr="00571591">
        <w:rPr>
          <w:rFonts w:eastAsiaTheme="minorHAnsi" w:cs="Times New Roman"/>
          <w:kern w:val="0"/>
          <w:szCs w:val="20"/>
        </w:rPr>
        <w:t>with individuals.</w:t>
      </w:r>
    </w:p>
    <w:p w14:paraId="7EA460E5" w14:textId="6128EF1E" w:rsidR="00571591" w:rsidRDefault="00CD51D9" w:rsidP="00571591">
      <w:pPr>
        <w:pStyle w:val="NoSpacing"/>
        <w:rPr>
          <w:rFonts w:eastAsiaTheme="minorHAnsi" w:cs="Times New Roman"/>
          <w:szCs w:val="20"/>
        </w:rPr>
      </w:pPr>
      <w:r>
        <w:rPr>
          <w:rFonts w:eastAsiaTheme="minorHAnsi" w:cs="Times New Roman" w:hint="eastAsia"/>
          <w:b/>
          <w:szCs w:val="20"/>
        </w:rPr>
        <w:t>N</w:t>
      </w:r>
      <w:r>
        <w:rPr>
          <w:rFonts w:eastAsiaTheme="minorHAnsi" w:cs="Times New Roman"/>
          <w:b/>
          <w:szCs w:val="20"/>
        </w:rPr>
        <w:t xml:space="preserve">ote </w:t>
      </w:r>
      <w:r>
        <w:rPr>
          <w:rFonts w:eastAsiaTheme="minorHAnsi" w:cs="Times New Roman"/>
          <w:szCs w:val="20"/>
        </w:rPr>
        <w:t>MPL, RDU</w:t>
      </w:r>
    </w:p>
    <w:p w14:paraId="405B9CB6" w14:textId="77777777" w:rsidR="00CD51D9" w:rsidRPr="00CD51D9" w:rsidRDefault="00CD51D9" w:rsidP="00571591">
      <w:pPr>
        <w:pStyle w:val="NoSpacing"/>
        <w:rPr>
          <w:rFonts w:eastAsiaTheme="minorHAnsi" w:cs="Times New Roman"/>
          <w:szCs w:val="20"/>
        </w:rPr>
      </w:pPr>
    </w:p>
    <w:p w14:paraId="6C4DB60F"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w:t>
      </w:r>
      <w:proofErr w:type="gramStart"/>
      <w:r w:rsidRPr="00571591">
        <w:rPr>
          <w:rFonts w:eastAsiaTheme="minorHAnsi" w:cs="GulimChe"/>
          <w:color w:val="000000"/>
          <w:kern w:val="0"/>
          <w:szCs w:val="20"/>
        </w:rPr>
        <w:t>article{</w:t>
      </w:r>
      <w:proofErr w:type="gramEnd"/>
      <w:r w:rsidRPr="00571591">
        <w:rPr>
          <w:rFonts w:eastAsiaTheme="minorHAnsi" w:cs="GulimChe"/>
          <w:color w:val="000000"/>
          <w:kern w:val="0"/>
          <w:szCs w:val="20"/>
        </w:rPr>
        <w:t>de2011individual,</w:t>
      </w:r>
    </w:p>
    <w:p w14:paraId="7C4E49A4"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title</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Individual and couple decision behavior under risk: evidence on the dynamics of power balance},</w:t>
      </w:r>
    </w:p>
    <w:p w14:paraId="626C23DE"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author</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 xml:space="preserve">De Palma, Andre and Picard, Nathalie and </w:t>
      </w:r>
      <w:proofErr w:type="spellStart"/>
      <w:r w:rsidRPr="00571591">
        <w:rPr>
          <w:rFonts w:eastAsiaTheme="minorHAnsi" w:cs="GulimChe"/>
          <w:color w:val="000000"/>
          <w:kern w:val="0"/>
          <w:szCs w:val="20"/>
        </w:rPr>
        <w:t>Ziegelmeyer</w:t>
      </w:r>
      <w:proofErr w:type="spellEnd"/>
      <w:r w:rsidRPr="00571591">
        <w:rPr>
          <w:rFonts w:eastAsiaTheme="minorHAnsi" w:cs="GulimChe"/>
          <w:color w:val="000000"/>
          <w:kern w:val="0"/>
          <w:szCs w:val="20"/>
        </w:rPr>
        <w:t>, Anthony},</w:t>
      </w:r>
    </w:p>
    <w:p w14:paraId="69A8EF43"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journal</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Theory and decision},</w:t>
      </w:r>
    </w:p>
    <w:p w14:paraId="10EFC199"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volume</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70},</w:t>
      </w:r>
    </w:p>
    <w:p w14:paraId="58E2BF68"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number</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1},</w:t>
      </w:r>
    </w:p>
    <w:p w14:paraId="0DD5D4CC"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pages</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45--64},</w:t>
      </w:r>
    </w:p>
    <w:p w14:paraId="5F514BAE"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year</w:t>
      </w:r>
      <w:proofErr w:type="gramStart"/>
      <w:r w:rsidRPr="00571591">
        <w:rPr>
          <w:rFonts w:eastAsiaTheme="minorHAnsi" w:cs="GulimChe"/>
          <w:color w:val="000000"/>
          <w:kern w:val="0"/>
          <w:szCs w:val="20"/>
        </w:rPr>
        <w:t>={</w:t>
      </w:r>
      <w:proofErr w:type="gramEnd"/>
      <w:r w:rsidRPr="00571591">
        <w:rPr>
          <w:rFonts w:eastAsiaTheme="minorHAnsi" w:cs="GulimChe"/>
          <w:color w:val="000000"/>
          <w:kern w:val="0"/>
          <w:szCs w:val="20"/>
        </w:rPr>
        <w:t>2011},</w:t>
      </w:r>
    </w:p>
    <w:p w14:paraId="4CD14D8B"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 xml:space="preserve">  publisher={Springer}</w:t>
      </w:r>
    </w:p>
    <w:p w14:paraId="1498A697" w14:textId="77777777" w:rsidR="00571591" w:rsidRPr="00571591" w:rsidRDefault="00571591" w:rsidP="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rPr>
          <w:rFonts w:eastAsiaTheme="minorHAnsi" w:cs="GulimChe"/>
          <w:color w:val="000000"/>
          <w:kern w:val="0"/>
          <w:szCs w:val="20"/>
        </w:rPr>
      </w:pPr>
      <w:r w:rsidRPr="00571591">
        <w:rPr>
          <w:rFonts w:eastAsiaTheme="minorHAnsi" w:cs="GulimChe"/>
          <w:color w:val="000000"/>
          <w:kern w:val="0"/>
          <w:szCs w:val="20"/>
        </w:rPr>
        <w:t>}</w:t>
      </w:r>
    </w:p>
    <w:p w14:paraId="6956377A" w14:textId="3F3BA135" w:rsidR="00571591" w:rsidRPr="00571591" w:rsidRDefault="00571591" w:rsidP="00571591">
      <w:pPr>
        <w:pStyle w:val="NoSpacing"/>
        <w:rPr>
          <w:rFonts w:eastAsiaTheme="minorHAnsi" w:cs="Times New Roman"/>
          <w:b/>
          <w:szCs w:val="20"/>
        </w:rPr>
      </w:pPr>
    </w:p>
    <w:p w14:paraId="6DA44A7D" w14:textId="3F4A4C5B" w:rsidR="00571591" w:rsidRPr="006E7A0F" w:rsidRDefault="00104308" w:rsidP="00571591">
      <w:pPr>
        <w:pStyle w:val="NoSpacing"/>
        <w:rPr>
          <w:rFonts w:eastAsiaTheme="minorHAnsi"/>
          <w:spacing w:val="2"/>
          <w:szCs w:val="20"/>
          <w:shd w:val="clear" w:color="auto" w:fill="FCFCFC"/>
        </w:rPr>
      </w:pPr>
      <w:r w:rsidRPr="00104308">
        <w:rPr>
          <w:rFonts w:eastAsiaTheme="minorHAnsi"/>
          <w:b/>
          <w:color w:val="333333"/>
          <w:spacing w:val="2"/>
          <w:szCs w:val="20"/>
          <w:shd w:val="clear" w:color="auto" w:fill="FCFCFC"/>
        </w:rPr>
        <w:t xml:space="preserve">Abstract: </w:t>
      </w:r>
      <w:r w:rsidR="00571591" w:rsidRPr="006E7A0F">
        <w:rPr>
          <w:rFonts w:eastAsiaTheme="minorHAnsi"/>
          <w:spacing w:val="2"/>
          <w:szCs w:val="20"/>
          <w:shd w:val="clear" w:color="auto" w:fill="FCFCFC"/>
        </w:rPr>
        <w:t xml:space="preserve">This article reports results of an experiment designed to analyze the link between risky decisions made by couples and risky decisions made separately by each spouse. We estimate both the spouses and the </w:t>
      </w:r>
      <w:proofErr w:type="gramStart"/>
      <w:r w:rsidR="00571591" w:rsidRPr="006E7A0F">
        <w:rPr>
          <w:rFonts w:eastAsiaTheme="minorHAnsi"/>
          <w:spacing w:val="2"/>
          <w:szCs w:val="20"/>
          <w:shd w:val="clear" w:color="auto" w:fill="FCFCFC"/>
        </w:rPr>
        <w:t>couples’</w:t>
      </w:r>
      <w:proofErr w:type="gramEnd"/>
      <w:r w:rsidR="00571591" w:rsidRPr="006E7A0F">
        <w:rPr>
          <w:rFonts w:eastAsiaTheme="minorHAnsi"/>
          <w:spacing w:val="2"/>
          <w:szCs w:val="20"/>
          <w:shd w:val="clear" w:color="auto" w:fill="FCFCFC"/>
        </w:rPr>
        <w:t xml:space="preserve"> degrees of risk aversion, we assess how the risk preferences of the two spouses aggregate when they make risky decisions, and we shed light on the dynamics of the decision process that takes place when couples make risky decisions. We find that, far from being fixed, the balance of power within the household is malleable. In most couples, men have, initially, more decision-making power than women but women who ultimately implement the joint decisions gain more and more power over the course of decision making.</w:t>
      </w:r>
    </w:p>
    <w:p w14:paraId="794E955B" w14:textId="77777777" w:rsidR="00571591" w:rsidRPr="00571591" w:rsidRDefault="00571591" w:rsidP="00571591">
      <w:pPr>
        <w:pStyle w:val="NoSpacing"/>
        <w:rPr>
          <w:rFonts w:eastAsiaTheme="minorHAnsi" w:cs="Times New Roman"/>
          <w:b/>
          <w:szCs w:val="20"/>
        </w:rPr>
      </w:pPr>
    </w:p>
    <w:p w14:paraId="40B60425" w14:textId="03262496" w:rsidR="00571591" w:rsidRPr="00571591" w:rsidRDefault="00571591" w:rsidP="00571591">
      <w:pPr>
        <w:pStyle w:val="NoSpacing"/>
        <w:rPr>
          <w:rFonts w:eastAsiaTheme="minorHAnsi" w:cs="Times New Roman"/>
          <w:b/>
          <w:szCs w:val="20"/>
        </w:rPr>
      </w:pPr>
      <w:r w:rsidRPr="00571591">
        <w:rPr>
          <w:rFonts w:eastAsiaTheme="minorHAnsi" w:cs="Times New Roman"/>
          <w:b/>
          <w:szCs w:val="20"/>
        </w:rPr>
        <w:t xml:space="preserve">Cary Deck, </w:t>
      </w:r>
      <w:proofErr w:type="spellStart"/>
      <w:r w:rsidRPr="00571591">
        <w:rPr>
          <w:rFonts w:eastAsiaTheme="minorHAnsi" w:cs="Times New Roman"/>
          <w:b/>
          <w:szCs w:val="20"/>
        </w:rPr>
        <w:t>Jungmin</w:t>
      </w:r>
      <w:proofErr w:type="spellEnd"/>
      <w:r w:rsidRPr="00571591">
        <w:rPr>
          <w:rFonts w:eastAsiaTheme="minorHAnsi" w:cs="Times New Roman"/>
          <w:b/>
          <w:szCs w:val="20"/>
        </w:rPr>
        <w:t xml:space="preserve"> Lee, Javier Reyes and Chris Rosen, 2012, Southern Economic Journal</w:t>
      </w:r>
    </w:p>
    <w:p w14:paraId="21C9E7BE" w14:textId="77777777" w:rsidR="00571591" w:rsidRPr="00571591" w:rsidRDefault="00571591" w:rsidP="00571591">
      <w:pPr>
        <w:pStyle w:val="NoSpacing"/>
        <w:rPr>
          <w:rFonts w:eastAsiaTheme="minorHAnsi" w:cs="Times New Roman"/>
          <w:b/>
          <w:szCs w:val="20"/>
        </w:rPr>
      </w:pPr>
    </w:p>
    <w:p w14:paraId="59CC37DE" w14:textId="77777777" w:rsidR="00571591" w:rsidRPr="00571591" w:rsidRDefault="00571591" w:rsidP="00571591">
      <w:pPr>
        <w:pStyle w:val="NoSpacing"/>
        <w:rPr>
          <w:rFonts w:eastAsiaTheme="minorHAnsi" w:cs="Times New Roman"/>
          <w:i/>
          <w:szCs w:val="20"/>
        </w:rPr>
      </w:pPr>
      <w:r w:rsidRPr="00571591">
        <w:rPr>
          <w:rFonts w:eastAsiaTheme="minorHAnsi" w:cs="Times New Roman"/>
          <w:i/>
          <w:szCs w:val="20"/>
        </w:rPr>
        <w:t xml:space="preserve">Abstract: The decision to undertake risk is often made by pairs (dyads), while much of the economics literature on risk taking focuses on the individual. We report the results of controlled laboratory experiments that compare behavior between individuals and pairs. Using the Holt and </w:t>
      </w:r>
      <w:proofErr w:type="spellStart"/>
      <w:r w:rsidRPr="00571591">
        <w:rPr>
          <w:rFonts w:eastAsiaTheme="minorHAnsi" w:cs="Times New Roman"/>
          <w:i/>
          <w:szCs w:val="20"/>
        </w:rPr>
        <w:t>Laury</w:t>
      </w:r>
      <w:proofErr w:type="spellEnd"/>
      <w:r w:rsidRPr="00571591">
        <w:rPr>
          <w:rFonts w:eastAsiaTheme="minorHAnsi" w:cs="Times New Roman"/>
          <w:i/>
          <w:szCs w:val="20"/>
        </w:rPr>
        <w:t xml:space="preserve"> (2002) procedure and a within-subjects design, we find that pair choices are largely consistent with subjects bargaining over the outcome rather than the pairs taking a more extreme stance than the individual members. Further, gender and age but not personality seems to influence relative bargaining weight. We also find that individuals are more willing to take risks after making decisions as part of a pair than beforehand. Both the personality of one's partner and </w:t>
      </w:r>
      <w:proofErr w:type="spellStart"/>
      <w:r w:rsidRPr="00571591">
        <w:rPr>
          <w:rFonts w:eastAsiaTheme="minorHAnsi" w:cs="Times New Roman"/>
          <w:i/>
          <w:szCs w:val="20"/>
        </w:rPr>
        <w:t>nontask</w:t>
      </w:r>
      <w:proofErr w:type="spellEnd"/>
      <w:r w:rsidRPr="00571591">
        <w:rPr>
          <w:rFonts w:eastAsiaTheme="minorHAnsi" w:cs="Times New Roman"/>
          <w:i/>
          <w:szCs w:val="20"/>
        </w:rPr>
        <w:t xml:space="preserve"> social interaction influence subsequent individual risk-taking</w:t>
      </w:r>
    </w:p>
    <w:p w14:paraId="0A88234F" w14:textId="77777777" w:rsidR="00571591" w:rsidRPr="00571591" w:rsidRDefault="00571591" w:rsidP="00571591">
      <w:pPr>
        <w:pStyle w:val="NoSpacing"/>
        <w:rPr>
          <w:rFonts w:eastAsiaTheme="minorHAnsi" w:cs="Times New Roman"/>
          <w:szCs w:val="20"/>
        </w:rPr>
      </w:pPr>
    </w:p>
    <w:p w14:paraId="23BF3124"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 xml:space="preserve">1. Holt and </w:t>
      </w:r>
      <w:proofErr w:type="spellStart"/>
      <w:r w:rsidRPr="00571591">
        <w:rPr>
          <w:rFonts w:eastAsiaTheme="minorHAnsi" w:cs="Times New Roman"/>
          <w:szCs w:val="20"/>
        </w:rPr>
        <w:t>Laury</w:t>
      </w:r>
      <w:proofErr w:type="spellEnd"/>
      <w:r w:rsidRPr="00571591">
        <w:rPr>
          <w:rFonts w:eastAsiaTheme="minorHAnsi" w:cs="Times New Roman"/>
          <w:szCs w:val="20"/>
        </w:rPr>
        <w:t xml:space="preserve"> (2002) design – MPL of two lotteries</w:t>
      </w:r>
      <w:r w:rsidRPr="00571591">
        <w:rPr>
          <w:rFonts w:eastAsiaTheme="minorHAnsi" w:cs="Times New Roman" w:hint="eastAsia"/>
          <w:szCs w:val="20"/>
        </w:rPr>
        <w:t xml:space="preserve">, Inter-subject treatment difference (one participated both </w:t>
      </w:r>
      <w:r w:rsidRPr="00571591">
        <w:rPr>
          <w:rFonts w:eastAsiaTheme="minorHAnsi" w:cs="Times New Roman"/>
          <w:szCs w:val="20"/>
        </w:rPr>
        <w:t>individual</w:t>
      </w:r>
      <w:r w:rsidRPr="00571591">
        <w:rPr>
          <w:rFonts w:eastAsiaTheme="minorHAnsi" w:cs="Times New Roman" w:hint="eastAsia"/>
          <w:szCs w:val="20"/>
        </w:rPr>
        <w:t xml:space="preserve"> and group game)</w:t>
      </w:r>
    </w:p>
    <w:p w14:paraId="78CD08B1"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2. Students in the University of Arkansas, 204 individuals (102 pairs)</w:t>
      </w:r>
    </w:p>
    <w:p w14:paraId="6CD36D9A"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 xml:space="preserve">3. </w:t>
      </w:r>
    </w:p>
    <w:p w14:paraId="06209E2A"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1) Bargaining does exist</w:t>
      </w:r>
    </w:p>
    <w:p w14:paraId="2C60766B"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2) Individual characteristics explain bargaining power</w:t>
      </w:r>
    </w:p>
    <w:p w14:paraId="0BABB374"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3) Group decision (especially partner’s characteristics) affects individual characteristics when individual game was done after the pair game</w:t>
      </w:r>
    </w:p>
    <w:p w14:paraId="55100EAE"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4. # of safer choice in each game: x</w:t>
      </w:r>
    </w:p>
    <w:p w14:paraId="6410031F" w14:textId="77777777" w:rsidR="00571591" w:rsidRPr="00571591" w:rsidRDefault="00571591" w:rsidP="00571591">
      <w:pPr>
        <w:pStyle w:val="NoSpacing"/>
        <w:rPr>
          <w:rFonts w:eastAsiaTheme="minorHAnsi" w:cs="Times New Roman"/>
          <w:szCs w:val="20"/>
        </w:rPr>
      </w:pPr>
      <w:r w:rsidRPr="00571591">
        <w:rPr>
          <w:rFonts w:eastAsiaTheme="minorHAnsi" w:cs="Times New Roman"/>
          <w:szCs w:val="20"/>
        </w:rPr>
        <w:t xml:space="preserve">  Bargaining power</w:t>
      </w:r>
      <w:r w:rsidRPr="00571591">
        <w:rPr>
          <w:rFonts w:eastAsiaTheme="minorHAnsi" w:cs="Times New Roman" w:hint="eastAsia"/>
          <w:szCs w:val="20"/>
        </w:rPr>
        <w:t xml:space="preserve"> = </w:t>
      </w:r>
      <m:oMath>
        <m:f>
          <m:fPr>
            <m:ctrlPr>
              <w:rPr>
                <w:rFonts w:ascii="Cambria Math" w:eastAsiaTheme="minorHAnsi" w:hAnsi="Cambria Math" w:cs="Times New Roman"/>
                <w:szCs w:val="20"/>
              </w:rPr>
            </m:ctrlPr>
          </m:fPr>
          <m:num>
            <m:r>
              <m:rPr>
                <m:sty m:val="p"/>
              </m:rPr>
              <w:rPr>
                <w:rFonts w:ascii="Cambria Math" w:eastAsiaTheme="minorHAnsi" w:hAnsi="Cambria Math" w:cs="Times New Roman"/>
                <w:szCs w:val="20"/>
              </w:rPr>
              <m:t xml:space="preserve">(x_group-x_partner)/ </m:t>
            </m:r>
          </m:num>
          <m:den>
            <m:r>
              <m:rPr>
                <m:sty m:val="p"/>
              </m:rPr>
              <w:rPr>
                <w:rFonts w:ascii="Cambria Math" w:eastAsiaTheme="minorHAnsi" w:hAnsi="Cambria Math" w:cs="Times New Roman"/>
                <w:szCs w:val="20"/>
              </w:rPr>
              <m:t xml:space="preserve">(x_me-x_partner) </m:t>
            </m:r>
          </m:den>
        </m:f>
        <m:r>
          <w:rPr>
            <w:rFonts w:ascii="Cambria Math" w:eastAsiaTheme="minorHAnsi" w:hAnsi="Cambria Math" w:cs="Times New Roman"/>
            <w:szCs w:val="20"/>
          </w:rPr>
          <m:t xml:space="preserve"> </m:t>
        </m:r>
        <m:r>
          <m:rPr>
            <m:sty m:val="p"/>
          </m:rPr>
          <w:rPr>
            <w:rFonts w:ascii="Cambria Math" w:eastAsiaTheme="minorHAnsi" w:hAnsi="Cambria Math" w:cs="Times New Roman"/>
            <w:szCs w:val="20"/>
          </w:rPr>
          <m:t>when x_me&gt;x_group&gt;x_partner</m:t>
        </m:r>
      </m:oMath>
    </w:p>
    <w:p w14:paraId="5554BB44" w14:textId="77777777" w:rsidR="00571591" w:rsidRPr="00571591" w:rsidRDefault="00571591" w:rsidP="00571591">
      <w:pPr>
        <w:pStyle w:val="NoSpacing"/>
        <w:rPr>
          <w:rFonts w:eastAsiaTheme="minorHAnsi" w:cs="Times New Roman"/>
          <w:b/>
          <w:szCs w:val="20"/>
        </w:rPr>
      </w:pPr>
    </w:p>
    <w:p w14:paraId="4AF023E6" w14:textId="77777777" w:rsidR="009C300F" w:rsidRPr="00571591" w:rsidRDefault="005C5001" w:rsidP="00571591">
      <w:pPr>
        <w:rPr>
          <w:rFonts w:eastAsiaTheme="minorHAnsi"/>
          <w:szCs w:val="20"/>
        </w:rPr>
      </w:pPr>
    </w:p>
    <w:sectPr w:rsidR="009C300F" w:rsidRPr="00571591" w:rsidSect="00571591">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Che">
    <w:panose1 w:val="020B0609000101010101"/>
    <w:charset w:val="81"/>
    <w:family w:val="modern"/>
    <w:pitch w:val="fixed"/>
    <w:sig w:usb0="B00002AF" w:usb1="69D77CFB" w:usb2="00000030" w:usb3="00000000" w:csb0="000800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dvTT5235d5a9">
    <w:altName w:val="Cambria"/>
    <w:panose1 w:val="00000000000000000000"/>
    <w:charset w:val="00"/>
    <w:family w:val="roman"/>
    <w:notTrueType/>
    <w:pitch w:val="default"/>
    <w:sig w:usb0="00000003" w:usb1="00000000" w:usb2="00000000" w:usb3="00000000" w:csb0="00000001" w:csb1="00000000"/>
  </w:font>
  <w:font w:name="AdvTT5235d5a9+fb">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5B43CF"/>
    <w:multiLevelType w:val="hybridMultilevel"/>
    <w:tmpl w:val="261A0F3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FC"/>
    <w:rsid w:val="00074349"/>
    <w:rsid w:val="00104308"/>
    <w:rsid w:val="0018270D"/>
    <w:rsid w:val="002531FC"/>
    <w:rsid w:val="0032505C"/>
    <w:rsid w:val="004468F0"/>
    <w:rsid w:val="00473D1E"/>
    <w:rsid w:val="0056258E"/>
    <w:rsid w:val="00571591"/>
    <w:rsid w:val="005C5001"/>
    <w:rsid w:val="006602E9"/>
    <w:rsid w:val="006E7A0F"/>
    <w:rsid w:val="008D218F"/>
    <w:rsid w:val="008F531A"/>
    <w:rsid w:val="00A53B52"/>
    <w:rsid w:val="00B33574"/>
    <w:rsid w:val="00B444E4"/>
    <w:rsid w:val="00BB017D"/>
    <w:rsid w:val="00C35E62"/>
    <w:rsid w:val="00CD51D9"/>
    <w:rsid w:val="00D5781E"/>
    <w:rsid w:val="00DC3C9F"/>
    <w:rsid w:val="00ED7F47"/>
    <w:rsid w:val="00EF6F3A"/>
    <w:rsid w:val="00F86F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A4516"/>
  <w15:chartTrackingRefBased/>
  <w15:docId w15:val="{32889DE8-B2B5-47AC-860A-AB07C914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1FC"/>
    <w:pPr>
      <w:widowControl w:val="0"/>
      <w:wordWrap w:val="0"/>
      <w:autoSpaceDE w:val="0"/>
      <w:autoSpaceDN w:val="0"/>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rsid w:val="002531F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Spacing">
    <w:name w:val="No Spacing"/>
    <w:uiPriority w:val="1"/>
    <w:qFormat/>
    <w:rsid w:val="00571591"/>
    <w:pPr>
      <w:widowControl w:val="0"/>
      <w:wordWrap w:val="0"/>
      <w:autoSpaceDE w:val="0"/>
      <w:autoSpaceDN w:val="0"/>
      <w:spacing w:after="0" w:line="240" w:lineRule="auto"/>
    </w:pPr>
  </w:style>
  <w:style w:type="paragraph" w:styleId="HTMLPreformatted">
    <w:name w:val="HTML Preformatted"/>
    <w:basedOn w:val="Normal"/>
    <w:link w:val="HTMLPreformattedChar"/>
    <w:uiPriority w:val="99"/>
    <w:unhideWhenUsed/>
    <w:rsid w:val="005715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GulimChe" w:eastAsia="GulimChe" w:hAnsi="GulimChe" w:cs="GulimChe"/>
      <w:kern w:val="0"/>
      <w:sz w:val="24"/>
      <w:szCs w:val="24"/>
    </w:rPr>
  </w:style>
  <w:style w:type="character" w:customStyle="1" w:styleId="HTMLPreformattedChar">
    <w:name w:val="HTML Preformatted Char"/>
    <w:basedOn w:val="DefaultParagraphFont"/>
    <w:link w:val="HTMLPreformatted"/>
    <w:uiPriority w:val="99"/>
    <w:rsid w:val="00571591"/>
    <w:rPr>
      <w:rFonts w:ascii="GulimChe" w:eastAsia="GulimChe" w:hAnsi="GulimChe" w:cs="GulimChe"/>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15195">
      <w:bodyDiv w:val="1"/>
      <w:marLeft w:val="0"/>
      <w:marRight w:val="0"/>
      <w:marTop w:val="0"/>
      <w:marBottom w:val="0"/>
      <w:divBdr>
        <w:top w:val="none" w:sz="0" w:space="0" w:color="auto"/>
        <w:left w:val="none" w:sz="0" w:space="0" w:color="auto"/>
        <w:bottom w:val="none" w:sz="0" w:space="0" w:color="auto"/>
        <w:right w:val="none" w:sz="0" w:space="0" w:color="auto"/>
      </w:divBdr>
    </w:div>
    <w:div w:id="337386990">
      <w:bodyDiv w:val="1"/>
      <w:marLeft w:val="0"/>
      <w:marRight w:val="0"/>
      <w:marTop w:val="0"/>
      <w:marBottom w:val="0"/>
      <w:divBdr>
        <w:top w:val="none" w:sz="0" w:space="0" w:color="auto"/>
        <w:left w:val="none" w:sz="0" w:space="0" w:color="auto"/>
        <w:bottom w:val="none" w:sz="0" w:space="0" w:color="auto"/>
        <w:right w:val="none" w:sz="0" w:space="0" w:color="auto"/>
      </w:divBdr>
    </w:div>
    <w:div w:id="69180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1443</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Minseon PARK</dc:creator>
  <cp:keywords/>
  <dc:description/>
  <cp:lastModifiedBy>Minseon PARK</cp:lastModifiedBy>
  <cp:revision>13</cp:revision>
  <dcterms:created xsi:type="dcterms:W3CDTF">2018-11-07T16:26:00Z</dcterms:created>
  <dcterms:modified xsi:type="dcterms:W3CDTF">2018-11-08T17:57:00Z</dcterms:modified>
</cp:coreProperties>
</file>