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rFonts w:ascii="함초롬바탕" w:cs="함초롬바탕" w:eastAsia="함초롬바탕" w:hAnsi="함초롬바탕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함초롬바탕" w:cs="함초롬바탕" w:eastAsia="함초롬바탕" w:hAnsi="함초롬바탕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000000"/>
          <w:sz w:val="22"/>
          <w:szCs w:val="22"/>
          <w:rtl w:val="0"/>
        </w:rPr>
        <w:t xml:space="preserve">[붙임 2] 2025 데이터분석 연구발표회 계획서 제출 양식</w:t>
      </w:r>
      <w:r w:rsidDel="00000000" w:rsidR="00000000" w:rsidRPr="00000000">
        <w:rPr>
          <w:rtl w:val="0"/>
        </w:rPr>
      </w:r>
    </w:p>
    <w:tbl>
      <w:tblPr>
        <w:tblStyle w:val="Table1"/>
        <w:tblW w:w="10487.0" w:type="dxa"/>
        <w:jc w:val="left"/>
        <w:tblLayout w:type="fixed"/>
        <w:tblLook w:val="0400"/>
      </w:tblPr>
      <w:tblGrid>
        <w:gridCol w:w="1840"/>
        <w:gridCol w:w="1057"/>
        <w:gridCol w:w="2323"/>
        <w:gridCol w:w="2266"/>
        <w:gridCol w:w="3001"/>
        <w:tblGridChange w:id="0">
          <w:tblGrid>
            <w:gridCol w:w="1840"/>
            <w:gridCol w:w="1057"/>
            <w:gridCol w:w="2323"/>
            <w:gridCol w:w="2266"/>
            <w:gridCol w:w="3001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2025 데이터분석 연구발표회 연구계획서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팀명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지팡이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참가자 명단</w:t>
            </w:r>
          </w:p>
          <w:p w:rsidR="00000000" w:rsidDel="00000000" w:rsidP="00000000" w:rsidRDefault="00000000" w:rsidRPr="00000000" w14:paraId="0000000F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(3명 이내)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20802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20924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21007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7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권민승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최서윤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76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김인하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1. 문제 정의</w:t>
            </w:r>
          </w:p>
          <w:p w:rsidR="00000000" w:rsidDel="00000000" w:rsidP="00000000" w:rsidRDefault="00000000" w:rsidRPr="00000000" w14:paraId="0000001A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(연구 주제)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line="276" w:lineRule="auto"/>
              <w:ind w:left="0" w:firstLine="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고령화에 따른 디지털 격차와 사이버 범죄 발생율의 상관관계</w:t>
            </w:r>
          </w:p>
        </w:tc>
      </w:tr>
      <w:tr>
        <w:trPr>
          <w:cantSplit w:val="0"/>
          <w:trHeight w:val="27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2. 데이터 수집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필요한 데이터의 요건 및 이용할 사이트, 자료 수집 방법을 기재함</w:t>
            </w:r>
          </w:p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18"/>
                <w:szCs w:val="18"/>
                <w:rtl w:val="0"/>
              </w:rPr>
              <w:t xml:space="preserve">사이버범죄율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함초롬바탕" w:cs="함초롬바탕" w:eastAsia="함초롬바탕" w:hAnsi="함초롬바탕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경찰청 공공데이터 개방 →  2021 시도청별 사이버범죄 발생 및 검거 데이터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함초롬바탕" w:cs="함초롬바탕" w:eastAsia="함초롬바탕" w:hAnsi="함초롬바탕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전자기기 보급율: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함초롬바탕" w:cs="함초롬바탕" w:eastAsia="함초롬바탕" w:hAnsi="함초롬바탕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온라인 상거래 이용률: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함초롬바탕" w:cs="함초롬바탕" w:eastAsia="함초롬바탕" w:hAnsi="함초롬바탕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디지털 교육: 공공데이터 - 지역별 디지털 배움터 이용자 수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18"/>
                <w:szCs w:val="18"/>
                <w:rtl w:val="0"/>
              </w:rPr>
              <w:t xml:space="preserve">고령화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rPr>
                <w:rFonts w:ascii="함초롬바탕" w:cs="함초롬바탕" w:eastAsia="함초롬바탕" w:hAnsi="함초롬바탕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주민등록 인구통계 → 행정구역별 평균 연령 데이터 → 고령화 정도 수치화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rPr>
                <w:rFonts w:ascii="함초롬바탕" w:cs="함초롬바탕" w:eastAsia="함초롬바탕" w:hAnsi="함초롬바탕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독거노인 가구비율: KOSIS 통계청 e-지방지표 </w:t>
            </w:r>
            <w:hyperlink r:id="rId7">
              <w:r w:rsidDel="00000000" w:rsidR="00000000" w:rsidRPr="00000000">
                <w:rPr>
                  <w:rFonts w:ascii="함초롬바탕" w:cs="함초롬바탕" w:eastAsia="함초롬바탕" w:hAnsi="함초롬바탕"/>
                  <w:color w:val="1155cc"/>
                  <w:sz w:val="18"/>
                  <w:szCs w:val="18"/>
                  <w:u w:val="single"/>
                  <w:rtl w:val="0"/>
                </w:rPr>
                <w:t xml:space="preserve">독거노인가구비율</w:t>
              </w:r>
            </w:hyperlink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 , 공공데이터포털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rPr>
                <w:rFonts w:ascii="함초롬바탕" w:cs="함초롬바탕" w:eastAsia="함초롬바탕" w:hAnsi="함초롬바탕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평균 학력: 교육통계서비스 KESS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3. 데이터 전처리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after="0" w:line="276" w:lineRule="auto"/>
              <w:ind w:left="0" w:firstLine="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중복값을 제거하거나 데이터 통합 및 구조 변경에 사용할 툴을 선정하고 방법을 소개함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rPr>
                <w:rFonts w:ascii="함초롬바탕" w:cs="함초롬바탕" w:eastAsia="함초롬바탕" w:hAnsi="함초롬바탕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중복값 제거, 이상치 및 결측치 보정, 데이터 연계/통합, 데이터 구조 변경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rPr>
                <w:rFonts w:ascii="함초롬바탕" w:cs="함초롬바탕" w:eastAsia="함초롬바탕" w:hAnsi="함초롬바탕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비교할 지역 선정, (고령화율이 높고 사이버범죄 발생율이 높은 지역, 높은 고령화율+낮은 사이버범죄 발생율, 낮은 고령화율+높은 사이버범죄 발생율, 낮은 고령화율+낮은 사이버범죄 발생율)-&gt; 클러스터링(k-means 방법 이용)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오렌지3: python script를 활용해서 고령화율과 사이버범죄 발생율, 전자기기 보급률, 학력 수준 등의 데이터 연계/통합</w:t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7.758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4. 데이터 모델링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after="0" w:line="276" w:lineRule="auto"/>
              <w:ind w:left="0" w:firstLine="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데이터 간의 관계 설정에 사용할 툴과 방법을 소개함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</w:rPr>
              <w:drawing>
                <wp:inline distB="114300" distT="114300" distL="114300" distR="114300">
                  <wp:extent cx="2749025" cy="166708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25" cy="1667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5. 시각화 및 탐색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spacing w:after="0" w:line="276" w:lineRule="auto"/>
              <w:ind w:left="0" w:firstLine="0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시각화에 사용할 툴과 방법을 간단히 소개함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rFonts w:ascii="함초롬바탕" w:cs="함초롬바탕" w:eastAsia="함초롬바탕" w:hAnsi="함초롬바탕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시각화는 flourish를 활용해서 우리나라 지도의 사이버 범죄율, 고령화 인구 비율 등을 나타냄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ind w:left="0" w:firstLine="0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사이버범죄 발생율과 독거노인 가구비율을 Geo라는 addon을 활용하여 지도형 이미지로 시각화하여 비교하고, </w:t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관련 데이터인 전자기기 보급율과 디지털 교육, 평균 학력 데이터를 오렌지를 통해 변환하여 관계성 파악</w:t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</w:rPr>
              <w:drawing>
                <wp:inline distB="114300" distT="114300" distL="114300" distR="114300">
                  <wp:extent cx="2626405" cy="4357688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405" cy="4357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지역별 고령자 수 / 총 인구수를 통해 지역별 고령자 비율을 수치화하여 flourish 시각화:</w:t>
            </w:r>
          </w:p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</w:rPr>
              <w:drawing>
                <wp:inline distB="114300" distT="114300" distL="114300" distR="114300">
                  <wp:extent cx="2750996" cy="325278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996" cy="3252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함초롬바탕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📫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📫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📫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832D18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character" w:styleId="a4">
    <w:name w:val="Hyperlink"/>
    <w:basedOn w:val="a0"/>
    <w:uiPriority w:val="99"/>
    <w:semiHidden w:val="1"/>
    <w:unhideWhenUsed w:val="1"/>
    <w:rsid w:val="00832D18"/>
    <w:rPr>
      <w:color w:val="0000ff"/>
      <w:u w:val="singl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osis.kr/visual/eRegionJipyo/themaJipyo/eRegionJipyoThemaJipyoView.do?themaId=A_01_02&amp;menuThemaId=A_01_02_02&amp;jipyoId=5440_6763&amp;jipyoNm=&amp;graphTypeGbn=THEMA&amp;statId=&amp;regionChkVal=00%40&amp;chartGbn=DTypeChart&amp;selectPrdDe=&amp;themaGbn=subjectJipyo&amp;detailJipyoId=&amp;themaGbnMenu=subjectJipyo&amp;chooseYm=&amp;jipyo1PrdDe=04bcd4bcd&amp;AreaChoiceCombo=A_01_02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igpWg3pe/1a2FmNyXXJM8NfT3Q==">CgMxLjA4AHIhMW1kRGVxT3dvajMzTDVXOTBPMldYQlJid1l4Tnd6WWZF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2024-03-27T05:44:00Z</dcterms:created>
  <dc:creator>user</dc:creator>
</cp:coreProperties>
</file>