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spacing w:before="0" w:after="0" w:line="20" w:lineRule="exact"/>
        <w:rPr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417310</wp:posOffset>
            </wp:positionH>
            <wp:positionV relativeFrom="page">
              <wp:posOffset>268271</wp:posOffset>
            </wp:positionV>
            <wp:extent cx="491830" cy="59616"/>
            <wp:effectExtent l="0" t="0" r="0" b="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91830" cy="59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1028371</wp:posOffset>
            </wp:positionH>
            <wp:positionV relativeFrom="page">
              <wp:posOffset>462022</wp:posOffset>
            </wp:positionV>
            <wp:extent cx="1311546" cy="59616"/>
            <wp:effectExtent l="0" t="0" r="0" b="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11546" cy="59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" behindDoc="1" locked="0" layoutInCell="1" allowOverlap="1">
            <wp:simplePos x="0" y="0"/>
            <wp:positionH relativeFrom="page">
              <wp:posOffset>1550009</wp:posOffset>
            </wp:positionH>
            <wp:positionV relativeFrom="page">
              <wp:posOffset>1386066</wp:posOffset>
            </wp:positionV>
            <wp:extent cx="789908" cy="44712"/>
            <wp:effectExtent l="0" t="0" r="0" b="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icture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9908" cy="44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27" w:after="0" w:line="660" w:lineRule="exact"/>
        <w:ind w:left="1029" w:right="-1430"/>
      </w:pPr>
      <w:r>
        <w:rPr>
          <w:rFonts w:ascii="Arial" w:hAnsi="Arial" w:eastAsia="Malgun Gothic" w:cs="Arial"/>
          <w:spacing w:val="31"/>
          <w:sz w:val="43"/>
          <w:szCs w:val="43"/>
        </w:rPr>
        <w:t xml:space="preserve">MYRIAD</w:t>
      </w:r>
    </w:p>
    <w:p>
      <w:pPr>
        <w:spacing w:before="0" w:after="0" w:line="216" w:lineRule="exact"/>
        <w:ind w:left="1159" w:right="-1430"/>
      </w:pPr>
      <w:r>
        <w:rPr>
          <w:rFonts w:ascii="Arial" w:hAnsi="Arial" w:eastAsia="Malgun Gothic" w:cs="Arial"/>
          <w:spacing w:val="18"/>
          <w:sz w:val="18"/>
          <w:szCs w:val="18"/>
        </w:rPr>
        <w:t xml:space="preserve">HEART OF BURQUITLAM</w:t>
      </w:r>
    </w:p>
    <w:p>
      <w:pPr>
        <w:spacing w:before="1207" w:after="0" w:line="348" w:lineRule="exact"/>
        <w:ind w:left="1009"/>
        <w:jc w:val="center"/>
      </w:pPr>
      <w:r>
        <w:rPr>
          <w:rFonts w:ascii="Arial" w:hAnsi="Arial" w:eastAsia="Malgun Gothic" w:cs="Arial"/>
          <w:b/>
          <w:bCs/>
          <w:spacing w:val="-8"/>
          <w:sz w:val="29"/>
          <w:szCs w:val="29"/>
        </w:rPr>
        <w:t xml:space="preserve">Myriad - Prices at a Glance</w:t>
      </w:r>
    </w:p>
    <w:p>
      <w:pPr>
        <w:spacing w:before="150" w:after="0" w:line="240" w:lineRule="exact"/>
        <w:ind w:left="980"/>
        <w:jc w:val="center"/>
      </w:pPr>
      <w:r>
        <w:rPr>
          <w:rFonts w:ascii="Arial" w:hAnsi="Arial" w:eastAsia="Malgun Gothic" w:cs="Arial"/>
          <w:b/>
          <w:bCs/>
          <w:spacing w:val="-7"/>
          <w:sz w:val="20"/>
          <w:szCs w:val="20"/>
        </w:rPr>
        <w:t xml:space="preserve">October 2021</w:t>
      </w:r>
    </w:p>
    <w:p>
      <w:pPr>
        <w:spacing w:before="0" w:after="0" w:line="617" w:lineRule="exact"/>
        <w:rPr>
          <w:sz w:val="2"/>
        </w:rPr>
      </w:pPr>
    </w:p>
    <w:tbl>
      <w:tblPr>
        <w:tblW w:w="8802" w:type="dxa"/>
        <w:tblInd w:w="10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000"/>
      </w:tblPr>
      <w:tblGrid>
        <w:gridCol w:w="2764"/>
        <w:gridCol w:w="1766"/>
        <w:gridCol w:w="2177"/>
        <w:gridCol w:w="2095"/>
      </w:tblGrid>
      <w:tr>
        <w:trPr>
          <w:trHeight w:val="505" w:hRule="exact"/>
          <w:cantSplit/>
        </w:trPr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  <w:u w:val="single"/>
              </w:rPr>
              <w:t xml:space="preserve">Suite Type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  <w:u w:val="single"/>
              </w:rPr>
              <w:t xml:space="preserve">Plan</w:t>
            </w: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  <w:u w:val="single"/>
              </w:rPr>
              <w:t xml:space="preserve">Square Feet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  <w:u w:val="single"/>
              </w:rPr>
              <w:t xml:space="preserve">Starting From</w:t>
            </w:r>
          </w:p>
        </w:tc>
      </w:tr>
      <w:tr>
        <w:trPr>
          <w:trHeight w:val="497" w:hRule="exact"/>
          <w:cantSplit/>
        </w:trPr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One Bedroom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b/>
                <w:bCs/>
                <w:sz w:val="24"/>
                <w:szCs w:val="24"/>
              </w:rPr>
              <w:t xml:space="preserve">AT*</w:t>
            </w: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476-479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$449,900</w:t>
            </w:r>
          </w:p>
        </w:tc>
      </w:tr>
      <w:tr>
        <w:trPr>
          <w:trHeight w:val="437" w:hRule="exact"/>
          <w:cantSplit/>
        </w:trPr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rPr>
                <w:sz w:val="24"/>
              </w:rPr>
            </w:pP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B1 - B7</w:t>
            </w: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518 -</w:t>
            </w:r>
            <w:r>
              <w:rPr>
                <w:rFonts w:ascii="Arial" w:hAnsi="Arial" w:eastAsia="Malgun Gothic" w:cs="Arial"/>
                <w:b/>
                <w:bCs/>
                <w:sz w:val="24"/>
                <w:szCs w:val="24"/>
              </w:rPr>
              <w:t xml:space="preserve"> 689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$499,900</w:t>
            </w:r>
          </w:p>
        </w:tc>
      </w:tr>
      <w:tr>
        <w:trPr>
          <w:trHeight w:val="439" w:hRule="exact"/>
          <w:cantSplit/>
        </w:trPr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One Bedroom + Den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C1 - C6</w:t>
            </w: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644-769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$599,900</w:t>
            </w:r>
          </w:p>
        </w:tc>
      </w:tr>
      <w:tr>
        <w:trPr>
          <w:trHeight w:val="463" w:hRule="exact"/>
          <w:cantSplit/>
        </w:trPr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Two Bedroom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D1 - D7</w:t>
            </w: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801-989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$729,900</w:t>
            </w:r>
          </w:p>
        </w:tc>
      </w:tr>
      <w:tr>
        <w:trPr>
          <w:trHeight w:val="490" w:hRule="exact"/>
          <w:cantSplit/>
        </w:trPr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Two Bedroom + Den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E1 - E7</w:t>
            </w: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834-1,062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$749,900</w:t>
            </w:r>
          </w:p>
        </w:tc>
      </w:tr>
      <w:tr>
        <w:trPr>
          <w:trHeight w:val="491" w:hRule="exact"/>
          <w:cantSplit/>
        </w:trPr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Three Bedroom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F1</w:t>
            </w: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1,023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$929,900</w:t>
            </w:r>
          </w:p>
        </w:tc>
      </w:tr>
      <w:tr>
        <w:trPr>
          <w:trHeight w:val="421" w:hRule="exact"/>
          <w:cantSplit/>
        </w:trPr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Townhomes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TH1 - TH4</w:t>
            </w: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1,338-1,553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$1,249,900</w:t>
            </w:r>
          </w:p>
        </w:tc>
      </w:tr>
    </w:tbl>
    <w:p>
      <w:pPr>
        <w:spacing w:before="648" w:after="0" w:line="240" w:lineRule="exact"/>
        <w:ind w:left="1065" w:right="-1430"/>
      </w:pPr>
      <w:r>
        <w:rPr>
          <w:rFonts w:ascii="Arial" w:hAnsi="Arial" w:eastAsia="Malgun Gothic" w:cs="Arial"/>
          <w:spacing w:val="7"/>
          <w:sz w:val="20"/>
          <w:szCs w:val="20"/>
        </w:rPr>
        <w:t xml:space="preserve">Deposit Structure:</w:t>
      </w:r>
    </w:p>
    <w:p>
      <w:pPr>
        <w:numPr>
          <w:ilvl w:val="0"/>
          <w:numId w:val="1"/>
        </w:numPr>
        <w:spacing w:before="182" w:after="0" w:line="252" w:lineRule="exact"/>
        <w:ind w:left="1757" w:right="-1430" w:hanging="358"/>
      </w:pPr>
      <w:r>
        <w:rPr>
          <w:rFonts w:ascii="Arial" w:hAnsi="Arial" w:eastAsia="Malgun Gothic" w:cs="Arial"/>
          <w:spacing w:val="2"/>
          <w:sz w:val="21"/>
          <w:szCs w:val="21"/>
        </w:rPr>
        <w:t xml:space="preserve">Initial $10,000 bank draft due upon signing Offer to Purchase and Agreement Sale;</w:t>
      </w:r>
    </w:p>
    <w:p>
      <w:pPr>
        <w:numPr>
          <w:ilvl w:val="0"/>
          <w:numId w:val="1"/>
        </w:numPr>
        <w:spacing w:before="27" w:after="0" w:line="240" w:lineRule="exact"/>
        <w:ind w:left="1745" w:right="-1430" w:hanging="346"/>
      </w:pPr>
      <w:r>
        <w:rPr>
          <w:rFonts w:ascii="Arial" w:hAnsi="Arial" w:eastAsia="Malgun Gothic" w:cs="Arial"/>
          <w:spacing w:val="5"/>
          <w:sz w:val="20"/>
          <w:szCs w:val="20"/>
        </w:rPr>
        <w:t xml:space="preserve">5% within 7 days (less $10,000 initial deposit) upon signing;</w:t>
      </w:r>
    </w:p>
    <w:p>
      <w:pPr>
        <w:numPr>
          <w:ilvl w:val="0"/>
          <w:numId w:val="1"/>
        </w:numPr>
        <w:spacing w:before="28" w:after="0" w:line="228" w:lineRule="exact"/>
        <w:ind w:left="1739" w:right="-1430" w:hanging="340"/>
      </w:pPr>
      <w:r>
        <w:rPr>
          <w:rFonts w:ascii="Arial" w:hAnsi="Arial" w:eastAsia="Malgun Gothic" w:cs="Arial"/>
          <w:spacing w:val="2"/>
          <w:sz w:val="19"/>
          <w:szCs w:val="19"/>
        </w:rPr>
        <w:t xml:space="preserve">5% in 180 days;</w:t>
      </w:r>
    </w:p>
    <w:p>
      <w:pPr>
        <w:numPr>
          <w:ilvl w:val="0"/>
          <w:numId w:val="1"/>
        </w:numPr>
        <w:spacing w:before="28" w:after="0" w:line="240" w:lineRule="exact"/>
        <w:ind w:left="1739" w:right="-1430" w:hanging="346"/>
      </w:pPr>
      <w:r>
        <w:rPr>
          <w:rFonts w:ascii="Arial" w:hAnsi="Arial" w:eastAsia="Malgun Gothic" w:cs="Arial"/>
          <w:spacing w:val="-2"/>
          <w:sz w:val="20"/>
          <w:szCs w:val="20"/>
        </w:rPr>
        <w:t xml:space="preserve">5% in 365 days;</w:t>
      </w:r>
    </w:p>
    <w:p>
      <w:pPr>
        <w:numPr>
          <w:ilvl w:val="0"/>
          <w:numId w:val="1"/>
        </w:numPr>
        <w:spacing w:before="2" w:after="0" w:line="240" w:lineRule="exact"/>
        <w:ind w:left="1739" w:right="-1430" w:hanging="346"/>
      </w:pPr>
      <w:r>
        <w:rPr>
          <w:rFonts w:ascii="Arial" w:hAnsi="Arial" w:eastAsia="Malgun Gothic" w:cs="Arial"/>
          <w:sz w:val="20"/>
          <w:szCs w:val="20"/>
        </w:rPr>
        <w:t xml:space="preserve">5% in 730 days.</w:t>
      </w:r>
    </w:p>
    <w:p>
      <w:pPr>
        <w:numPr>
          <w:ilvl w:val="0"/>
          <w:numId w:val="1"/>
        </w:numPr>
        <w:spacing w:before="48" w:after="0" w:line="252" w:lineRule="exact"/>
        <w:ind w:left="1745" w:right="-1430" w:hanging="346"/>
      </w:pPr>
      <w:r>
        <w:rPr>
          <w:rFonts w:ascii="Arial" w:hAnsi="Arial" w:eastAsia="Malgun Gothic" w:cs="Arial"/>
          <w:spacing w:val="2"/>
          <w:sz w:val="21"/>
          <w:szCs w:val="21"/>
        </w:rPr>
        <w:t xml:space="preserve">Certified cheques or bank drafts made out to</w:t>
      </w:r>
      <w:r>
        <w:rPr>
          <w:rFonts w:ascii="Arial" w:hAnsi="Arial" w:eastAsia="Malgun Gothic" w:cs="Arial"/>
          <w:b/>
          <w:bCs/>
          <w:spacing w:val="2"/>
          <w:sz w:val="21"/>
          <w:szCs w:val="21"/>
        </w:rPr>
        <w:t xml:space="preserve"> Terra Law Corp. in trust'.</w:t>
      </w:r>
    </w:p>
    <w:p>
      <w:pPr>
        <w:spacing w:before="1029" w:after="0" w:line="153" w:lineRule="exact"/>
        <w:ind w:left="1065" w:right="-1430"/>
      </w:pPr>
      <w:r>
        <w:rPr>
          <w:rFonts w:ascii="Arial" w:hAnsi="Arial" w:eastAsia="Malgun Gothic" w:cs="Arial"/>
          <w:spacing w:val="-1"/>
          <w:sz w:val="13"/>
          <w:szCs w:val="13"/>
        </w:rPr>
        <w:t xml:space="preserve">rices do not include GST, may change without notice and are subject to availability. Sulte sizes may vary on final Strata Plan. Concert reserves the right t</w:t>
      </w:r>
      <w:r>
        <w:br/>
      </w:r>
      <w:r>
        <w:rPr>
          <w:rFonts w:ascii="Arial" w:hAnsi="Arial" w:eastAsia="Malgun Gothic" w:cs="Arial"/>
          <w:spacing w:val="-1"/>
          <w:sz w:val="12"/>
          <w:szCs w:val="12"/>
        </w:rPr>
        <w:t xml:space="preserve">make modifications and changes to floorplans, project design, specifications and features. October 2021. CONCERT REALTY SERVICES LTD. E.&amp;O.E.</w:t>
      </w:r>
    </w:p>
    <w:p>
      <w:pPr>
        <w:spacing w:before="954" w:after="0" w:line="207" w:lineRule="exact"/>
        <w:ind w:left="1047" w:right="-1430"/>
      </w:pPr>
      <w:r>
        <w:rPr>
          <w:rFonts w:ascii="Arial" w:hAnsi="Arial" w:eastAsia="Malgun Gothic" w:cs="Arial"/>
          <w:b/>
          <w:bCs/>
          <w:spacing w:val="-5"/>
          <w:sz w:val="14"/>
          <w:szCs w:val="14"/>
        </w:rPr>
        <w:t xml:space="preserve">MyriadbyConcert.com</w:t>
      </w:r>
      <w:r>
        <w:br/>
      </w:r>
      <w:r>
        <w:rPr>
          <w:rFonts w:ascii="Arial" w:hAnsi="Arial" w:eastAsia="Malgun Gothic" w:cs="Arial"/>
          <w:spacing w:val="-5"/>
          <w:sz w:val="15"/>
          <w:szCs w:val="15"/>
        </w:rPr>
        <w:t xml:space="preserve">101 - 511 Clarke Road, Coquitlam, BC V3J 0J1</w:t>
      </w:r>
    </w:p>
    <w:p>
      <w:pPr>
        <w:tabs>
          <w:tab w:val="right" w:pos="10113"/>
        </w:tabs>
        <w:spacing w:before="7" w:after="0" w:line="192" w:lineRule="exact"/>
        <w:ind w:left="1035" w:right="-1430"/>
      </w:pPr>
      <w:r>
        <w:rPr>
          <w:rFonts w:ascii="Arial" w:hAnsi="Arial" w:eastAsia="Malgun Gothic" w:cs="Arial"/>
          <w:spacing w:val="-12"/>
          <w:sz w:val="16"/>
          <w:szCs w:val="16"/>
        </w:rPr>
        <w:t xml:space="preserve">604.335.0696 | Admin.Myriad@ConcertProperties.com</w:t>
      </w:r>
      <w:r>
        <w:tab/>
      </w:r>
      <w:r>
        <w:rPr>
          <w:rFonts w:ascii="Arial" w:hAnsi="Arial" w:eastAsia="Malgun Gothic" w:cs="Arial"/>
          <w:b/>
          <w:bCs/>
          <w:spacing w:val="-12"/>
          <w:sz w:val="28"/>
          <w:szCs w:val="28"/>
        </w:rPr>
        <w:t xml:space="preserve">CONCERT®</w:t>
      </w:r>
    </w:p>
    <w:p>
      <w:pPr>
        <w:spacing w:before="0" w:after="0" w:line="20" w:lineRule="exact"/>
        <w:rPr>
          <w:sz w:val="2"/>
        </w:rPr>
      </w:pPr>
    </w:p>
    <w:sectPr>
      <w:pgSz w:w="12240" w:h="15840"/>
      <w:pgMar w:top="362" w:right="1470" w:bottom="200" w:left="637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eastAsia="Malgun Gothic" w:cs="Arial"/>
        <w:sz w:val="20"/>
        <w:szCs w:val="20"/>
        <w:lang w:val="en-US" w:eastAsia="ko-KR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57" w:type="dxa"/>
        <w:bottom w:w="0" w:type="dxa"/>
        <w:right w:w="57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/Relationships>
</file>