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502939</wp:posOffset>
            </wp:positionH>
            <wp:positionV relativeFrom="page">
              <wp:posOffset>438044</wp:posOffset>
            </wp:positionV>
            <wp:extent cx="470491" cy="81119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70491" cy="81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632730</wp:posOffset>
            </wp:positionV>
            <wp:extent cx="1233012" cy="259581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33012" cy="259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1525041</wp:posOffset>
            </wp:positionV>
            <wp:extent cx="1216788" cy="48672"/>
            <wp:effectExtent l="0" t="0" r="0" b="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6788" cy="48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95" w:after="0" w:line="612" w:lineRule="atLeast"/>
        <w:ind w:left="946"/>
      </w:pPr>
      <w:r>
        <w:rPr>
          <w:rFonts w:ascii="Arial" w:hAnsi="Arial" w:eastAsia="Malgun Gothic" w:cs="Arial"/>
          <w:spacing w:val="34"/>
          <w:sz w:val="51"/>
          <w:szCs w:val="51"/>
        </w:rPr>
        <w:t xml:space="preserve">MYRIAD</w:t>
      </w:r>
    </w:p>
    <w:p>
      <w:pPr>
        <w:spacing w:before="12" w:after="0" w:line="216" w:lineRule="atLeast"/>
        <w:ind w:left="1061"/>
      </w:pPr>
      <w:r>
        <w:rPr>
          <w:rFonts w:ascii="Arial" w:hAnsi="Arial" w:eastAsia="Malgun Gothic" w:cs="Arial"/>
          <w:spacing w:val="12"/>
          <w:sz w:val="18"/>
          <w:szCs w:val="18"/>
        </w:rPr>
        <w:t xml:space="preserve">HEART OF BURQUITLAM</w:t>
      </w:r>
    </w:p>
    <w:p>
      <w:pPr>
        <w:spacing w:before="1255" w:after="0" w:line="348" w:lineRule="atLeast"/>
        <w:ind w:left="844"/>
        <w:jc w:val="center"/>
      </w:pPr>
      <w:r>
        <w:rPr>
          <w:rFonts w:ascii="Arial" w:hAnsi="Arial" w:eastAsia="Malgun Gothic" w:cs="Arial"/>
          <w:b/>
          <w:bCs/>
          <w:spacing w:val="-14"/>
          <w:sz w:val="29"/>
          <w:szCs w:val="29"/>
        </w:rPr>
        <w:t xml:space="preserve">Myriad - Prices at a Glance</w:t>
      </w:r>
    </w:p>
    <w:p>
      <w:pPr>
        <w:spacing w:before="151" w:after="0" w:line="252" w:lineRule="atLeast"/>
        <w:ind w:left="812"/>
        <w:jc w:val="center"/>
      </w:pPr>
      <w:r>
        <w:rPr>
          <w:rFonts w:ascii="Arial" w:hAnsi="Arial" w:eastAsia="Malgun Gothic" w:cs="Arial"/>
          <w:spacing w:val="-9"/>
          <w:sz w:val="21"/>
          <w:szCs w:val="21"/>
        </w:rPr>
        <w:t xml:space="preserve">October 2021</w:t>
      </w:r>
    </w:p>
    <w:p>
      <w:pPr>
        <w:spacing w:before="0" w:after="0" w:line="708" w:lineRule="exact"/>
        <w:rPr>
          <w:sz w:val="2"/>
        </w:rPr>
      </w:pPr>
    </w:p>
    <w:tbl>
      <w:tblPr>
        <w:tblW w:w="8367" w:type="dxa"/>
        <w:tblInd w:w="90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609"/>
        <w:gridCol w:w="1680"/>
        <w:gridCol w:w="2076"/>
        <w:gridCol w:w="2002"/>
      </w:tblGrid>
      <w:tr>
        <w:trPr>
          <w:trHeight w:val="479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51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AT*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476 - 479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518 - 689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644 - 769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7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801-989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1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834 - 1,062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7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1,338 - 1,553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754" w:after="0" w:line="228" w:lineRule="atLeast"/>
        <w:ind w:left="901"/>
      </w:pPr>
      <w:r>
        <w:rPr>
          <w:rFonts w:ascii="Arial" w:hAnsi="Arial" w:eastAsia="Malgun Gothic" w:cs="Arial"/>
          <w:spacing w:val="8"/>
          <w:sz w:val="19"/>
          <w:szCs w:val="19"/>
        </w:rPr>
        <w:t xml:space="preserve">Deposit Structure:</w:t>
      </w:r>
    </w:p>
    <w:p>
      <w:pPr>
        <w:numPr>
          <w:ilvl w:val="0"/>
          <w:numId w:val="1"/>
        </w:numPr>
        <w:spacing w:before="232" w:after="0" w:line="252" w:lineRule="atLeast"/>
        <w:ind w:left="1559" w:hanging="390"/>
      </w:pPr>
      <w:r>
        <w:rPr>
          <w:rFonts w:ascii="Arial" w:hAnsi="Arial" w:eastAsia="Malgun Gothic" w:cs="Arial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0" w:after="0" w:line="252" w:lineRule="atLeast"/>
        <w:ind w:left="1540" w:hanging="371"/>
      </w:pPr>
      <w:r>
        <w:rPr>
          <w:rFonts w:ascii="Arial" w:hAnsi="Arial" w:eastAsia="Malgun Gothic" w:cs="Arial"/>
          <w:sz w:val="21"/>
          <w:szCs w:val="21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52" w:after="0" w:line="240" w:lineRule="atLeast"/>
        <w:ind w:left="1534" w:hanging="326"/>
      </w:pPr>
      <w:r>
        <w:rPr>
          <w:rFonts w:ascii="Arial" w:hAnsi="Arial" w:eastAsia="Malgun Gothic" w:cs="Arial"/>
          <w:spacing w:val="-6"/>
          <w:sz w:val="20"/>
          <w:szCs w:val="20"/>
        </w:rPr>
        <w:t xml:space="preserve">5% in 180 days;</w:t>
      </w:r>
    </w:p>
    <w:p>
      <w:pPr>
        <w:numPr>
          <w:ilvl w:val="0"/>
          <w:numId w:val="1"/>
        </w:numPr>
        <w:spacing w:before="12" w:after="0" w:line="252" w:lineRule="atLeast"/>
        <w:ind w:left="1534" w:hanging="332"/>
      </w:pPr>
      <w:r>
        <w:rPr>
          <w:rFonts w:ascii="Arial" w:hAnsi="Arial" w:eastAsia="Malgun Gothic" w:cs="Arial"/>
          <w:spacing w:val="-10"/>
          <w:sz w:val="21"/>
          <w:szCs w:val="21"/>
        </w:rPr>
        <w:t xml:space="preserve">5% in 365 days;</w:t>
      </w:r>
    </w:p>
    <w:p>
      <w:pPr>
        <w:numPr>
          <w:ilvl w:val="0"/>
          <w:numId w:val="1"/>
        </w:numPr>
        <w:spacing w:before="9" w:after="0" w:line="252" w:lineRule="atLeast"/>
        <w:ind w:left="1534" w:hanging="389"/>
      </w:pPr>
      <w:r>
        <w:rPr>
          <w:rFonts w:ascii="Arial" w:hAnsi="Arial" w:eastAsia="Malgun Gothic" w:cs="Arial"/>
          <w:spacing w:val="-10"/>
          <w:sz w:val="21"/>
          <w:szCs w:val="21"/>
        </w:rPr>
        <w:t xml:space="preserve">5% in 730 days.</w:t>
      </w:r>
    </w:p>
    <w:p>
      <w:pPr>
        <w:numPr>
          <w:ilvl w:val="0"/>
          <w:numId w:val="1"/>
        </w:numPr>
        <w:spacing w:before="44" w:after="0" w:line="252" w:lineRule="atLeast"/>
        <w:ind w:left="1527" w:hanging="382"/>
      </w:pPr>
      <w:r>
        <w:rPr>
          <w:rFonts w:ascii="Arial" w:hAnsi="Arial" w:eastAsia="Malgun Gothic" w:cs="Arial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Terra Law Corp.</w:t>
      </w:r>
      <w:r>
        <w:rPr>
          <w:rFonts w:ascii="Arial" w:hAnsi="Arial" w:eastAsia="Malgun Gothic" w:cs="Arial"/>
          <w:sz w:val="21"/>
          <w:szCs w:val="21"/>
        </w:rPr>
        <w:t xml:space="preserve"> in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trust.</w:t>
      </w:r>
    </w:p>
    <w:p>
      <w:pPr>
        <w:spacing w:before="1170" w:after="0" w:line="153" w:lineRule="exact"/>
        <w:ind w:left="838"/>
      </w:pPr>
      <w:r>
        <w:rPr>
          <w:rFonts w:ascii="Arial" w:hAnsi="Arial" w:eastAsia="Malgun Gothic" w:cs="Arial"/>
          <w:spacing w:val="-3"/>
          <w:sz w:val="13"/>
          <w:szCs w:val="13"/>
        </w:rPr>
        <w:t xml:space="preserve">Prices do not include CST, may change without notice and are subject to availability Suite sizes may vary on final Strata Plan. Concert reserves the right to</w:t>
      </w:r>
      <w:r>
        <w:t xml:space="preserve"> </w:t>
      </w:r>
      <w:r>
        <w:rPr>
          <w:rFonts w:ascii="Arial" w:hAnsi="Arial" w:eastAsia="Malgun Gothic" w:cs="Arial"/>
          <w:spacing w:val="-3"/>
          <w:sz w:val="13"/>
          <w:szCs w:val="13"/>
        </w:rPr>
        <w:t xml:space="preserve">make modifications and changes to floorplans, project design, specifications and features. October 2021 CONCERT REALTY SERVICES LTD E.80 E</w:t>
      </w:r>
    </w:p>
    <w:p>
      <w:pPr>
        <w:spacing w:before="1137" w:after="0" w:line="201" w:lineRule="exact"/>
        <w:ind w:left="831"/>
      </w:pPr>
      <w:r>
        <w:rPr>
          <w:rFonts w:ascii="Arial" w:hAnsi="Arial" w:eastAsia="Malgun Gothic" w:cs="Arial"/>
          <w:b/>
          <w:bCs/>
          <w:spacing w:val="-13"/>
          <w:sz w:val="17"/>
          <w:szCs w:val="17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-13"/>
          <w:sz w:val="17"/>
          <w:szCs w:val="17"/>
        </w:rPr>
        <w:t xml:space="preserve">101 - 511 Clarke Road, Coquitlam, BC V3J 0J1</w:t>
      </w:r>
    </w:p>
    <w:p>
      <w:pPr>
        <w:tabs>
          <w:tab w:val="right" w:pos="9575"/>
        </w:tabs>
        <w:spacing w:before="29" w:after="0" w:line="192" w:lineRule="atLeast"/>
        <w:ind w:left="825"/>
      </w:pPr>
      <w:r>
        <w:rPr>
          <w:rFonts w:ascii="Arial" w:hAnsi="Arial" w:eastAsia="Malgun Gothic" w:cs="Arial"/>
          <w:sz w:val="16"/>
          <w:szCs w:val="16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b/>
          <w:bCs/>
          <w:sz w:val="29"/>
          <w:szCs w:val="29"/>
        </w:rPr>
        <w:t xml:space="preserve">CONCERT®</w:t>
      </w:r>
    </w:p>
    <w:p>
      <w:pPr>
        <w:spacing w:before="0" w:after="0" w:line="20" w:lineRule="exact"/>
        <w:rPr>
          <w:sz w:val="2"/>
        </w:rPr>
      </w:pPr>
    </w:p>
    <w:sectPr>
      <w:pgSz w:w="11906" w:h="16838"/>
      <w:pgMar w:top="630" w:right="1539" w:bottom="360" w:left="772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