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Roboto" w:cs="Roboto" w:eastAsia="Roboto" w:hAnsi="Roboto"/>
          <w:color w:val="5c65c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5c65cf"/>
          <w:sz w:val="26"/>
          <w:szCs w:val="26"/>
          <w:rtl w:val="0"/>
        </w:rPr>
        <w:t xml:space="preserve">TheGoGitters</w:t>
        <w:br w:type="textWrapping"/>
        <w:t xml:space="preserve">Team Leader: Krist Bharanyi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Fonts w:ascii="Roboto" w:cs="Roboto" w:eastAsia="Roboto" w:hAnsi="Roboto"/>
          <w:color w:val="5c65cf"/>
          <w:sz w:val="26"/>
          <w:szCs w:val="26"/>
          <w:rtl w:val="0"/>
        </w:rPr>
        <w:t xml:space="preserve">Minston Nguyen, Jovel Ramos,  Albert Van</w:t>
        <w:br w:type="textWrapping"/>
        <w:t xml:space="preserve">CMPE 131 - Section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TheGoGitters/dataparsing at main · minstonnguyen/TheGoGitters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nstonnguyen/TheGoGitters/blob/main/datapars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