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跨市场商品价差监控开发文档</w:t>
      </w:r>
    </w:p>
    <w:p>
      <w:pPr>
        <w:jc w:val="center"/>
      </w:pPr>
      <w:r>
        <w:rPr>
          <w:rFonts w:ascii="Arial" w:hAnsi="Arial" w:eastAsia="Microsoft YaHei"/>
          <w:i/>
        </w:rPr>
        <w:t>覆盖：AU/XAU、AG/XAG、CU(CU/BC)/COPPER、SC/CL</w:t>
      </w:r>
    </w:p>
    <w:p>
      <w:r>
        <w:t>本文档用于指导开发一个跨市场商品价差监控程序。程序目标是将国内期货价格统一换算到国际常见口径，实时监控价差的扩散与收敛，并支持阈值告警、历史回放和后续策略研究。</w:t>
      </w:r>
    </w:p>
    <w:p>
      <w:pPr>
        <w:pStyle w:val="Heading1"/>
      </w:pPr>
      <w:r>
        <w:rPr>
          <w:rFonts w:ascii="Arial" w:hAnsi="Arial" w:eastAsia="Microsoft YaHei"/>
        </w:rPr>
        <w:t>1. 项目目标</w:t>
      </w:r>
    </w:p>
    <w:p>
      <w:pPr>
        <w:pStyle w:val="ListBullet"/>
      </w:pPr>
      <w:r>
        <w:t>实时采集国内与海外/链上映射标的价格。</w:t>
      </w:r>
    </w:p>
    <w:p>
      <w:pPr>
        <w:pStyle w:val="ListBullet"/>
      </w:pPr>
      <w:r>
        <w:t>把不同单位、币种、税口径统一成可比较的标准价格。</w:t>
      </w:r>
    </w:p>
    <w:p>
      <w:pPr>
        <w:pStyle w:val="ListBullet"/>
      </w:pPr>
      <w:r>
        <w:t>输出绝对价差、相对价差、滚动均值、标准差、z-score 等监控指标。</w:t>
      </w:r>
    </w:p>
    <w:p>
      <w:pPr>
        <w:pStyle w:val="ListBullet"/>
      </w:pPr>
      <w:r>
        <w:t>支持终端打印、CSV/SQLite 落库、Web 看板与告警推送。</w:t>
      </w:r>
    </w:p>
    <w:p>
      <w:pPr>
        <w:pStyle w:val="Heading1"/>
      </w:pPr>
      <w:r>
        <w:rPr>
          <w:rFonts w:ascii="Arial" w:hAnsi="Arial" w:eastAsia="Microsoft YaHei"/>
        </w:rPr>
        <w:t>2. 覆盖标的与统一口径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组别</w:t>
            </w:r>
          </w:p>
        </w:tc>
        <w:tc>
          <w:tcPr>
            <w:tcW w:type="dxa" w:w="1440"/>
          </w:tcPr>
          <w:p>
            <w:r>
              <w:t>国内侧</w:t>
            </w:r>
          </w:p>
        </w:tc>
        <w:tc>
          <w:tcPr>
            <w:tcW w:type="dxa" w:w="1440"/>
          </w:tcPr>
          <w:p>
            <w:r>
              <w:t>海外侧</w:t>
            </w:r>
          </w:p>
        </w:tc>
        <w:tc>
          <w:tcPr>
            <w:tcW w:type="dxa" w:w="1440"/>
          </w:tcPr>
          <w:p>
            <w:r>
              <w:t>统一口径</w:t>
            </w:r>
          </w:p>
        </w:tc>
        <w:tc>
          <w:tcPr>
            <w:tcW w:type="dxa" w:w="1440"/>
          </w:tcPr>
          <w:p>
            <w:r>
              <w:t>国内1手对冲数量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黄金</w:t>
            </w:r>
          </w:p>
        </w:tc>
        <w:tc>
          <w:tcPr>
            <w:tcW w:type="dxa" w:w="1440"/>
          </w:tcPr>
          <w:p>
            <w:r>
              <w:t>AU</w:t>
            </w:r>
          </w:p>
        </w:tc>
        <w:tc>
          <w:tcPr>
            <w:tcW w:type="dxa" w:w="1440"/>
          </w:tcPr>
          <w:p>
            <w:r>
              <w:t>XAUUSDT</w:t>
            </w:r>
          </w:p>
        </w:tc>
        <w:tc>
          <w:tcPr>
            <w:tcW w:type="dxa" w:w="1440"/>
          </w:tcPr>
          <w:p>
            <w:r>
              <w:t>USD/oz</w:t>
            </w:r>
          </w:p>
        </w:tc>
        <w:tc>
          <w:tcPr>
            <w:tcW w:type="dxa" w:w="1440"/>
          </w:tcPr>
          <w:p>
            <w:r>
              <w:t>32.1507 XAU</w:t>
            </w:r>
          </w:p>
        </w:tc>
        <w:tc>
          <w:tcPr>
            <w:tcW w:type="dxa" w:w="1440"/>
          </w:tcPr>
          <w:p>
            <w:r>
              <w:t>税干扰相对小，直接换汇即可</w:t>
            </w:r>
          </w:p>
        </w:tc>
      </w:tr>
      <w:tr>
        <w:tc>
          <w:tcPr>
            <w:tcW w:type="dxa" w:w="1440"/>
          </w:tcPr>
          <w:p>
            <w:r>
              <w:t>白银</w:t>
            </w:r>
          </w:p>
        </w:tc>
        <w:tc>
          <w:tcPr>
            <w:tcW w:type="dxa" w:w="1440"/>
          </w:tcPr>
          <w:p>
            <w:r>
              <w:t>AG</w:t>
            </w:r>
          </w:p>
        </w:tc>
        <w:tc>
          <w:tcPr>
            <w:tcW w:type="dxa" w:w="1440"/>
          </w:tcPr>
          <w:p>
            <w:r>
              <w:t>XAGUSDT</w:t>
            </w:r>
          </w:p>
        </w:tc>
        <w:tc>
          <w:tcPr>
            <w:tcW w:type="dxa" w:w="1440"/>
          </w:tcPr>
          <w:p>
            <w:r>
              <w:t>去税后 USD/oz</w:t>
            </w:r>
          </w:p>
        </w:tc>
        <w:tc>
          <w:tcPr>
            <w:tcW w:type="dxa" w:w="1440"/>
          </w:tcPr>
          <w:p>
            <w:r>
              <w:t>482.2612 XAG</w:t>
            </w:r>
          </w:p>
        </w:tc>
        <w:tc>
          <w:tcPr>
            <w:tcW w:type="dxa" w:w="1440"/>
          </w:tcPr>
          <w:p>
            <w:r>
              <w:t>建议同时保留含税和去税两套价差</w:t>
            </w:r>
          </w:p>
        </w:tc>
      </w:tr>
      <w:tr>
        <w:tc>
          <w:tcPr>
            <w:tcW w:type="dxa" w:w="1440"/>
          </w:tcPr>
          <w:p>
            <w:r>
              <w:t>铜</w:t>
            </w:r>
          </w:p>
        </w:tc>
        <w:tc>
          <w:tcPr>
            <w:tcW w:type="dxa" w:w="1440"/>
          </w:tcPr>
          <w:p>
            <w:r>
              <w:t>CU / BC</w:t>
            </w:r>
          </w:p>
        </w:tc>
        <w:tc>
          <w:tcPr>
            <w:tcW w:type="dxa" w:w="1440"/>
          </w:tcPr>
          <w:p>
            <w:r>
              <w:t>COPPERUSDT</w:t>
            </w:r>
          </w:p>
        </w:tc>
        <w:tc>
          <w:tcPr>
            <w:tcW w:type="dxa" w:w="1440"/>
          </w:tcPr>
          <w:p>
            <w:r>
              <w:t>USD/lb</w:t>
            </w:r>
          </w:p>
        </w:tc>
        <w:tc>
          <w:tcPr>
            <w:tcW w:type="dxa" w:w="1440"/>
          </w:tcPr>
          <w:p>
            <w:r>
              <w:t>11023.1131 COPPER</w:t>
            </w:r>
          </w:p>
        </w:tc>
        <w:tc>
          <w:tcPr>
            <w:tcW w:type="dxa" w:w="1440"/>
          </w:tcPr>
          <w:p>
            <w:r>
              <w:t>CU 优先看去税；BC 更干净</w:t>
            </w:r>
          </w:p>
        </w:tc>
      </w:tr>
      <w:tr>
        <w:tc>
          <w:tcPr>
            <w:tcW w:type="dxa" w:w="1440"/>
          </w:tcPr>
          <w:p>
            <w:r>
              <w:t>原油</w:t>
            </w:r>
          </w:p>
        </w:tc>
        <w:tc>
          <w:tcPr>
            <w:tcW w:type="dxa" w:w="1440"/>
          </w:tcPr>
          <w:p>
            <w:r>
              <w:t>SC</w:t>
            </w:r>
          </w:p>
        </w:tc>
        <w:tc>
          <w:tcPr>
            <w:tcW w:type="dxa" w:w="1440"/>
          </w:tcPr>
          <w:p>
            <w:r>
              <w:t>OKX/HL/NYMEX CL</w:t>
            </w:r>
          </w:p>
        </w:tc>
        <w:tc>
          <w:tcPr>
            <w:tcW w:type="dxa" w:w="1440"/>
          </w:tcPr>
          <w:p>
            <w:r>
              <w:t>USD/bbl</w:t>
            </w:r>
          </w:p>
        </w:tc>
        <w:tc>
          <w:tcPr>
            <w:tcW w:type="dxa" w:w="1440"/>
          </w:tcPr>
          <w:p>
            <w:r>
              <w:t>约 1000 CL</w:t>
            </w:r>
          </w:p>
        </w:tc>
        <w:tc>
          <w:tcPr>
            <w:tcW w:type="dxa" w:w="1440"/>
          </w:tcPr>
          <w:p>
            <w:r>
              <w:t>适合监控扩散/收敛，不视为完全同质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3. 核心换算公式</w:t>
      </w:r>
    </w:p>
    <w:p>
      <w:pPr>
        <w:pStyle w:val="ListBullet"/>
      </w:pPr>
      <w:r>
        <w:t>黄金：au_usd_oz = au_cny_g × 31.1034768 / usd_cny</w:t>
      </w:r>
    </w:p>
    <w:p>
      <w:pPr>
        <w:pStyle w:val="ListBullet"/>
      </w:pPr>
      <w:r>
        <w:t>白银含税：ag_usd_oz_gross = (ag_cny_kg / 1000) × 31.1034768 / usd_cny</w:t>
      </w:r>
    </w:p>
    <w:p>
      <w:pPr>
        <w:pStyle w:val="ListBullet"/>
      </w:pPr>
      <w:r>
        <w:t>白银去税：ag_usd_oz_net = (ag_cny_kg / 1000) / 1.13 × 31.1034768 / usd_cny</w:t>
      </w:r>
    </w:p>
    <w:p>
      <w:pPr>
        <w:pStyle w:val="ListBullet"/>
      </w:pPr>
      <w:r>
        <w:t>铜含税：cu_usd_lb_gross = cu_cny_ton / usd_cny / 2204.62262</w:t>
      </w:r>
    </w:p>
    <w:p>
      <w:pPr>
        <w:pStyle w:val="ListBullet"/>
      </w:pPr>
      <w:r>
        <w:t>铜去税：cu_usd_lb_net = cu_cny_ton / 1.13 / usd_cny / 2204.62262</w:t>
      </w:r>
    </w:p>
    <w:p>
      <w:pPr>
        <w:pStyle w:val="ListBullet"/>
      </w:pPr>
      <w:r>
        <w:t>原油：sc_usd_bbl = sc_cny_bbl / usd_cny</w:t>
      </w:r>
    </w:p>
    <w:p>
      <w:pPr>
        <w:pStyle w:val="Heading1"/>
      </w:pPr>
      <w:r>
        <w:rPr>
          <w:rFonts w:ascii="Arial" w:hAnsi="Arial" w:eastAsia="Microsoft YaHei"/>
        </w:rPr>
        <w:t>4. 推荐监控指标</w:t>
      </w:r>
    </w:p>
    <w:p>
      <w:pPr>
        <w:pStyle w:val="ListBullet"/>
      </w:pPr>
      <w:r>
        <w:t>normalized_domestic_price：国内价格统一换算后的标准价格。</w:t>
      </w:r>
    </w:p>
    <w:p>
      <w:pPr>
        <w:pStyle w:val="ListBullet"/>
      </w:pPr>
      <w:r>
        <w:t>overseas_price：海外/链上映射标的价格。</w:t>
      </w:r>
    </w:p>
    <w:p>
      <w:pPr>
        <w:pStyle w:val="ListBullet"/>
      </w:pPr>
      <w:r>
        <w:t>spread = overseas_price - normalized_domestic_price。</w:t>
      </w:r>
    </w:p>
    <w:p>
      <w:pPr>
        <w:pStyle w:val="ListBullet"/>
      </w:pPr>
      <w:r>
        <w:t>spread_pct = spread / normalized_domestic_price。</w:t>
      </w:r>
    </w:p>
    <w:p>
      <w:pPr>
        <w:pStyle w:val="ListBullet"/>
      </w:pPr>
      <w:r>
        <w:t>rolling_mean / rolling_std：滚动窗口均值与标准差。</w:t>
      </w:r>
    </w:p>
    <w:p>
      <w:pPr>
        <w:pStyle w:val="ListBullet"/>
      </w:pPr>
      <w:r>
        <w:t>zscore = (spread - rolling_mean) / rolling_std。</w:t>
      </w:r>
    </w:p>
    <w:p>
      <w:pPr>
        <w:pStyle w:val="ListBullet"/>
      </w:pPr>
      <w:r>
        <w:t>delta_spread：当前价差与上一时刻价差之差，用于判断扩散或收敛。</w:t>
      </w:r>
    </w:p>
    <w:p>
      <w:pPr>
        <w:pStyle w:val="Heading1"/>
      </w:pPr>
      <w:r>
        <w:rPr>
          <w:rFonts w:ascii="Arial" w:hAnsi="Arial" w:eastAsia="Microsoft YaHei"/>
        </w:rPr>
        <w:t>5. 程序架构建议</w:t>
      </w:r>
    </w:p>
    <w:p>
      <w:pPr>
        <w:pStyle w:val="ListBullet"/>
      </w:pPr>
      <w:r>
        <w:t>marketdata：行情采集层，分别接国内期货、Binance、OKX、Hyperliquid、汇率源。</w:t>
      </w:r>
    </w:p>
    <w:p>
      <w:pPr>
        <w:pStyle w:val="ListBullet"/>
      </w:pPr>
      <w:r>
        <w:t>normalizer：单位换算与税口径处理层。</w:t>
      </w:r>
    </w:p>
    <w:p>
      <w:pPr>
        <w:pStyle w:val="ListBullet"/>
      </w:pPr>
      <w:r>
        <w:t>monitor：实时计算价差、z-score、阈值告警。</w:t>
      </w:r>
    </w:p>
    <w:p>
      <w:pPr>
        <w:pStyle w:val="ListBullet"/>
      </w:pPr>
      <w:r>
        <w:t>storage：写入 SQLite/Parquet/CSV，保留原始行情与标准化结果。</w:t>
      </w:r>
    </w:p>
    <w:p>
      <w:pPr>
        <w:pStyle w:val="ListBullet"/>
      </w:pPr>
      <w:r>
        <w:t>dashboard：Web 页面展示实时价差、历史走势、告警日志。</w:t>
      </w:r>
    </w:p>
    <w:p>
      <w:pPr>
        <w:pStyle w:val="ListBullet"/>
      </w:pPr>
      <w:r>
        <w:t>config：统一管理标的映射、阈值、汇率源、轮询周期。</w:t>
      </w:r>
    </w:p>
    <w:p>
      <w:pPr>
        <w:pStyle w:val="Heading1"/>
      </w:pPr>
      <w:r>
        <w:rPr>
          <w:rFonts w:ascii="Arial" w:hAnsi="Arial" w:eastAsia="Microsoft YaHei"/>
        </w:rPr>
        <w:t>6. 建议的数据表结构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字段</w:t>
            </w:r>
          </w:p>
        </w:tc>
        <w:tc>
          <w:tcPr>
            <w:tcW w:type="dxa" w:w="1234"/>
          </w:tcPr>
          <w:p>
            <w:r>
              <w:t>类型</w:t>
            </w:r>
          </w:p>
        </w:tc>
        <w:tc>
          <w:tcPr>
            <w:tcW w:type="dxa" w:w="1234"/>
          </w:tcPr>
          <w:p>
            <w:r>
              <w:t>示例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  <w:tc>
          <w:tcPr>
            <w:tcW w:type="dxa" w:w="1234"/>
          </w:tcPr>
          <w:p>
            <w:r>
              <w:t>是否共用</w:t>
            </w:r>
          </w:p>
        </w:tc>
        <w:tc>
          <w:tcPr>
            <w:tcW w:type="dxa" w:w="1234"/>
          </w:tcPr>
          <w:p>
            <w:r>
              <w:t>是否落库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ts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2026-03-12 15:00:01</w:t>
            </w:r>
          </w:p>
        </w:tc>
        <w:tc>
          <w:tcPr>
            <w:tcW w:type="dxa" w:w="1234"/>
          </w:tcPr>
          <w:p>
            <w:r>
              <w:t>时间戳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建议 UTC+8 和 UTC 同存</w:t>
            </w:r>
          </w:p>
        </w:tc>
      </w:tr>
      <w:tr>
        <w:tc>
          <w:tcPr>
            <w:tcW w:type="dxa" w:w="1234"/>
          </w:tcPr>
          <w:p>
            <w:r>
              <w:t>group_name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AG_XAG</w:t>
            </w:r>
          </w:p>
        </w:tc>
        <w:tc>
          <w:tcPr>
            <w:tcW w:type="dxa" w:w="1234"/>
          </w:tcPr>
          <w:p>
            <w:r>
              <w:t>监控组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例如 AU_XAU、SC_CL</w:t>
            </w:r>
          </w:p>
        </w:tc>
      </w:tr>
      <w:tr>
        <w:tc>
          <w:tcPr>
            <w:tcW w:type="dxa" w:w="1234"/>
          </w:tcPr>
          <w:p>
            <w:r>
              <w:t>domestic_symbol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AG2606</w:t>
            </w:r>
          </w:p>
        </w:tc>
        <w:tc>
          <w:tcPr>
            <w:tcW w:type="dxa" w:w="1234"/>
          </w:tcPr>
          <w:p>
            <w:r>
              <w:t>国内合约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避免直接使用主连做执行</w:t>
            </w:r>
          </w:p>
        </w:tc>
      </w:tr>
      <w:tr>
        <w:tc>
          <w:tcPr>
            <w:tcW w:type="dxa" w:w="1234"/>
          </w:tcPr>
          <w:p>
            <w:r>
              <w:t>overseas_symbol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XAGUSDT</w:t>
            </w:r>
          </w:p>
        </w:tc>
        <w:tc>
          <w:tcPr>
            <w:tcW w:type="dxa" w:w="1234"/>
          </w:tcPr>
          <w:p>
            <w:r>
              <w:t>海外标的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可为 CLUSDT / xyz:CL</w:t>
            </w:r>
          </w:p>
        </w:tc>
      </w:tr>
      <w:tr>
        <w:tc>
          <w:tcPr>
            <w:tcW w:type="dxa" w:w="1234"/>
          </w:tcPr>
          <w:p>
            <w:r>
              <w:t>fx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6.90</w:t>
            </w:r>
          </w:p>
        </w:tc>
        <w:tc>
          <w:tcPr>
            <w:tcW w:type="dxa" w:w="1234"/>
          </w:tcPr>
          <w:p>
            <w:r>
              <w:t>USD/CNY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建议固定一个汇率口径</w:t>
            </w:r>
          </w:p>
        </w:tc>
      </w:tr>
      <w:tr>
        <w:tc>
          <w:tcPr>
            <w:tcW w:type="dxa" w:w="1234"/>
          </w:tcPr>
          <w:p>
            <w:r>
              <w:t>domestic_raw_px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8200</w:t>
            </w:r>
          </w:p>
        </w:tc>
        <w:tc>
          <w:tcPr>
            <w:tcW w:type="dxa" w:w="1234"/>
          </w:tcPr>
          <w:p>
            <w:r>
              <w:t>国内原始价格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元/克、元/千克、元/吨、元/桶</w:t>
            </w:r>
          </w:p>
        </w:tc>
      </w:tr>
      <w:tr>
        <w:tc>
          <w:tcPr>
            <w:tcW w:type="dxa" w:w="1234"/>
          </w:tcPr>
          <w:p>
            <w:r>
              <w:t>normalized_px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32.8</w:t>
            </w:r>
          </w:p>
        </w:tc>
        <w:tc>
          <w:tcPr>
            <w:tcW w:type="dxa" w:w="1234"/>
          </w:tcPr>
          <w:p>
            <w:r>
              <w:t>统一后价格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USD/oz、USD/lb、USD/bbl</w:t>
            </w:r>
          </w:p>
        </w:tc>
      </w:tr>
      <w:tr>
        <w:tc>
          <w:tcPr>
            <w:tcW w:type="dxa" w:w="1234"/>
          </w:tcPr>
          <w:p>
            <w:r>
              <w:t>overseas_px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35.1</w:t>
            </w:r>
          </w:p>
        </w:tc>
        <w:tc>
          <w:tcPr>
            <w:tcW w:type="dxa" w:w="1234"/>
          </w:tcPr>
          <w:p>
            <w:r>
              <w:t>海外价格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与统一口径保持一致</w:t>
            </w:r>
          </w:p>
        </w:tc>
      </w:tr>
      <w:tr>
        <w:tc>
          <w:tcPr>
            <w:tcW w:type="dxa" w:w="1234"/>
          </w:tcPr>
          <w:p>
            <w:r>
              <w:t>spread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2.3</w:t>
            </w:r>
          </w:p>
        </w:tc>
        <w:tc>
          <w:tcPr>
            <w:tcW w:type="dxa" w:w="1234"/>
          </w:tcPr>
          <w:p>
            <w:r>
              <w:t>绝对价差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海外减国内</w:t>
            </w:r>
          </w:p>
        </w:tc>
      </w:tr>
      <w:tr>
        <w:tc>
          <w:tcPr>
            <w:tcW w:type="dxa" w:w="1234"/>
          </w:tcPr>
          <w:p>
            <w:r>
              <w:t>spread_pct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0.0701</w:t>
            </w:r>
          </w:p>
        </w:tc>
        <w:tc>
          <w:tcPr>
            <w:tcW w:type="dxa" w:w="1234"/>
          </w:tcPr>
          <w:p>
            <w:r>
              <w:t>相对价差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spread / normalized_px</w:t>
            </w:r>
          </w:p>
        </w:tc>
      </w:tr>
      <w:tr>
        <w:tc>
          <w:tcPr>
            <w:tcW w:type="dxa" w:w="1234"/>
          </w:tcPr>
          <w:p>
            <w:r>
              <w:t>zscore</w:t>
            </w:r>
          </w:p>
        </w:tc>
        <w:tc>
          <w:tcPr>
            <w:tcW w:type="dxa" w:w="1234"/>
          </w:tcPr>
          <w:p>
            <w:r>
              <w:t>REAL</w:t>
            </w:r>
          </w:p>
        </w:tc>
        <w:tc>
          <w:tcPr>
            <w:tcW w:type="dxa" w:w="1234"/>
          </w:tcPr>
          <w:p>
            <w:r>
              <w:t>2.1</w:t>
            </w:r>
          </w:p>
        </w:tc>
        <w:tc>
          <w:tcPr>
            <w:tcW w:type="dxa" w:w="1234"/>
          </w:tcPr>
          <w:p>
            <w:r>
              <w:t>统计偏离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滚动窗口计算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7. 告警规则建议</w:t>
      </w:r>
    </w:p>
    <w:p>
      <w:pPr>
        <w:pStyle w:val="ListBullet"/>
      </w:pPr>
      <w:r>
        <w:t>绝对价差告警：例如 |spread_pct| &gt; 2.0%。</w:t>
      </w:r>
    </w:p>
    <w:p>
      <w:pPr>
        <w:pStyle w:val="ListBullet"/>
      </w:pPr>
      <w:r>
        <w:t>统计告警：例如 |zscore| &gt; 2.5。</w:t>
      </w:r>
    </w:p>
    <w:p>
      <w:pPr>
        <w:pStyle w:val="ListBullet"/>
      </w:pPr>
      <w:r>
        <w:t>盘口可成交告警：卖出侧使用 bid，买入侧使用 ask，计算可成交价差。</w:t>
      </w:r>
    </w:p>
    <w:p>
      <w:pPr>
        <w:pStyle w:val="ListBullet"/>
      </w:pPr>
      <w:r>
        <w:t>汇率异常告警：短时间内 FX 大幅跳动时暂停策略信号。</w:t>
      </w:r>
    </w:p>
    <w:p>
      <w:pPr>
        <w:pStyle w:val="ListBullet"/>
      </w:pPr>
      <w:r>
        <w:t>数据质量告警：行情断流、时间戳过旧、价格为 0 或负值时报警。</w:t>
      </w:r>
    </w:p>
    <w:p>
      <w:pPr>
        <w:pStyle w:val="Heading1"/>
      </w:pPr>
      <w:r>
        <w:rPr>
          <w:rFonts w:ascii="Arial" w:hAnsi="Arial" w:eastAsia="Microsoft YaHei"/>
        </w:rPr>
        <w:t>8. 开发顺序建议</w:t>
      </w:r>
    </w:p>
    <w:p>
      <w:pPr>
        <w:pStyle w:val="ListNumber"/>
      </w:pPr>
      <w:r>
        <w:t>第一阶段：先完成轮询版监控脚本，控制台输出标准化价格与价差。</w:t>
      </w:r>
    </w:p>
    <w:p>
      <w:pPr>
        <w:pStyle w:val="ListNumber"/>
      </w:pPr>
      <w:r>
        <w:t>第二阶段：落库 SQLite，保存历史数据，支持回测 z-score 与阈值。</w:t>
      </w:r>
    </w:p>
    <w:p>
      <w:pPr>
        <w:pStyle w:val="ListNumber"/>
      </w:pPr>
      <w:r>
        <w:t>第三阶段：增加 Web 看板，展示实时卡片、折线图、告警记录。</w:t>
      </w:r>
    </w:p>
    <w:p>
      <w:pPr>
        <w:pStyle w:val="ListNumber"/>
      </w:pPr>
      <w:r>
        <w:t>第四阶段：加入买一卖一口径，区分监控价差与可成交价差。</w:t>
      </w:r>
    </w:p>
    <w:p>
      <w:pPr>
        <w:pStyle w:val="ListNumber"/>
      </w:pPr>
      <w:r>
        <w:t>第五阶段：引入回归对冲比、波动率调整仓位和资金费率/手续费成本模型。</w:t>
      </w:r>
    </w:p>
    <w:p>
      <w:pPr>
        <w:pStyle w:val="Heading1"/>
      </w:pPr>
      <w:r>
        <w:rPr>
          <w:rFonts w:ascii="Arial" w:hAnsi="Arial" w:eastAsia="Microsoft YaHei"/>
        </w:rPr>
        <w:t>9. 实务提醒</w:t>
      </w:r>
    </w:p>
    <w:p>
      <w:pPr>
        <w:pStyle w:val="ListBullet"/>
      </w:pPr>
      <w:r>
        <w:t>AU 可直接换汇比较；AG、CU 更建议同时看去税口径。</w:t>
      </w:r>
    </w:p>
    <w:p>
      <w:pPr>
        <w:pStyle w:val="ListBullet"/>
      </w:pPr>
      <w:r>
        <w:t>SC 与 CL 更适合做扩散/收敛监控，不应简单视为零均值强收敛。</w:t>
      </w:r>
    </w:p>
    <w:p>
      <w:pPr>
        <w:pStyle w:val="ListBullet"/>
      </w:pPr>
      <w:r>
        <w:t>主连适合监控趋势，不适合直接作为执行合约。</w:t>
      </w:r>
    </w:p>
    <w:p>
      <w:pPr>
        <w:pStyle w:val="ListBullet"/>
      </w:pPr>
      <w:r>
        <w:t>执行层必须使用 bid/ask，而不是 last price。</w:t>
      </w:r>
    </w:p>
    <w:p>
      <w:pPr>
        <w:pStyle w:val="ListBullet"/>
      </w:pPr>
      <w:r>
        <w:t>监控层与执行层要分离：监控追求稳定，执行强调可成交。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