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4F5C45"/>
          <w:sz w:val="44"/>
          <w:szCs w:val="44"/>
        </w:rPr>
        <w:t xml:space="preserve">THE HERITAGE READINESS MODEL</w:t>
      </w:r>
    </w:p>
    <w:p>
      <w:pPr>
        <w:spacing w:after="400"/>
      </w:pPr>
      <w:r>
        <w:rPr>
          <w:i/>
          <w:iCs/>
          <w:color w:val="4A4E42"/>
          <w:sz w:val="26"/>
          <w:szCs w:val="26"/>
        </w:rPr>
        <w:t xml:space="preserve">A working assessment methodology for traditional orchards and agricultural landscapes</w:t>
      </w:r>
    </w:p>
    <w:p>
      <w:pPr>
        <w:spacing w:after="60"/>
      </w:pPr>
      <w:r>
        <w:rPr>
          <w:b/>
          <w:bCs/>
          <w:sz w:val="24"/>
          <w:szCs w:val="24"/>
        </w:rPr>
        <w:t xml:space="preserve">Prepared for Professor Guy Bar-Oz</w:t>
      </w:r>
    </w:p>
    <w:p>
      <w:pPr>
        <w:spacing w:after="200"/>
      </w:pPr>
      <w:r>
        <w:rPr>
          <w:color w:val="4A4E42"/>
          <w:sz w:val="22"/>
          <w:szCs w:val="22"/>
        </w:rPr>
        <w:t xml:space="preserve">End-of-course assignment, with reflections on how your feedback and Gabi's feedback on our earlier TAXA and Cave Lion models shaped what this project became.</w:t>
      </w:r>
    </w:p>
    <w:p>
      <w:pPr>
        <w:spacing w:after="400"/>
      </w:pPr>
    </w:p>
    <w:p>
      <w:pPr>
        <w:pStyle w:val="Heading1"/>
        <w:spacing w:after="200" w:before="400"/>
      </w:pPr>
      <w:r>
        <w:t xml:space="preserve">Why this project exists</w:t>
      </w:r>
    </w:p>
    <w:p>
      <w:pPr>
        <w:spacing w:after="200"/>
      </w:pPr>
      <w:r>
        <w:t xml:space="preserve">This model exists to answer one honest question that is surprisingly hard to answer otherwise: is a specific heritage site actually ready for UNESCO recognition, and if not, what exactly is missing? Not a general sense of "this seems important," but a precise, evidence-graded answer, stage by stage, criterion by criterion.</w:t>
      </w:r>
    </w:p>
    <w:p>
      <w:pPr>
        <w:spacing w:after="200"/>
      </w:pPr>
      <w:r>
        <w:t xml:space="preserve">Mi'ilya's ancient olive orchards are the pilot case. But this document is also a record of how this project grew directly out of the feedback we received on our two earlier models, TAXA and the Cave Lion project, and specifically out of Gabi's written feedback on this model in its earlier form.</w:t>
      </w:r>
    </w:p>
    <w:p>
      <w:pPr>
        <w:pStyle w:val="Heading1"/>
        <w:spacing w:after="200" w:before="400"/>
      </w:pPr>
      <w:r>
        <w:t xml:space="preserve">What we learned from TAXA and the Cave Lion model</w:t>
      </w:r>
    </w:p>
    <w:p>
      <w:pPr>
        <w:spacing w:after="200"/>
      </w:pPr>
      <w:r>
        <w:t xml:space="preserve">Both earlier projects taught us something the Heritage Readiness Model was built to fix directly: a data structure is only valuable if it actually helps someone do real work, not just organize facts neatly. The skeleton and map interactivity in the Cave Lion model was genuinely well received, but it also raised a harder question that we carried directly into this project: what happens once the structure exists? Who fills it in, and how?</w:t>
      </w:r>
    </w:p>
    <w:p>
      <w:pPr>
        <w:pStyle w:val="Heading2"/>
        <w:spacing w:after="160" w:before="320"/>
      </w:pPr>
      <w:r>
        <w:t xml:space="preserve">Gabi's feedback, and how we answered it directly</w:t>
      </w:r>
    </w:p>
    <w:p>
      <w:pPr>
        <w:spacing w:after="200"/>
      </w:pPr>
      <w:r>
        <w:t xml:space="preserve">Gabi's written feedback on this model, while still in an early form, raised three specific, concrete questions. We want to address each one directly, not in general terms.</w:t>
      </w:r>
    </w:p>
    <w:p>
      <w:pPr>
        <w:spacing w:after="200"/>
      </w:pPr>
      <w:r>
        <w:rPr>
          <w:b/>
          <w:bCs/>
        </w:rPr>
        <w:t xml:space="preserve">Her first question: </w:t>
      </w:r>
      <w:r>
        <w:t xml:space="preserve">if she pastes in an article about cave lions, can the system add the data by itself, since it's hard to believe people will enter data manually?</w:t>
      </w:r>
    </w:p>
    <w:p>
      <w:pPr>
        <w:pBdr>
          <w:left w:val="single" w:color="4F5C45" w:sz="12" w:space="10"/>
        </w:pBdr>
        <w:spacing w:after="200" w:before="200"/>
        <w:ind w:left="500"/>
      </w:pPr>
      <w:r>
        <w:rPr>
          <w:i/>
          <w:iCs/>
          <w:color w:val="4A4E42"/>
        </w:rPr>
        <w:t xml:space="preserve">“אם אני מכניסה מאמר על אריה מערות, הוא לבד יכול להוסיף את הנתונים? כי קשה להאמין שאנשים יוסיפו בעצמם את הנתונים.”</w:t>
      </w:r>
    </w:p>
    <w:p>
      <w:pPr>
        <w:spacing w:after="200"/>
      </w:pPr>
      <w:r>
        <w:t xml:space="preserve">Our answer is not "fully automatic," and we do not think it should be. Every real citation in this entire project, from Al-Mihrass's nomination dossier to the actual ICOMOS evaluation of Serra de Tramuntana, was read directly by the AI, extracted, and entered with an honest confidence tag. This is exactly what she asked for: the AI does the reading and structuring, not a person copying numbers into a form by hand. The one deliberate difference from blind automation is that every piece of data still carries a tagged tier, verified evidence versus an unconfirmed lead, because for something as evidence-sensitive as a UNESCO case, knowing how confident we are matters as much as the fact itself.</w:t>
      </w:r>
    </w:p>
    <w:p>
      <w:pPr>
        <w:spacing w:after="200"/>
      </w:pPr>
      <w:r>
        <w:rPr>
          <w:b/>
          <w:bCs/>
        </w:rPr>
        <w:t xml:space="preserve">Her second question: </w:t>
      </w:r>
      <w:r>
        <w:t xml:space="preserve">can it simply be given free rein to search Google Scholar, pull the articles, and analyze the data itself?</w:t>
      </w:r>
    </w:p>
    <w:p>
      <w:pPr>
        <w:pBdr>
          <w:left w:val="single" w:color="4F5C45" w:sz="12" w:space="10"/>
        </w:pBdr>
        <w:spacing w:after="200" w:before="200"/>
        <w:ind w:left="500"/>
      </w:pPr>
      <w:r>
        <w:rPr>
          <w:i/>
          <w:iCs/>
          <w:color w:val="4A4E42"/>
        </w:rPr>
        <w:t xml:space="preserve">“האם אפשר פשוט לתת לו לעשות חיפוש חופשי בגוגל סקולר שהוא יוציא את המאמרים וינתח את הנתונים?”</w:t>
      </w:r>
    </w:p>
    <w:p>
      <w:pPr>
        <w:spacing w:after="200"/>
      </w:pPr>
      <w:r>
        <w:t xml:space="preserve">We did not build unsupervised scraping, there is a real accuracy risk in letting a model search and cite without anyone checking its work. What we built instead is the supervised version of exactly what she is describing. Across this entire project, the AI actively searched for and read primary sources directly: Al-Mihrass's full nomination file, Sebastia's Supplementary Information, Turkey's Committee decision, Guy Bar-Oz's own papers on ancient olive tree dating, and the real ICOMOS evaluation of Serra de Tramuntana, not summaries of these documents, the documents themselves. That is the literature-review work she is asking for, done directly, with every claim traceable back to where it came from.</w:t>
      </w:r>
    </w:p>
    <w:p>
      <w:pPr>
        <w:spacing w:after="200"/>
      </w:pPr>
      <w:r>
        <w:rPr>
          <w:b/>
          <w:bCs/>
        </w:rPr>
        <w:t xml:space="preserve">Her third question: </w:t>
      </w:r>
      <w:r>
        <w:t xml:space="preserve">beyond the skeleton, are other kinds of data considered, a map of dates, DNA data?</w:t>
      </w:r>
    </w:p>
    <w:p>
      <w:pPr>
        <w:pBdr>
          <w:left w:val="single" w:color="4F5C45" w:sz="12" w:space="10"/>
        </w:pBdr>
        <w:spacing w:after="200" w:before="200"/>
        <w:ind w:left="500"/>
      </w:pPr>
      <w:r>
        <w:rPr>
          <w:i/>
          <w:iCs/>
          <w:color w:val="4A4E42"/>
        </w:rPr>
        <w:t xml:space="preserve">“חוץ מחלקי השלד האם עוד נתונים נלקחים בחשבון? מפה של תאריכים? נתונים על דניר?”</w:t>
      </w:r>
    </w:p>
    <w:p>
      <w:pPr>
        <w:spacing w:after="200"/>
      </w:pPr>
      <w:r>
        <w:t xml:space="preserve">This one led us to an honest correction while preparing this document, and it is worth including here rather than smoothing over. Our data model has always had dedicated categories for scientific dating and genetic analysis, but while drafting this exact section, we checked our own database and found zero records actually using them for Mi'ilya. We had genuinely believed otherwise until we checked. Rather than backfill the gap with invented data, we built the honest structural answer instead: a real, visual Timeline feature, pulling every genuinely dated fact (a 1220s property record, a 1596 Ottoman tax register, an 1877 survey, a 1943 count) into one chronological view, directly answering her “map of dates” idea. The genetic and scientific-dating categories remain in the schema, ready the moment real data exists, honestly marked as not yet populated rather than quietly ignored.</w:t>
      </w:r>
    </w:p>
    <w:p>
      <w:r>
        <w:br w:type="page"/>
      </w:r>
    </w:p>
    <w:p>
      <w:pPr>
        <w:pStyle w:val="Heading1"/>
        <w:spacing w:after="200" w:before="400"/>
      </w:pPr>
      <w:r>
        <w:t xml:space="preserve">What the model actually does</w:t>
      </w:r>
    </w:p>
    <w:p>
      <w:pPr>
        <w:spacing w:after="200"/>
      </w:pPr>
      <w:r>
        <w:t xml:space="preserve">Three things, working together.</w:t>
      </w:r>
    </w:p>
    <w:p>
      <w:pPr>
        <w:pStyle w:val="Heading2"/>
        <w:spacing w:after="160" w:before="320"/>
      </w:pPr>
      <w:r>
        <w:t xml:space="preserve">1. It routes a site to the right path</w:t>
      </w:r>
    </w:p>
    <w:p>
      <w:pPr>
        <w:spacing w:after="200"/>
      </w:pPr>
      <w:r>
        <w:t xml:space="preserve">World Heritage, the ICH Representative List, and the ICH Urgent Safeguarding List are three different conventions with three different bars to clear. The model tracks a site against all three simultaneously, and is honest when the strongest path is not the one with the highest coverage percentage. A single failed gatekeeper, missing community consent, for example, overrides everything else, exactly as it would in a real UNESCO evaluation.</w:t>
      </w:r>
    </w:p>
    <w:p>
      <w:pPr>
        <w:pStyle w:val="Heading2"/>
        <w:spacing w:after="160" w:before="320"/>
      </w:pPr>
      <w:r>
        <w:t xml:space="preserve">2. It tells you what's missing, specifically, not just how much</w:t>
      </w:r>
    </w:p>
    <w:p>
      <w:pPr>
        <w:spacing w:after="200"/>
      </w:pPr>
      <w:r>
        <w:t xml:space="preserve">When no written recommendation exists yet for a path, the model does not leave a blank. It generates a real summary directly from the underlying stage data: which stages are fully documented, which have never been touched, and for each unanswered question, what a genuinely strong answer would contain, pulled from the same guidance a real reviewer would apply.</w:t>
      </w:r>
    </w:p>
    <w:p>
      <w:pPr>
        <w:pStyle w:val="Heading2"/>
        <w:spacing w:after="160" w:before="320"/>
      </w:pPr>
      <w:r>
        <w:t xml:space="preserve">3. It never blurs a lead with real evidence</w:t>
      </w:r>
    </w:p>
    <w:p>
      <w:pPr>
        <w:spacing w:after="200"/>
      </w:pPr>
      <w:r>
        <w:t xml:space="preserve">A newspaper mention is not the same as a verified citation from a primary source. Every fact in this model carries an honest tier. A lead can never, on its own, mark a question Ready. This discipline is the actual difference between a model that looks complete and one that is trustworthy.</w:t>
      </w:r>
    </w:p>
    <w:p>
      <w:pPr>
        <w:pStyle w:val="Heading1"/>
        <w:spacing w:after="200" w:before="400"/>
      </w:pPr>
      <w:r>
        <w:t xml:space="preserve">Why these four reference cases, and how we reverse-engineered them</w:t>
      </w:r>
    </w:p>
    <w:p>
      <w:pPr>
        <w:spacing w:after="200"/>
      </w:pPr>
      <w:r>
        <w:t xml:space="preserve">We did not pick four interesting UNESCO sites and summarize them. We started from Mi'ilya's own case, identified the specific, unresolved questions it raised, and then went looking for a real, already-decided case that had faced that exact question, reading the actual nomination file or Committee decision directly, not a secondhand summary.</w:t>
      </w:r>
    </w:p>
    <w:p>
      <w:pPr>
        <w:pStyle w:val="ListParagraph"/>
        <w:numPr>
          <w:ilvl w:val="0"/>
          <w:numId w:val="1"/>
        </w:numPr>
        <w:spacing w:after="100"/>
      </w:pPr>
      <w:r>
        <w:t xml:space="preserve">Al-Mihrass, Jordan, ICH Representative List: the closest possible precedent, same region, same subject, ancient olive trees, same path. We studied it to learn exactly what a successful file looks like, criterion by criterion, including the one criterion (R.2) that needed a dialogue round even in a strong file.</w:t>
      </w:r>
    </w:p>
    <w:p>
      <w:pPr>
        <w:pStyle w:val="ListParagraph"/>
        <w:numPr>
          <w:ilvl w:val="0"/>
          <w:numId w:val="1"/>
        </w:numPr>
        <w:spacing w:after="100"/>
      </w:pPr>
      <w:r>
        <w:t xml:space="preserve">Sebastia, Palestine, World Heritage emergency procedure: an active, still-pending nomination. Studied to understand what a genuinely threat-driven case looks like, and what real urgency requires in a dossier.</w:t>
      </w:r>
    </w:p>
    <w:p>
      <w:pPr>
        <w:pStyle w:val="ListParagraph"/>
        <w:numPr>
          <w:ilvl w:val="0"/>
          <w:numId w:val="1"/>
        </w:numPr>
        <w:spacing w:after="100"/>
      </w:pPr>
      <w:r>
        <w:t xml:space="preserve">Turkish olive cultivation, ICH Urgent Safeguarding: a genuinely different threat framing, production stays commercially viable while the traditional knowledge itself quietly erodes. Studied to capture that precise distinction, which does not appear in the other cases.</w:t>
      </w:r>
    </w:p>
    <w:p>
      <w:pPr>
        <w:pStyle w:val="ListParagraph"/>
        <w:numPr>
          <w:ilvl w:val="0"/>
          <w:numId w:val="1"/>
        </w:numPr>
        <w:spacing w:after="100"/>
      </w:pPr>
      <w:r>
        <w:t xml:space="preserve">Serra de Tramuntana, Spain, World Heritage cultural landscape: the specific precedent behind Mi'ilya's own combined winery-and-olive-orchard question. Reading the actual ICOMOS evaluation directly revealed a harder, more honest standard than we expected, proving historical crop integration is genuinely difficult, not simply a matter of listing both together.</w:t>
      </w:r>
    </w:p>
    <w:p>
      <w:pPr>
        <w:spacing w:after="200"/>
      </w:pPr>
      <w:r>
        <w:t xml:space="preserve">Each case exists in the model with the same rigor as Mi'ilya itself, its own real stage-by-stage answers, its own honestly tagged evidence, and its own recorded historical outcome, inscribed or not pursued, kept structurally separate from our own coverage percentages so the two are never confused.</w:t>
      </w:r>
    </w:p>
    <w:p>
      <w:r>
        <w:br w:type="page"/>
      </w:r>
    </w:p>
    <w:p>
      <w:pPr>
        <w:pStyle w:val="Heading1"/>
        <w:spacing w:after="200" w:before="400"/>
      </w:pPr>
      <w:r>
        <w:t xml:space="preserve">Ready for you to try directly</w:t>
      </w:r>
    </w:p>
    <w:p>
      <w:pPr>
        <w:spacing w:after="200"/>
      </w:pPr>
      <w:r>
        <w:t xml:space="preserve">Two features exist specifically so you can interact with this model yourself, not just read about it.</w:t>
      </w:r>
    </w:p>
    <w:p>
      <w:pPr>
        <w:pStyle w:val="Heading2"/>
        <w:spacing w:after="160" w:before="320"/>
      </w:pPr>
      <w:r>
        <w:t xml:space="preserve">Interview Mode</w:t>
      </w:r>
    </w:p>
    <w:p>
      <w:pPr>
        <w:spacing w:after="200"/>
      </w:pPr>
      <w:r>
        <w:t xml:space="preserve">A generated field script for a real conversation with a family member, a landowner, or a knowledge-holder. It pulls together everything that one conversation could genuinely resolve, filtered specifically to questions a person can actually answer (knowledge, livelihood, oral history), deliberately excluding questions that need measurement or surveying instead. It is live now, generated directly from the current state of the data.</w:t>
      </w:r>
    </w:p>
    <w:p>
      <w:pPr>
        <w:pStyle w:val="Heading2"/>
        <w:spacing w:after="160" w:before="320"/>
      </w:pPr>
      <w:r>
        <w:t xml:space="preserve">Submit Evidence, with your own passcode</w:t>
      </w:r>
    </w:p>
    <w:p>
      <w:pPr>
        <w:spacing w:after="200"/>
      </w:pPr>
      <w:r>
        <w:t xml:space="preserve">We built a genuinely secure way for you to add a real lead or source directly, without needing database access. Your passcode is: </w:t>
      </w:r>
    </w:p>
    <w:p>
      <w:pPr>
        <w:spacing w:after="200"/>
      </w:pPr>
      <w:r>
        <w:rPr>
          <w:rFonts w:ascii="Courier New" w:cs="Courier New" w:eastAsia="Courier New" w:hAnsi="Courier New"/>
          <w:b/>
          <w:bCs/>
          <w:color w:val="4F5C45"/>
          <w:sz w:val="24"/>
          <w:szCs w:val="24"/>
        </w:rPr>
        <w:t xml:space="preserve">guy-unesco-2026</w:t>
      </w:r>
    </w:p>
    <w:p>
      <w:pPr>
        <w:spacing w:after="200"/>
      </w:pPr>
      <w:r>
        <w:t xml:space="preserve">Anything you submit is attributed to your name automatically and enters a review queue, it is never published automatically, matching the same human-checked standard every other source in this project has been held to. We would genuinely value you trying this yourself and telling us what does or doesn't work.</w:t>
      </w:r>
    </w:p>
    <w:p>
      <w:pPr>
        <w:pStyle w:val="Heading1"/>
        <w:spacing w:after="200" w:before="400"/>
      </w:pPr>
      <w:r>
        <w:t xml:space="preserve">Where this goes from here</w:t>
      </w:r>
    </w:p>
    <w:p>
      <w:pPr>
        <w:spacing w:after="200"/>
      </w:pPr>
      <w:r>
        <w:t xml:space="preserve">Nothing in this model is Mi'ilya-specific. The stage structure, the evidence discipline, the auto-generated summaries, and the three-path guidance were built to onboard any orchard or heritage-tree site, olive, date palm, fig, pomegranate, grapevine, and walk it through the same rigorous path. Mi'ilya is the first real case this framework was tested against, not the limit of what it can hold.</w:t>
      </w:r>
    </w:p>
    <w:p>
      <w:pPr>
        <w:spacing w:after="200"/>
      </w:pPr>
      <w:r>
        <w:t xml:space="preserve">Given how directly your own research keeps intersecting with this project, your team's planned future fieldwork at Mi'ilya itself being one example, we see a genuine, natural next step: this framework could serve as a shared, standing readiness tracker for the wider Bostan team's own heritage-tree sites, not a one-off student project, but a tool that keeps being useful after this course ends.</w:t>
      </w:r>
    </w:p>
    <w:p>
      <w:pPr>
        <w:spacing w:after="200"/>
      </w:pPr>
      <w:r>
        <w:rPr>
          <w:i/>
          <w:iCs/>
          <w:color w:val="4A4E42"/>
        </w:rPr>
        <w:t xml:space="preserve">Thank you for the feedback that shaped this, both directly and through Gabi. We hope this document shows that feedback was taken seriously and acted on, not just acknowledged.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2026-09-13T06:46:48.331Z</dcterms:created>
  <dcterms:modified xsi:type="dcterms:W3CDTF">2026-09-13T06:46:48.340Z</dcterms:modified>
</cp:coreProperties>
</file>

<file path=docProps/custom.xml><?xml version="1.0" encoding="utf-8"?>
<Properties xmlns="http://schemas.openxmlformats.org/officeDocument/2006/custom-properties" xmlns:vt="http://schemas.openxmlformats.org/officeDocument/2006/docPropsVTypes"/>
</file>