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2563EB"/>
          <w:sz w:val="20"/>
        </w:rPr>
        <w:t>TÀI LIỆU HỌC TẬP</w:t>
      </w:r>
    </w:p>
    <w:p>
      <w:pPr>
        <w:spacing w:after="160"/>
      </w:pPr>
      <w:r>
        <w:rPr>
          <w:rFonts w:ascii="Arial" w:hAnsi="Arial"/>
          <w:b/>
          <w:color w:val="0F172A"/>
          <w:sz w:val="54"/>
        </w:rPr>
        <w:t>Định tuyến IP và giao thức OSPF</w:t>
      </w:r>
    </w:p>
    <w:p>
      <w:pPr>
        <w:spacing w:after="480"/>
      </w:pPr>
      <w:r>
        <w:rPr>
          <w:rFonts w:ascii="Arial" w:hAnsi="Arial"/>
          <w:i/>
          <w:color w:val="475569"/>
          <w:sz w:val="26"/>
        </w:rPr>
        <w:t>Nội dung dùng làm nguồn tìm kiếm trong ScholarFlow</w:t>
      </w:r>
    </w:p>
    <w:p>
      <w:pPr>
        <w:pStyle w:val="Heading1"/>
      </w:pPr>
      <w:r>
        <w:t>1. Mô hình trạng thái liên kết</w:t>
      </w:r>
    </w:p>
    <w:p>
      <w:r>
        <w:t>OSPF là giao thức định tuyến nội vùng theo mô hình trạng thái liên kết. Mỗi router quảng bá trạng thái các liên kết, xây dựng cơ sở dữ liệu topo giống nhau và chạy thuật toán Dijkstra để tạo cây đường đi ngắn nhất. Cụm neo: SF-OSPF-LINK-STATE-42.</w:t>
      </w:r>
    </w:p>
    <w:p>
      <w:r>
        <w:t>Chi phí OSPF thường liên quan đến băng thông giao diện. Tuyến có tổng chi phí nhỏ hơn được ưu tiên; số hop không phải tiêu chí duy nhất. Việc hội tụ nhanh đến từ cập nhật thay đổi trạng thái thay vì gửi toàn bộ bảng định tuyến định kỳ.</w:t>
      </w:r>
    </w:p>
    <w:p>
      <w:pPr>
        <w:pStyle w:val="Heading1"/>
      </w:pPr>
      <w:r>
        <w:t>2. So sánh giao thức</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vAlign w:val="center"/>
            <w:shd w:fill="E8EEF5"/>
          </w:tcPr>
          <w:p>
            <w:pPr>
              <w:spacing w:before="60" w:after="60"/>
              <w:jc w:val="left"/>
            </w:pPr>
            <w:r>
              <w:rPr>
                <w:rFonts w:ascii="Arial" w:hAnsi="Arial"/>
                <w:b/>
                <w:sz w:val="19"/>
              </w:rPr>
              <w:t>Giao thức</w:t>
            </w:r>
          </w:p>
        </w:tc>
        <w:tc>
          <w:tcPr>
            <w:tcW w:type="dxa" w:w="2880"/>
            <w:vAlign w:val="center"/>
            <w:shd w:fill="E8EEF5"/>
          </w:tcPr>
          <w:p>
            <w:pPr>
              <w:spacing w:before="60" w:after="60"/>
              <w:jc w:val="center"/>
            </w:pPr>
            <w:r>
              <w:rPr>
                <w:rFonts w:ascii="Arial" w:hAnsi="Arial"/>
                <w:b/>
                <w:sz w:val="19"/>
              </w:rPr>
              <w:t>Loại thuật toán</w:t>
            </w:r>
          </w:p>
        </w:tc>
        <w:tc>
          <w:tcPr>
            <w:tcW w:type="dxa" w:w="2160"/>
            <w:vAlign w:val="center"/>
            <w:shd w:fill="E8EEF5"/>
          </w:tcPr>
          <w:p>
            <w:pPr>
              <w:spacing w:before="60" w:after="60"/>
              <w:jc w:val="center"/>
            </w:pPr>
            <w:r>
              <w:rPr>
                <w:rFonts w:ascii="Arial" w:hAnsi="Arial"/>
                <w:b/>
                <w:sz w:val="19"/>
              </w:rPr>
              <w:t>Số đo chính</w:t>
            </w:r>
          </w:p>
        </w:tc>
        <w:tc>
          <w:tcPr>
            <w:tcW w:type="dxa" w:w="2592"/>
            <w:vAlign w:val="center"/>
            <w:shd w:fill="E8EEF5"/>
          </w:tcPr>
          <w:p>
            <w:pPr>
              <w:spacing w:before="60" w:after="60"/>
              <w:jc w:val="center"/>
            </w:pPr>
            <w:r>
              <w:rPr>
                <w:rFonts w:ascii="Arial" w:hAnsi="Arial"/>
                <w:b/>
                <w:sz w:val="19"/>
              </w:rPr>
              <w:t>Phạm vi</w:t>
            </w:r>
          </w:p>
        </w:tc>
      </w:tr>
      <w:tr>
        <w:tc>
          <w:tcPr>
            <w:tcW w:type="dxa" w:w="1728"/>
            <w:vAlign w:val="center"/>
          </w:tcPr>
          <w:p>
            <w:pPr>
              <w:spacing w:before="60" w:after="60"/>
              <w:jc w:val="left"/>
            </w:pPr>
            <w:r>
              <w:rPr>
                <w:rFonts w:ascii="Arial" w:hAnsi="Arial"/>
                <w:sz w:val="19"/>
              </w:rPr>
              <w:t>OSPF</w:t>
            </w:r>
          </w:p>
        </w:tc>
        <w:tc>
          <w:tcPr>
            <w:tcW w:type="dxa" w:w="2880"/>
            <w:vAlign w:val="center"/>
          </w:tcPr>
          <w:p>
            <w:pPr>
              <w:spacing w:before="60" w:after="60"/>
              <w:jc w:val="center"/>
            </w:pPr>
            <w:r>
              <w:rPr>
                <w:rFonts w:ascii="Arial" w:hAnsi="Arial"/>
                <w:sz w:val="19"/>
              </w:rPr>
              <w:t>Trạng thái liên kết</w:t>
            </w:r>
          </w:p>
        </w:tc>
        <w:tc>
          <w:tcPr>
            <w:tcW w:type="dxa" w:w="2160"/>
            <w:vAlign w:val="center"/>
          </w:tcPr>
          <w:p>
            <w:pPr>
              <w:spacing w:before="60" w:after="60"/>
              <w:jc w:val="center"/>
            </w:pPr>
            <w:r>
              <w:rPr>
                <w:rFonts w:ascii="Arial" w:hAnsi="Arial"/>
                <w:sz w:val="19"/>
              </w:rPr>
              <w:t>Tổng chi phí</w:t>
            </w:r>
          </w:p>
        </w:tc>
        <w:tc>
          <w:tcPr>
            <w:tcW w:type="dxa" w:w="2592"/>
            <w:vAlign w:val="center"/>
          </w:tcPr>
          <w:p>
            <w:pPr>
              <w:spacing w:before="60" w:after="60"/>
              <w:jc w:val="center"/>
            </w:pPr>
            <w:r>
              <w:rPr>
                <w:rFonts w:ascii="Arial" w:hAnsi="Arial"/>
                <w:sz w:val="19"/>
              </w:rPr>
              <w:t>Nội vùng</w:t>
            </w:r>
          </w:p>
        </w:tc>
      </w:tr>
      <w:tr>
        <w:tc>
          <w:tcPr>
            <w:tcW w:type="dxa" w:w="1728"/>
            <w:vAlign w:val="center"/>
          </w:tcPr>
          <w:p>
            <w:pPr>
              <w:spacing w:before="60" w:after="60"/>
              <w:jc w:val="left"/>
            </w:pPr>
            <w:r>
              <w:rPr>
                <w:rFonts w:ascii="Arial" w:hAnsi="Arial"/>
                <w:sz w:val="19"/>
              </w:rPr>
              <w:t>RIP</w:t>
            </w:r>
          </w:p>
        </w:tc>
        <w:tc>
          <w:tcPr>
            <w:tcW w:type="dxa" w:w="2880"/>
            <w:vAlign w:val="center"/>
          </w:tcPr>
          <w:p>
            <w:pPr>
              <w:spacing w:before="60" w:after="60"/>
              <w:jc w:val="center"/>
            </w:pPr>
            <w:r>
              <w:rPr>
                <w:rFonts w:ascii="Arial" w:hAnsi="Arial"/>
                <w:sz w:val="19"/>
              </w:rPr>
              <w:t>Vector khoảng cách</w:t>
            </w:r>
          </w:p>
        </w:tc>
        <w:tc>
          <w:tcPr>
            <w:tcW w:type="dxa" w:w="2160"/>
            <w:vAlign w:val="center"/>
          </w:tcPr>
          <w:p>
            <w:pPr>
              <w:spacing w:before="60" w:after="60"/>
              <w:jc w:val="center"/>
            </w:pPr>
            <w:r>
              <w:rPr>
                <w:rFonts w:ascii="Arial" w:hAnsi="Arial"/>
                <w:sz w:val="19"/>
              </w:rPr>
              <w:t>Số hop</w:t>
            </w:r>
          </w:p>
        </w:tc>
        <w:tc>
          <w:tcPr>
            <w:tcW w:type="dxa" w:w="2592"/>
            <w:vAlign w:val="center"/>
          </w:tcPr>
          <w:p>
            <w:pPr>
              <w:spacing w:before="60" w:after="60"/>
              <w:jc w:val="center"/>
            </w:pPr>
            <w:r>
              <w:rPr>
                <w:rFonts w:ascii="Arial" w:hAnsi="Arial"/>
                <w:sz w:val="19"/>
              </w:rPr>
              <w:t>Mạng nhỏ</w:t>
            </w:r>
          </w:p>
        </w:tc>
      </w:tr>
      <w:tr>
        <w:tc>
          <w:tcPr>
            <w:tcW w:type="dxa" w:w="1728"/>
            <w:vAlign w:val="center"/>
          </w:tcPr>
          <w:p>
            <w:pPr>
              <w:spacing w:before="60" w:after="60"/>
              <w:jc w:val="left"/>
            </w:pPr>
            <w:r>
              <w:rPr>
                <w:rFonts w:ascii="Arial" w:hAnsi="Arial"/>
                <w:sz w:val="19"/>
              </w:rPr>
              <w:t>BGP</w:t>
            </w:r>
          </w:p>
        </w:tc>
        <w:tc>
          <w:tcPr>
            <w:tcW w:type="dxa" w:w="2880"/>
            <w:vAlign w:val="center"/>
          </w:tcPr>
          <w:p>
            <w:pPr>
              <w:spacing w:before="60" w:after="60"/>
              <w:jc w:val="center"/>
            </w:pPr>
            <w:r>
              <w:rPr>
                <w:rFonts w:ascii="Arial" w:hAnsi="Arial"/>
                <w:sz w:val="19"/>
              </w:rPr>
              <w:t>Path vector</w:t>
            </w:r>
          </w:p>
        </w:tc>
        <w:tc>
          <w:tcPr>
            <w:tcW w:type="dxa" w:w="2160"/>
            <w:vAlign w:val="center"/>
          </w:tcPr>
          <w:p>
            <w:pPr>
              <w:spacing w:before="60" w:after="60"/>
              <w:jc w:val="center"/>
            </w:pPr>
            <w:r>
              <w:rPr>
                <w:rFonts w:ascii="Arial" w:hAnsi="Arial"/>
                <w:sz w:val="19"/>
              </w:rPr>
              <w:t>Thuộc tính đường đi</w:t>
            </w:r>
          </w:p>
        </w:tc>
        <w:tc>
          <w:tcPr>
            <w:tcW w:type="dxa" w:w="2592"/>
            <w:vAlign w:val="center"/>
          </w:tcPr>
          <w:p>
            <w:pPr>
              <w:spacing w:before="60" w:after="60"/>
              <w:jc w:val="center"/>
            </w:pPr>
            <w:r>
              <w:rPr>
                <w:rFonts w:ascii="Arial" w:hAnsi="Arial"/>
                <w:sz w:val="19"/>
              </w:rPr>
              <w:t>Liên miền</w:t>
            </w:r>
          </w:p>
        </w:tc>
      </w:tr>
    </w:tbl>
    <w:p>
      <w:r>
        <w:br w:type="page"/>
      </w:r>
    </w:p>
    <w:p>
      <w:pPr>
        <w:pStyle w:val="Heading1"/>
      </w:pPr>
      <w:r>
        <w:t>3. Bài toán chia subnet</w:t>
      </w:r>
    </w:p>
    <w:p>
      <w:r>
        <w:t>Với mạng 192.168.40.0/24, chia thành bốn subnet /26 tạo ra các địa chỉ mạng 192.168.40.0, 192.168.40.64, 192.168.40.128 và 192.168.40.192. Mỗi subnet có 62 địa chỉ host dùng được. Cụm neo: SF-SUBNET-FOUR-26.</w:t>
      </w:r>
    </w:p>
    <w:p>
      <w:pPr>
        <w:pStyle w:val="Heading1"/>
      </w:pPr>
      <w:r>
        <w:t>4. Thông tin nằm trong ảnh nhúng</w:t>
      </w:r>
    </w:p>
    <w:p>
      <w:r>
        <w:drawing>
          <wp:inline xmlns:a="http://schemas.openxmlformats.org/drawingml/2006/main" xmlns:pic="http://schemas.openxmlformats.org/drawingml/2006/picture">
            <wp:extent cx="5715000" cy="1755321"/>
            <wp:docPr id="1" name="Picture 1"/>
            <wp:cNvGraphicFramePr>
              <a:graphicFrameLocks noChangeAspect="1"/>
            </wp:cNvGraphicFramePr>
            <a:graphic>
              <a:graphicData uri="http://schemas.openxmlformats.org/drawingml/2006/picture">
                <pic:pic>
                  <pic:nvPicPr>
                    <pic:cNvPr id="0" name="docx_embedded_ospf.png"/>
                    <pic:cNvPicPr/>
                  </pic:nvPicPr>
                  <pic:blipFill>
                    <a:blip r:embed="rId11"/>
                    <a:stretch>
                      <a:fillRect/>
                    </a:stretch>
                  </pic:blipFill>
                  <pic:spPr>
                    <a:xfrm>
                      <a:off x="0" y="0"/>
                      <a:ext cx="5715000" cy="1755321"/>
                    </a:xfrm>
                    <a:prstGeom prst="rect"/>
                  </pic:spPr>
                </pic:pic>
              </a:graphicData>
            </a:graphic>
          </wp:inline>
        </w:drawing>
      </w:r>
    </w:p>
    <w:p>
      <w:r>
        <w:t>Hình 1. Ghi chú OSPF được nhúng dưới dạng ảnh để kiểm tra OCR trong DOCX.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ScholarFlow - Bộ dữ liệu kiểm thử tổng hợp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8"/>
      </w:rPr>
      <w:t>Mạng máy tính - Tài liệu thư viện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