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Quantile Summary by State</w:t>
      </w:r>
    </w:p>
    <w:p>
      <w:pPr>
        <w:pStyle w:val="Normal"/>
      </w:pPr>
      <w:r>
        <w:t xml:space="preserve">&lt;table&gt;
 &lt;thead&gt;
  &lt;tr&gt;
   &lt;th style="text-align:left;"&gt; state &lt;/th&gt;
   &lt;th style="text-align:left;"&gt; q50 &lt;/th&gt;
   &lt;th style="text-align:left;"&gt; q025 &lt;/th&gt;
   &lt;th style="text-align:left;"&gt; q975 &lt;/th&gt;
  &lt;/tr&gt;
 &lt;/thead&gt;
&lt;tbody&gt;
  &lt;tr&gt;
   &lt;td style="text-align:left;"&gt; Alabama &lt;/td&gt;
   &lt;td style="text-align:left;"&gt; 621,000 &lt;/td&gt;
   &lt;td style="text-align:left;"&gt; 541,000 &lt;/td&gt;
   &lt;td style="text-align:left;"&gt; 642,000 &lt;/td&gt;
  &lt;/tr&gt;
  &lt;tr&gt;
   &lt;td style="text-align:left;"&gt; Alaska &lt;/td&gt;
   &lt;td style="text-align:left;"&gt; 96,700 &lt;/td&gt;
   &lt;td style="text-align:left;"&gt; 83,900 &lt;/td&gt;
   &lt;td style="text-align:left;"&gt; 99,900 &lt;/td&gt;
  &lt;/tr&gt;
  &lt;tr&gt;
   &lt;td style="text-align:left;"&gt; Arizona &lt;/td&gt;
   &lt;td style="text-align:left;"&gt; 920,000 &lt;/td&gt;
   &lt;td style="text-align:left;"&gt; 802,000 &lt;/td&gt;
   &lt;td style="text-align:left;"&gt; 949,000 &lt;/td&gt;
  &lt;/tr&gt;
  &lt;tr&gt;
   &lt;td style="text-align:left;"&gt; Arkansas &lt;/td&gt;
   &lt;td style="text-align:left;"&gt; 381,000 &lt;/td&gt;
   &lt;td style="text-align:left;"&gt; 332,000 &lt;/td&gt;
   &lt;td style="text-align:left;"&gt; 394,000 &lt;/td&gt;
  &lt;/tr&gt;
  &lt;tr&gt;
   &lt;td style="text-align:left;"&gt; California &lt;/td&gt;
   &lt;td style="text-align:left;"&gt; 5,240,000 &lt;/td&gt;
   &lt;td style="text-align:left;"&gt; 4,570,000 &lt;/td&gt;
   &lt;td style="text-align:left;"&gt; 5,400,000 &lt;/td&gt;
  &lt;/tr&gt;
  &lt;tr&gt;
   &lt;td style="text-align:left;"&gt; Colorado &lt;/td&gt;
   &lt;td style="text-align:left;"&gt; 741,000 &lt;/td&gt;
   &lt;td style="text-align:left;"&gt; 646,000 &lt;/td&gt;
   &lt;td style="text-align:left;"&gt; 765,000 &lt;/td&gt;
  &lt;/tr&gt;
  &lt;tr&gt;
   &lt;td style="text-align:left;"&gt; Connecticut &lt;/td&gt;
   &lt;td style="text-align:left;"&gt; 461,000 &lt;/td&gt;
   &lt;td style="text-align:left;"&gt; 402,000 &lt;/td&gt;
   &lt;td style="text-align:left;"&gt; 477,000 &lt;/td&gt;
  &lt;/tr&gt;
  &lt;tr&gt;
   &lt;td style="text-align:left;"&gt; Delaware &lt;/td&gt;
   &lt;td style="text-align:left;"&gt; 121,000 &lt;/td&gt;
   &lt;td style="text-align:left;"&gt; 105,000 &lt;/td&gt;
   &lt;td style="text-align:left;"&gt; 125,000 &lt;/td&gt;
  &lt;/tr&gt;
  &lt;tr&gt;
   &lt;td style="text-align:left;"&gt; District of Columbia &lt;/td&gt;
   &lt;td style="text-align:left;"&gt; 98,800 &lt;/td&gt;
   &lt;td style="text-align:left;"&gt; 89,200 &lt;/td&gt;
   &lt;td style="text-align:left;"&gt; 104,000 &lt;/td&gt;
  &lt;/tr&gt;
  &lt;tr&gt;
   &lt;td style="text-align:left;"&gt; Florida &lt;/td&gt;
   &lt;td style="text-align:left;"&gt; 2,610,000 &lt;/td&gt;
   &lt;td style="text-align:left;"&gt; 2,270,000 &lt;/td&gt;
   &lt;td style="text-align:left;"&gt; 2,690,000 &lt;/td&gt;
  &lt;/tr&gt;
  &lt;tr&gt;
   &lt;td style="text-align:left;"&gt; Georgia &lt;/td&gt;
   &lt;td style="text-align:left;"&gt; 1,370,000 &lt;/td&gt;
   &lt;td style="text-align:left;"&gt; 1,190,000 &lt;/td&gt;
   &lt;td style="text-align:left;"&gt; 1,410,000 &lt;/td&gt;
  &lt;/tr&gt;
  &lt;tr&gt;
   &lt;td style="text-align:left;"&gt; Hawaii &lt;/td&gt;
   &lt;td style="text-align:left;"&gt; 178,000 &lt;/td&gt;
   &lt;td style="text-align:left;"&gt; 156,000 &lt;/td&gt;
   &lt;td style="text-align:left;"&gt; 184,000 &lt;/td&gt;
  &lt;/tr&gt;
  &lt;tr&gt;
   &lt;td style="text-align:left;"&gt; Idaho &lt;/td&gt;
   &lt;td style="text-align:left;"&gt; 220,000 &lt;/td&gt;
   &lt;td style="text-align:left;"&gt; 192,000 &lt;/td&gt;
   &lt;td style="text-align:left;"&gt; 228,000 &lt;/td&gt;
  &lt;/tr&gt;
  &lt;tr&gt;
   &lt;td style="text-align:left;"&gt; Illinois &lt;/td&gt;
   &lt;td style="text-align:left;"&gt; 1,660,000 &lt;/td&gt;
   &lt;td style="text-align:left;"&gt; 1,450,000 &lt;/td&gt;
   &lt;td style="text-align:left;"&gt; 1,710,000 &lt;/td&gt;
  &lt;/tr&gt;
  &lt;tr&gt;
   &lt;td style="text-align:left;"&gt; Indiana &lt;/td&gt;
   &lt;td style="text-align:left;"&gt; 866,000 &lt;/td&gt;
   &lt;td style="text-align:left;"&gt; 755,000 &lt;/td&gt;
   &lt;td style="text-align:left;"&gt; 895,000 &lt;/td&gt;
  &lt;/tr&gt;
  &lt;tr&gt;
   &lt;td style="text-align:left;"&gt; Iowa &lt;/td&gt;
   &lt;td style="text-align:left;"&gt; 402,000 &lt;/td&gt;
   &lt;td style="text-align:left;"&gt; 350,000 &lt;/td&gt;
   &lt;td style="text-align:left;"&gt; 416,000 &lt;/td&gt;
  &lt;/tr&gt;
  &lt;tr&gt;
   &lt;td style="text-align:left;"&gt; Kansas &lt;/td&gt;
   &lt;td style="text-align:left;"&gt; 379,000 &lt;/td&gt;
   &lt;td style="text-align:left;"&gt; 330,000 &lt;/td&gt;
   &lt;td style="text-align:left;"&gt; 392,000 &lt;/td&gt;
  &lt;/tr&gt;
  &lt;tr&gt;
   &lt;td style="text-align:left;"&gt; Kentucky &lt;/td&gt;
   &lt;td style="text-align:left;"&gt; 570,000 &lt;/td&gt;
   &lt;td style="text-align:left;"&gt; 497,000 &lt;/td&gt;
   &lt;td style="text-align:left;"&gt; 589,000 &lt;/td&gt;
  &lt;/tr&gt;
  &lt;tr&gt;
   &lt;td style="text-align:left;"&gt; Louisiana &lt;/td&gt;
   &lt;td style="text-align:left;"&gt; 600,000 &lt;/td&gt;
   &lt;td style="text-align:left;"&gt; 523,000 &lt;/td&gt;
   &lt;td style="text-align:left;"&gt; 620,000 &lt;/td&gt;
  &lt;/tr&gt;
  &lt;tr&gt;
   &lt;td style="text-align:left;"&gt; Maine &lt;/td&gt;
   &lt;td style="text-align:left;"&gt; 163,000 &lt;/td&gt;
   &lt;td style="text-align:left;"&gt; 142,000 &lt;/td&gt;
   &lt;td style="text-align:left;"&gt; 169,000 &lt;/td&gt;
  &lt;/tr&gt;
  &lt;tr&gt;
   &lt;td style="text-align:left;"&gt; Maryland &lt;/td&gt;
   &lt;td style="text-align:left;"&gt; 770,000 &lt;/td&gt;
   &lt;td style="text-align:left;"&gt; 671,000 &lt;/td&gt;
   &lt;td style="text-align:left;"&gt; 795,000 &lt;/td&gt;
  &lt;/tr&gt;
  &lt;tr&gt;
   &lt;td style="text-align:left;"&gt; Massachusetts &lt;/td&gt;
   &lt;td style="text-align:left;"&gt; 901,000 &lt;/td&gt;
   &lt;td style="text-align:left;"&gt; 785,000 &lt;/td&gt;
   &lt;td style="text-align:left;"&gt; 930,000 &lt;/td&gt;
  &lt;/tr&gt;
  &lt;tr&gt;
   &lt;td style="text-align:left;"&gt; Michigan &lt;/td&gt;
   &lt;td style="text-align:left;"&gt; 1,290,000 &lt;/td&gt;
   &lt;td style="text-align:left;"&gt; 1,120,000 &lt;/td&gt;
   &lt;td style="text-align:left;"&gt; 1,330,000 &lt;/td&gt;
  &lt;/tr&gt;
  &lt;tr&gt;
   &lt;td style="text-align:left;"&gt; Minnesota &lt;/td&gt;
   &lt;td style="text-align:left;"&gt; 711,000 &lt;/td&gt;
   &lt;td style="text-align:left;"&gt; 620,000 &lt;/td&gt;
   &lt;td style="text-align:left;"&gt; 733,000 &lt;/td&gt;
  &lt;/tr&gt;
  &lt;tr&gt;
   &lt;td style="text-align:left;"&gt; Mississippi &lt;/td&gt;
   &lt;td style="text-align:left;"&gt; 385,000 &lt;/td&gt;
   &lt;td style="text-align:left;"&gt; 336,000 &lt;/td&gt;
   &lt;td style="text-align:left;"&gt; 399,000 &lt;/td&gt;
  &lt;/tr&gt;
  &lt;tr&gt;
   &lt;td style="text-align:left;"&gt; Missouri &lt;/td&gt;
   &lt;td style="text-align:left;"&gt; 783,000 &lt;/td&gt;
   &lt;td style="text-align:left;"&gt; 682,000 &lt;/td&gt;
   &lt;td style="text-align:left;"&gt; 809,000 &lt;/td&gt;
  &lt;/tr&gt;
  &lt;tr&gt;
   &lt;td style="text-align:left;"&gt; Montana &lt;/td&gt;
   &lt;td style="text-align:left;"&gt; 132,000 &lt;/td&gt;
   &lt;td style="text-align:left;"&gt; 115,000 &lt;/td&gt;
   &lt;td style="text-align:left;"&gt; 137,000 &lt;/td&gt;
  &lt;/tr&gt;
  &lt;tr&gt;
   &lt;td style="text-align:left;"&gt; Nebraska &lt;/td&gt;
   &lt;td style="text-align:left;"&gt; 247,000 &lt;/td&gt;
   &lt;td style="text-align:left;"&gt; 215,000 &lt;/td&gt;
   &lt;td style="text-align:left;"&gt; 255,000 &lt;/td&gt;
  &lt;/tr&gt;
  &lt;tr&gt;
   &lt;td style="text-align:left;"&gt; Nevada &lt;/td&gt;
   &lt;td style="text-align:left;"&gt; 381,000 &lt;/td&gt;
   &lt;td style="text-align:left;"&gt; 332,000 &lt;/td&gt;
   &lt;td style="text-align:left;"&gt; 393,000 &lt;/td&gt;
  &lt;/tr&gt;
  &lt;tr&gt;
   &lt;td style="text-align:left;"&gt; New Hampshire &lt;/td&gt;
   &lt;td style="text-align:left;"&gt; 172,000 &lt;/td&gt;
   &lt;td style="text-align:left;"&gt; 150,000 &lt;/td&gt;
   &lt;td style="text-align:left;"&gt; 177,000 &lt;/td&gt;
  &lt;/tr&gt;
  &lt;tr&gt;
   &lt;td style="text-align:left;"&gt; New Jersey &lt;/td&gt;
   &lt;td style="text-align:left;"&gt; 1,120,000 &lt;/td&gt;
   &lt;td style="text-align:left;"&gt; 980,000 &lt;/td&gt;
   &lt;td style="text-align:left;"&gt; 1,160,000 &lt;/td&gt;
  &lt;/tr&gt;
  &lt;tr&gt;
   &lt;td style="text-align:left;"&gt; New Mexico &lt;/td&gt;
   &lt;td style="text-align:left;"&gt; 269,000 &lt;/td&gt;
   &lt;td style="text-align:left;"&gt; 235,000 &lt;/td&gt;
   &lt;td style="text-align:left;"&gt; 278,000 &lt;/td&gt;
  &lt;/tr&gt;
  &lt;tr&gt;
   &lt;td style="text-align:left;"&gt; New York &lt;/td&gt;
   &lt;td style="text-align:left;"&gt; 2,540,000 &lt;/td&gt;
   &lt;td style="text-align:left;"&gt; 2,210,000 &lt;/td&gt;
   &lt;td style="text-align:left;"&gt; 2,620,000 &lt;/td&gt;
  &lt;/tr&gt;
  &lt;tr&gt;
   &lt;td style="text-align:left;"&gt; North Carolina &lt;/td&gt;
   &lt;td style="text-align:left;"&gt; 1,320,000 &lt;/td&gt;
   &lt;td style="text-align:left;"&gt; 1,150,000 &lt;/td&gt;
   &lt;td style="text-align:left;"&gt; 1,370,000 &lt;/td&gt;
  &lt;/tr&gt;
  &lt;tr&gt;
   &lt;td style="text-align:left;"&gt; North Dakota &lt;/td&gt;
   &lt;td style="text-align:left;"&gt; 99,800 &lt;/td&gt;
   &lt;td style="text-align:left;"&gt; 86,900 &lt;/td&gt;
   &lt;td style="text-align:left;"&gt; 103,000 &lt;/td&gt;
  &lt;/tr&gt;
  &lt;tr&gt;
   &lt;td style="text-align:left;"&gt; Ohio &lt;/td&gt;
   &lt;td style="text-align:left;"&gt; 1,490,000 &lt;/td&gt;
   &lt;td style="text-align:left;"&gt; 1,300,000 &lt;/td&gt;
   &lt;td style="text-align:left;"&gt; 1,540,000 &lt;/td&gt;
  &lt;/tr&gt;
  &lt;tr&gt;
   &lt;td style="text-align:left;"&gt; Oklahoma &lt;/td&gt;
   &lt;td style="text-align:left;"&gt; 509,000 &lt;/td&gt;
   &lt;td style="text-align:left;"&gt; 444,000 &lt;/td&gt;
   &lt;td style="text-align:left;"&gt; 526,000 &lt;/td&gt;
  &lt;/tr&gt;
  &lt;tr&gt;
   &lt;td style="text-align:left;"&gt; Oregon &lt;/td&gt;
   &lt;td style="text-align:left;"&gt; 530,000 &lt;/td&gt;
   &lt;td style="text-align:left;"&gt; 462,000 &lt;/td&gt;
   &lt;td style="text-align:left;"&gt; 546,000 &lt;/td&gt;
  &lt;/tr&gt;
  &lt;tr&gt;
   &lt;td style="text-align:left;"&gt; Pennsylvania &lt;/td&gt;
   &lt;td style="text-align:left;"&gt; 1,630,000 &lt;/td&gt;
   &lt;td style="text-align:left;"&gt; 1,420,000 &lt;/td&gt;
   &lt;td style="text-align:left;"&gt; 1,680,000 &lt;/td&gt;
  &lt;/tr&gt;
  &lt;tr&gt;
   &lt;td style="text-align:left;"&gt; Puerto Rico &lt;/td&gt;
   &lt;td style="text-align:left;"&gt; 0 &lt;/td&gt;
   &lt;td style="text-align:left;"&gt; 0 &lt;/td&gt;
   &lt;td style="text-align:left;"&gt; 0 &lt;/td&gt;
  &lt;/tr&gt;
  &lt;tr&gt;
   &lt;td style="text-align:left;"&gt; Rhode Island &lt;/td&gt;
   &lt;td style="text-align:left;"&gt; 140,000 &lt;/td&gt;
   &lt;td style="text-align:left;"&gt; 122,000 &lt;/td&gt;
   &lt;td style="text-align:left;"&gt; 144,000 &lt;/td&gt;
  &lt;/tr&gt;
  &lt;tr&gt;
   &lt;td style="text-align:left;"&gt; South Carolina &lt;/td&gt;
   &lt;td style="text-align:left;"&gt; 638,000 &lt;/td&gt;
   &lt;td style="text-align:left;"&gt; 555,000 &lt;/td&gt;
   &lt;td style="text-align:left;"&gt; 660,000 &lt;/td&gt;
  &lt;/tr&gt;
  &lt;tr&gt;
   &lt;td style="text-align:left;"&gt; South Dakota &lt;/td&gt;
   &lt;td style="text-align:left;"&gt; 110,000 &lt;/td&gt;
   &lt;td style="text-align:left;"&gt; 95,700 &lt;/td&gt;
   &lt;td style="text-align:left;"&gt; 114,000 &lt;/td&gt;
  &lt;/tr&gt;
  &lt;tr&gt;
   &lt;td style="text-align:left;"&gt; Tennessee &lt;/td&gt;
   &lt;td style="text-align:left;"&gt; 859,000 &lt;/td&gt;
   &lt;td style="text-align:left;"&gt; 749,000 &lt;/td&gt;
   &lt;td style="text-align:left;"&gt; 888,000 &lt;/td&gt;
  &lt;/tr&gt;
  &lt;tr&gt;
   &lt;td style="text-align:left;"&gt; Texas &lt;/td&gt;
   &lt;td style="text-align:left;"&gt; 3,770,000 &lt;/td&gt;
   &lt;td style="text-align:left;"&gt; 3,280,000 &lt;/td&gt;
   &lt;td style="text-align:left;"&gt; 3,880,000 &lt;/td&gt;
  &lt;/tr&gt;
  &lt;tr&gt;
   &lt;td style="text-align:left;"&gt; Utah &lt;/td&gt;
   &lt;td style="text-align:left;"&gt; 424,000 &lt;/td&gt;
   &lt;td style="text-align:left;"&gt; 370,000 &lt;/td&gt;
   &lt;td style="text-align:left;"&gt; 438,000 &lt;/td&gt;
  &lt;/tr&gt;
  &lt;tr&gt;
   &lt;td style="text-align:left;"&gt; Vermont &lt;/td&gt;
   &lt;td style="text-align:left;"&gt; 81,000 &lt;/td&gt;
   &lt;td style="text-align:left;"&gt; 70,600 &lt;/td&gt;
   &lt;td style="text-align:left;"&gt; 83,700 &lt;/td&gt;
  &lt;/tr&gt;
  &lt;tr&gt;
   &lt;td style="text-align:left;"&gt; Virginia &lt;/td&gt;
   &lt;td style="text-align:left;"&gt; 1,100,000 &lt;/td&gt;
   &lt;td style="text-align:left;"&gt; 957,000 &lt;/td&gt;
   &lt;td style="text-align:left;"&gt; 1,130,000 &lt;/td&gt;
  &lt;/tr&gt;
  &lt;tr&gt;
   &lt;td style="text-align:left;"&gt; Washington &lt;/td&gt;
   &lt;td style="text-align:left;"&gt; 957,000 &lt;/td&gt;
   &lt;td style="text-align:left;"&gt; 834,000 &lt;/td&gt;
   &lt;td style="text-align:left;"&gt; 987,000 &lt;/td&gt;
  &lt;/tr&gt;
  &lt;tr&gt;
   &lt;td style="text-align:left;"&gt; West Virginia &lt;/td&gt;
   &lt;td style="text-align:left;"&gt; 224,000 &lt;/td&gt;
   &lt;td style="text-align:left;"&gt; 195,000 &lt;/td&gt;
   &lt;td style="text-align:left;"&gt; 232,000 &lt;/td&gt;
  &lt;/tr&gt;
  &lt;tr&gt;
   &lt;td style="text-align:left;"&gt; Wisconsin &lt;/td&gt;
   &lt;td style="text-align:left;"&gt; 739,000 &lt;/td&gt;
   &lt;td style="text-align:left;"&gt; 644,000 &lt;/td&gt;
   &lt;td style="text-align:left;"&gt; 764,000 &lt;/td&gt;
  &lt;/tr&gt;
  &lt;tr&gt;
   &lt;td style="text-align:left;"&gt; Wyoming &lt;/td&gt;
   &lt;td style="text-align:left;"&gt; 74,000 &lt;/td&gt;
   &lt;td style="text-align:left;"&gt; 64,400 &lt;/td&gt;
   &lt;td style="text-align:left;"&gt; 76,500 &lt;/td&gt;
  &lt;/tr&gt;
&lt;/tbody&gt;
&lt;/table&gt;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minttu</cp:lastModifiedBy>
  <cp:revision>9</cp:revision>
  <dcterms:created xsi:type="dcterms:W3CDTF">2017-02-28T11:18:00Z</dcterms:created>
  <dcterms:modified xsi:type="dcterms:W3CDTF">2024-08-28T15:30:30Z</dcterms:modified>
  <cp:category/>
</cp:coreProperties>
</file>