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p>
    <w:p>
      <w:pPr>
        <w:spacing w:after="40"/>
      </w:pPr>
      <w:r>
        <w:rPr>
          <w:b/>
          <w:color w:val="0B6E55"/>
          <w:sz w:val="16"/>
        </w:rPr>
        <w:t>CODE CLEANSE - REFERENCE DOCUMENT</w:t>
      </w:r>
    </w:p>
    <w:p>
      <w:pPr>
        <w:pStyle w:val="Title"/>
        <w:spacing w:after="40"/>
      </w:pPr>
      <w:r>
        <w:t>Database</w:t>
      </w:r>
    </w:p>
    <w:p>
      <w:pPr>
        <w:spacing w:after="40"/>
      </w:pPr>
      <w:r>
        <w:rPr>
          <w:i w:val="0"/>
          <w:color w:val="5E6B65"/>
          <w:sz w:val="20"/>
        </w:rPr>
        <w:t>Four repositories, one schema  -  who touches it and what breaks</w:t>
      </w:r>
    </w:p>
    <w:p>
      <w:pPr>
        <w:spacing w:after="200"/>
      </w:pPr>
      <w:r>
        <w:rPr>
          <w:i w:val="0"/>
          <w:color w:val="5E6B65"/>
          <w:sz w:val="17"/>
        </w:rPr>
        <w:t>Revision 1 - measured 3 September 2026, at commit 41e1d18</w:t>
      </w:r>
    </w:p>
    <w:p>
      <w:pPr>
        <w:spacing w:after="160"/>
      </w:pPr>
      <w:r>
        <w:rPr>
          <w:sz w:val="19"/>
        </w:rPr>
        <w:t>Minty and billing-backend are two applications on ONE database. Both connect with search_path=pettycashv2,public - Minty through SQLALCHEMY_DATABASE_URI, billing-backend through config/settings.py:74 - and billing-backend mirrors six Minty-owned tables with managed = False so Django will never migrate them. That arrangement works, but it has a sharp edge: a column change in Minty cannot fail billing-backend's migrations, because billing-backend has no migrations for those tables. It fails at runtime instead, in whichever request happens to touch the column first.</w:t>
      </w:r>
    </w:p>
    <w:p>
      <w:pPr>
        <w:spacing w:after="160"/>
      </w:pPr>
      <w:r>
        <w:rPr>
          <w:sz w:val="19"/>
        </w:rPr>
        <w:t>This document exists so that a schema change can be planned against the code rather than discovered by it. It lists every file that depends on the database, ordered by how badly it depends. Unlike the four repository work documents, it lists files whether or not they have lint findings - a clean file that owns a table still matters the day the column moves.</w:t>
      </w:r>
    </w:p>
    <w:p>
      <w:pPr>
        <w:pStyle w:val="Heading1"/>
      </w:pPr>
      <w:r>
        <w:t>How to read the tiers</w:t>
      </w:r>
    </w:p>
    <w:tbl>
      <w:tblPr>
        <w:tblStyle w:val="TableGrid"/>
        <w:tblW w:type="auto" w:w="0"/>
        <w:tblLayout w:type="fixed"/>
        <w:tblLook w:firstColumn="1" w:firstRow="1" w:lastColumn="0" w:lastRow="0" w:noHBand="0" w:noVBand="1" w:val="04A0"/>
      </w:tblPr>
      <w:tblGrid>
        <w:gridCol w:w="5112"/>
        <w:gridCol w:w="5112"/>
      </w:tblGrid>
      <w:tr>
        <w:tc>
          <w:tcPr>
            <w:tcW w:type="dxa" w:w="1440"/>
            <w:shd w:val="clear" w:fill="EFF2EF"/>
          </w:tcPr>
          <w:p>
            <w:r>
              <w:rPr>
                <w:b/>
                <w:sz w:val="17"/>
              </w:rPr>
              <w:t>Tier</w:t>
            </w:r>
          </w:p>
        </w:tc>
        <w:tc>
          <w:tcPr>
            <w:tcW w:type="dxa" w:w="8640"/>
            <w:shd w:val="clear" w:fill="EFF2EF"/>
          </w:tcPr>
          <w:p>
            <w:r>
              <w:rPr>
                <w:b/>
                <w:sz w:val="17"/>
              </w:rPr>
              <w:t>What it means</w:t>
            </w:r>
          </w:p>
        </w:tc>
      </w:tr>
      <w:tr>
        <w:tc>
          <w:tcPr>
            <w:tcW w:type="dxa" w:w="1440"/>
          </w:tcPr>
          <w:p>
            <w:r>
              <w:rPr>
                <w:color w:val="B23A2E"/>
                <w:sz w:val="17"/>
              </w:rPr>
              <w:t>RAW SQL</w:t>
            </w:r>
          </w:p>
        </w:tc>
        <w:tc>
          <w:tcPr>
            <w:tcW w:type="dxa" w:w="8640"/>
          </w:tcPr>
          <w:p>
            <w:r>
              <w:rPr>
                <w:sz w:val="17"/>
              </w:rPr>
              <w:t>Builds or executes SQL as text. Invisible to a model refactor and to any IDE rename. If the table name is not schema-qualified it also depends on search_path being right. Highest risk tier.</w:t>
            </w:r>
          </w:p>
        </w:tc>
      </w:tr>
      <w:tr>
        <w:tc>
          <w:tcPr>
            <w:tcW w:type="dxa" w:w="1440"/>
          </w:tcPr>
          <w:p>
            <w:r>
              <w:rPr>
                <w:color w:val="141A17"/>
                <w:sz w:val="17"/>
              </w:rPr>
              <w:t>MODEL</w:t>
            </w:r>
          </w:p>
        </w:tc>
        <w:tc>
          <w:tcPr>
            <w:tcW w:type="dxa" w:w="8640"/>
          </w:tcPr>
          <w:p>
            <w:r>
              <w:rPr>
                <w:sz w:val="17"/>
              </w:rPr>
              <w:t>Declares a table. Changing a column here is a migration, not a refactor.</w:t>
            </w:r>
          </w:p>
        </w:tc>
      </w:tr>
      <w:tr>
        <w:tc>
          <w:tcPr>
            <w:tcW w:type="dxa" w:w="1440"/>
          </w:tcPr>
          <w:p>
            <w:r>
              <w:rPr>
                <w:color w:val="5E6B65"/>
                <w:sz w:val="17"/>
              </w:rPr>
              <w:t>ORM</w:t>
            </w:r>
          </w:p>
        </w:tc>
        <w:tc>
          <w:tcPr>
            <w:tcW w:type="dxa" w:w="8640"/>
          </w:tcPr>
          <w:p>
            <w:r>
              <w:rPr>
                <w:sz w:val="17"/>
              </w:rPr>
              <w:t>Reads or writes through the ORM/session. Survives a rename of the Python attribute; breaks when the underlying column is dropped.</w:t>
            </w:r>
          </w:p>
        </w:tc>
      </w:tr>
      <w:tr>
        <w:tc>
          <w:tcPr>
            <w:tcW w:type="dxa" w:w="1440"/>
          </w:tcPr>
          <w:p>
            <w:r>
              <w:rPr>
                <w:color w:val="0B6E55"/>
                <w:sz w:val="17"/>
              </w:rPr>
              <w:t>PLUMBING</w:t>
            </w:r>
          </w:p>
        </w:tc>
        <w:tc>
          <w:tcPr>
            <w:tcW w:type="dxa" w:w="8640"/>
          </w:tcPr>
          <w:p>
            <w:r>
              <w:rPr>
                <w:sz w:val="17"/>
              </w:rPr>
              <w:t>Engine, session, search_path, connection URI, Alembic wiring. Few files, but they decide which database everything else talks to.</w:t>
            </w:r>
          </w:p>
        </w:tc>
      </w:tr>
    </w:tbl>
    <w:p>
      <w:pPr>
        <w:spacing w:after="40"/>
      </w:pPr>
    </w:p>
    <w:p>
      <w:pPr>
        <w:pStyle w:val="Heading1"/>
      </w:pPr>
      <w:r>
        <w:t>The shared surface: tables Minty owns and billing-backend uses</w:t>
      </w:r>
    </w:p>
    <w:p>
      <w:pPr>
        <w:spacing w:after="160"/>
      </w:pPr>
      <w:r>
        <w:rPr>
          <w:sz w:val="19"/>
        </w:rPr>
        <w:t>These are the tables Minty owns and billing-backend reads through Django models marked managed = False. Four of the seven are also WRITTEN from billing-backend, and three of those carry docstrings calling themselves read-only. That contradiction is the single most important thing in this document: the declared contract and the actual behaviour disagree, across a repository boundary, on tables another application owns.</w:t>
      </w:r>
    </w:p>
    <w:tbl>
      <w:tblPr>
        <w:tblStyle w:val="TableGrid"/>
        <w:tblW w:type="auto" w:w="0"/>
        <w:tblLayout w:type="fixed"/>
        <w:tblLook w:firstColumn="1" w:firstRow="1" w:lastColumn="0" w:lastRow="0" w:noHBand="0" w:noVBand="1" w:val="04A0"/>
      </w:tblPr>
      <w:tblGrid>
        <w:gridCol w:w="2556"/>
        <w:gridCol w:w="2556"/>
        <w:gridCol w:w="2556"/>
        <w:gridCol w:w="2556"/>
      </w:tblGrid>
      <w:tr>
        <w:tc>
          <w:tcPr>
            <w:tcW w:type="dxa" w:w="1800"/>
            <w:shd w:val="clear" w:fill="EFF2EF"/>
          </w:tcPr>
          <w:p>
            <w:r>
              <w:rPr>
                <w:b/>
                <w:sz w:val="17"/>
              </w:rPr>
              <w:t>Table</w:t>
            </w:r>
          </w:p>
        </w:tc>
        <w:tc>
          <w:tcPr>
            <w:tcW w:type="dxa" w:w="2160"/>
            <w:shd w:val="clear" w:fill="EFF2EF"/>
          </w:tcPr>
          <w:p>
            <w:r>
              <w:rPr>
                <w:b/>
                <w:sz w:val="17"/>
              </w:rPr>
              <w:t>Declared in</w:t>
            </w:r>
          </w:p>
        </w:tc>
        <w:tc>
          <w:tcPr>
            <w:tcW w:type="dxa" w:w="2232"/>
            <w:shd w:val="clear" w:fill="EFF2EF"/>
          </w:tcPr>
          <w:p>
            <w:r>
              <w:rPr>
                <w:b/>
                <w:sz w:val="17"/>
              </w:rPr>
              <w:t>Posture</w:t>
            </w:r>
          </w:p>
        </w:tc>
        <w:tc>
          <w:tcPr>
            <w:tcW w:type="dxa" w:w="3888"/>
            <w:shd w:val="clear" w:fill="EFF2EF"/>
          </w:tcPr>
          <w:p>
            <w:r>
              <w:rPr>
                <w:b/>
                <w:sz w:val="17"/>
              </w:rPr>
              <w:t>Where billing-backend touches it</w:t>
            </w:r>
          </w:p>
        </w:tc>
      </w:tr>
      <w:tr>
        <w:tc>
          <w:tcPr>
            <w:tcW w:type="dxa" w:w="1800"/>
          </w:tcPr>
          <w:p>
            <w:r>
              <w:rPr>
                <w:rFonts w:ascii="Consolas" w:hAnsi="Consolas"/>
                <w:sz w:val="15"/>
              </w:rPr>
              <w:t>user</w:t>
            </w:r>
          </w:p>
        </w:tc>
        <w:tc>
          <w:tcPr>
            <w:tcW w:type="dxa" w:w="2160"/>
          </w:tcPr>
          <w:p>
            <w:r>
              <w:rPr>
                <w:rFonts w:ascii="Consolas" w:hAnsi="Consolas"/>
                <w:sz w:val="15"/>
              </w:rPr>
              <w:t>shared_models/models.py</w:t>
            </w:r>
          </w:p>
        </w:tc>
        <w:tc>
          <w:tcPr>
            <w:tcW w:type="dxa" w:w="2232"/>
          </w:tcPr>
          <w:p>
            <w:r>
              <w:rPr>
                <w:color w:val="B23A2E"/>
                <w:sz w:val="16"/>
              </w:rPr>
              <w:t>WRITTEN - and the docstring says 'Read-only mirror'</w:t>
            </w:r>
          </w:p>
        </w:tc>
        <w:tc>
          <w:tcPr>
            <w:tcW w:type="dxa" w:w="3888"/>
          </w:tcPr>
          <w:p>
            <w:r>
              <w:rPr>
                <w:sz w:val="16"/>
              </w:rPr>
              <w:t>profile_service.py:92 user.save(); api_profile.py raw UPDATE "user"; api_session.py sets signed_in_at / last_seen_at</w:t>
            </w:r>
          </w:p>
        </w:tc>
      </w:tr>
      <w:tr>
        <w:tc>
          <w:tcPr>
            <w:tcW w:type="dxa" w:w="1800"/>
          </w:tcPr>
          <w:p>
            <w:r>
              <w:rPr>
                <w:rFonts w:ascii="Consolas" w:hAnsi="Consolas"/>
                <w:sz w:val="15"/>
              </w:rPr>
              <w:t>xero_contact_sync</w:t>
            </w:r>
          </w:p>
        </w:tc>
        <w:tc>
          <w:tcPr>
            <w:tcW w:type="dxa" w:w="2160"/>
          </w:tcPr>
          <w:p>
            <w:r>
              <w:rPr>
                <w:rFonts w:ascii="Consolas" w:hAnsi="Consolas"/>
                <w:sz w:val="15"/>
              </w:rPr>
              <w:t>shared_models/models.py</w:t>
            </w:r>
          </w:p>
        </w:tc>
        <w:tc>
          <w:tcPr>
            <w:tcW w:type="dxa" w:w="2232"/>
          </w:tcPr>
          <w:p>
            <w:r>
              <w:rPr>
                <w:color w:val="B23A2E"/>
                <w:sz w:val="16"/>
              </w:rPr>
              <w:t>WRITTEN - and the docstring says 'Read-only mirror'</w:t>
            </w:r>
          </w:p>
        </w:tc>
        <w:tc>
          <w:tcPr>
            <w:tcW w:type="dxa" w:w="3888"/>
          </w:tcPr>
          <w:p>
            <w:r>
              <w:rPr>
                <w:sz w:val="16"/>
              </w:rPr>
              <w:t>contact_service.py:331 row.save(); :333 objects.create()</w:t>
            </w:r>
          </w:p>
        </w:tc>
      </w:tr>
      <w:tr>
        <w:tc>
          <w:tcPr>
            <w:tcW w:type="dxa" w:w="1800"/>
          </w:tcPr>
          <w:p>
            <w:r>
              <w:rPr>
                <w:rFonts w:ascii="Consolas" w:hAnsi="Consolas"/>
                <w:sz w:val="15"/>
              </w:rPr>
              <w:t>account_info</w:t>
            </w:r>
          </w:p>
        </w:tc>
        <w:tc>
          <w:tcPr>
            <w:tcW w:type="dxa" w:w="2160"/>
          </w:tcPr>
          <w:p>
            <w:r>
              <w:rPr>
                <w:rFonts w:ascii="Consolas" w:hAnsi="Consolas"/>
                <w:sz w:val="15"/>
              </w:rPr>
              <w:t>shared_models/models.py</w:t>
            </w:r>
          </w:p>
        </w:tc>
        <w:tc>
          <w:tcPr>
            <w:tcW w:type="dxa" w:w="2232"/>
          </w:tcPr>
          <w:p>
            <w:r>
              <w:rPr>
                <w:color w:val="B23A2E"/>
                <w:sz w:val="16"/>
              </w:rPr>
              <w:t>WRITTEN - and the docstring says 'Read-only mirror'</w:t>
            </w:r>
          </w:p>
        </w:tc>
        <w:tc>
          <w:tcPr>
            <w:tcW w:type="dxa" w:w="3888"/>
          </w:tcPr>
          <w:p>
            <w:r>
              <w:rPr>
                <w:sz w:val="16"/>
              </w:rPr>
              <w:t>api_config.py:393 .update(status=...) mirroring is_active back to Minty</w:t>
            </w:r>
          </w:p>
        </w:tc>
      </w:tr>
      <w:tr>
        <w:tc>
          <w:tcPr>
            <w:tcW w:type="dxa" w:w="1800"/>
          </w:tcPr>
          <w:p>
            <w:r>
              <w:rPr>
                <w:rFonts w:ascii="Consolas" w:hAnsi="Consolas"/>
                <w:sz w:val="15"/>
              </w:rPr>
              <w:t>currency_info</w:t>
            </w:r>
          </w:p>
        </w:tc>
        <w:tc>
          <w:tcPr>
            <w:tcW w:type="dxa" w:w="2160"/>
          </w:tcPr>
          <w:p>
            <w:r>
              <w:rPr>
                <w:rFonts w:ascii="Consolas" w:hAnsi="Consolas"/>
                <w:sz w:val="15"/>
              </w:rPr>
              <w:t>bills/models.py (not shared_models)</w:t>
            </w:r>
          </w:p>
        </w:tc>
        <w:tc>
          <w:tcPr>
            <w:tcW w:type="dxa" w:w="2232"/>
          </w:tcPr>
          <w:p>
            <w:r>
              <w:rPr>
                <w:color w:val="B23A2E"/>
                <w:sz w:val="16"/>
              </w:rPr>
              <w:t>WRITTEN via ORM and reshaped by migrations</w:t>
            </w:r>
          </w:p>
        </w:tc>
        <w:tc>
          <w:tcPr>
            <w:tcW w:type="dxa" w:w="3888"/>
          </w:tcPr>
          <w:p>
            <w:r>
              <w:rPr>
                <w:sz w:val="16"/>
              </w:rPr>
              <w:t>api_config.py ORM create/update; migrations 0012 and 0019</w:t>
            </w:r>
          </w:p>
        </w:tc>
      </w:tr>
      <w:tr>
        <w:tc>
          <w:tcPr>
            <w:tcW w:type="dxa" w:w="1800"/>
          </w:tcPr>
          <w:p>
            <w:r>
              <w:rPr>
                <w:rFonts w:ascii="Consolas" w:hAnsi="Consolas"/>
                <w:sz w:val="15"/>
              </w:rPr>
              <w:t>entities</w:t>
            </w:r>
          </w:p>
        </w:tc>
        <w:tc>
          <w:tcPr>
            <w:tcW w:type="dxa" w:w="2160"/>
          </w:tcPr>
          <w:p>
            <w:r>
              <w:rPr>
                <w:rFonts w:ascii="Consolas" w:hAnsi="Consolas"/>
                <w:sz w:val="15"/>
              </w:rPr>
              <w:t>shared_models/models.py</w:t>
            </w:r>
          </w:p>
        </w:tc>
        <w:tc>
          <w:tcPr>
            <w:tcW w:type="dxa" w:w="2232"/>
          </w:tcPr>
          <w:p>
            <w:r>
              <w:rPr>
                <w:sz w:val="16"/>
              </w:rPr>
              <w:t>Read-only</w:t>
            </w:r>
          </w:p>
        </w:tc>
        <w:tc>
          <w:tcPr>
            <w:tcW w:type="dxa" w:w="3888"/>
          </w:tcPr>
          <w:p>
            <w:r>
              <w:rPr>
                <w:sz w:val="16"/>
              </w:rPr>
              <w:t>api_session.py, api_config.py, api.py, core/views.py, contact_service.py, xero_publish_service.py, xero_token_service.py</w:t>
            </w:r>
          </w:p>
        </w:tc>
      </w:tr>
      <w:tr>
        <w:tc>
          <w:tcPr>
            <w:tcW w:type="dxa" w:w="1800"/>
          </w:tcPr>
          <w:p>
            <w:r>
              <w:rPr>
                <w:rFonts w:ascii="Consolas" w:hAnsi="Consolas"/>
                <w:sz w:val="15"/>
              </w:rPr>
              <w:t>user_entity</w:t>
            </w:r>
          </w:p>
        </w:tc>
        <w:tc>
          <w:tcPr>
            <w:tcW w:type="dxa" w:w="2160"/>
          </w:tcPr>
          <w:p>
            <w:r>
              <w:rPr>
                <w:rFonts w:ascii="Consolas" w:hAnsi="Consolas"/>
                <w:sz w:val="15"/>
              </w:rPr>
              <w:t>shared_models/models.py</w:t>
            </w:r>
          </w:p>
        </w:tc>
        <w:tc>
          <w:tcPr>
            <w:tcW w:type="dxa" w:w="2232"/>
          </w:tcPr>
          <w:p>
            <w:r>
              <w:rPr>
                <w:sz w:val="16"/>
              </w:rPr>
              <w:t>Read-only, and ONLY via raw SQL</w:t>
            </w:r>
          </w:p>
        </w:tc>
        <w:tc>
          <w:tcPr>
            <w:tcW w:type="dxa" w:w="3888"/>
          </w:tcPr>
          <w:p>
            <w:r>
              <w:rPr>
                <w:sz w:val="16"/>
              </w:rPr>
              <w:t>core/auth.py, bills/api_profile.py, bills/api_config.py - all unqualified</w:t>
            </w:r>
          </w:p>
        </w:tc>
      </w:tr>
      <w:tr>
        <w:tc>
          <w:tcPr>
            <w:tcW w:type="dxa" w:w="1800"/>
          </w:tcPr>
          <w:p>
            <w:r>
              <w:rPr>
                <w:rFonts w:ascii="Consolas" w:hAnsi="Consolas"/>
                <w:sz w:val="15"/>
              </w:rPr>
              <w:t>entity_module_subscription</w:t>
            </w:r>
          </w:p>
        </w:tc>
        <w:tc>
          <w:tcPr>
            <w:tcW w:type="dxa" w:w="2160"/>
          </w:tcPr>
          <w:p>
            <w:r>
              <w:rPr>
                <w:rFonts w:ascii="Consolas" w:hAnsi="Consolas"/>
                <w:sz w:val="15"/>
              </w:rPr>
              <w:t>shared_models/models.py</w:t>
            </w:r>
          </w:p>
        </w:tc>
        <w:tc>
          <w:tcPr>
            <w:tcW w:type="dxa" w:w="2232"/>
          </w:tcPr>
          <w:p>
            <w:r>
              <w:rPr>
                <w:sz w:val="16"/>
              </w:rPr>
              <w:t>Read-only, and ONLY via raw SQL</w:t>
            </w:r>
          </w:p>
        </w:tc>
        <w:tc>
          <w:tcPr>
            <w:tcW w:type="dxa" w:w="3888"/>
          </w:tcPr>
          <w:p>
            <w:r>
              <w:rPr>
                <w:sz w:val="16"/>
              </w:rPr>
              <w:t>bills/api_profile.py - a 5-column mirror; raw SQL on payer_user_id and phase</w:t>
            </w:r>
          </w:p>
        </w:tc>
      </w:tr>
      <w:tr>
        <w:tc>
          <w:tcPr>
            <w:tcW w:type="dxa" w:w="1800"/>
          </w:tcPr>
          <w:p>
            <w:r>
              <w:rPr>
                <w:rFonts w:ascii="Consolas" w:hAnsi="Consolas"/>
                <w:sz w:val="15"/>
              </w:rPr>
              <w:t>country_info</w:t>
            </w:r>
          </w:p>
        </w:tc>
        <w:tc>
          <w:tcPr>
            <w:tcW w:type="dxa" w:w="2160"/>
          </w:tcPr>
          <w:p>
            <w:r>
              <w:rPr>
                <w:rFonts w:ascii="Consolas" w:hAnsi="Consolas"/>
                <w:sz w:val="15"/>
              </w:rPr>
              <w:t>NOT MODELLED ANYWHERE</w:t>
            </w:r>
          </w:p>
        </w:tc>
        <w:tc>
          <w:tcPr>
            <w:tcW w:type="dxa" w:w="2232"/>
          </w:tcPr>
          <w:p>
            <w:r>
              <w:rPr>
                <w:sz w:val="16"/>
              </w:rPr>
              <w:t>Read via raw SQL only</w:t>
            </w:r>
          </w:p>
        </w:tc>
        <w:tc>
          <w:tcPr>
            <w:tcW w:type="dxa" w:w="3888"/>
          </w:tcPr>
          <w:p>
            <w:r>
              <w:rPr>
                <w:sz w:val="16"/>
              </w:rPr>
              <w:t>core/management/commands/generate_token.py - schema-qualified</w:t>
            </w:r>
          </w:p>
        </w:tc>
      </w:tr>
    </w:tbl>
    <w:p>
      <w:pPr>
        <w:spacing w:after="40"/>
      </w:pPr>
    </w:p>
    <w:p>
      <w:r>
        <w:br w:type="page"/>
      </w:r>
    </w:p>
    <w:p>
      <w:pPr>
        <w:pStyle w:val="Heading1"/>
      </w:pPr>
      <w:r>
        <w:t>Minty  -  files that depend on the database</w:t>
      </w:r>
    </w:p>
    <w:p>
      <w:pPr>
        <w:spacing w:after="160"/>
      </w:pPr>
      <w:r>
        <w:rPr>
          <w:i w:val="0"/>
          <w:color w:val="5E6B65"/>
          <w:sz w:val="17"/>
        </w:rPr>
        <w:t>Flask + SQLAlchemy + Alembic. 42 model files declaring 44 tables. Ordered by tier, most severe first.</w:t>
      </w:r>
    </w:p>
    <w:p>
      <w:pPr>
        <w:pStyle w:val="Heading2"/>
      </w:pPr>
      <w:r>
        <w:rPr>
          <w:color w:val="B23A2E"/>
        </w:rPr>
        <w:t>RAW SQL</w:t>
      </w:r>
      <w:r>
        <w:rPr>
          <w:b w:val="0"/>
          <w:color w:val="5E6B65"/>
          <w:sz w:val="17"/>
        </w:rPr>
        <w:t xml:space="preserve">   6 files</w:t>
      </w:r>
    </w:p>
    <w:p>
      <w:pPr>
        <w:spacing w:after="80"/>
      </w:pPr>
      <w:r>
        <w:rPr>
          <w:i w:val="0"/>
          <w:color w:val="5E6B65"/>
          <w:sz w:val="17"/>
        </w:rPr>
        <w:t>Minty has NO unqualified raw SQL. Every statement that names a table carries the pettycashv2 prefix, and the three that do not name a table do not need it.</w:t>
      </w:r>
    </w:p>
    <w:tbl>
      <w:tblPr>
        <w:tblStyle w:val="TableGrid"/>
        <w:tblW w:type="auto" w:w="0"/>
        <w:tblLayout w:type="fixed"/>
        <w:tblLook w:firstColumn="1" w:firstRow="1" w:lastColumn="0" w:lastRow="0" w:noHBand="0" w:noVBand="1" w:val="04A0"/>
      </w:tblPr>
      <w:tblGrid>
        <w:gridCol w:w="3408"/>
        <w:gridCol w:w="3408"/>
        <w:gridCol w:w="3408"/>
      </w:tblGrid>
      <w:tr>
        <w:tc>
          <w:tcPr>
            <w:tcW w:type="dxa" w:w="3456"/>
            <w:shd w:val="clear" w:fill="EFF2EF"/>
          </w:tcPr>
          <w:p>
            <w:r>
              <w:rPr>
                <w:b/>
                <w:sz w:val="17"/>
              </w:rPr>
              <w:t>File</w:t>
            </w:r>
          </w:p>
        </w:tc>
        <w:tc>
          <w:tcPr>
            <w:tcW w:type="dxa" w:w="1224"/>
            <w:shd w:val="clear" w:fill="EFF2EF"/>
          </w:tcPr>
          <w:p>
            <w:r>
              <w:rPr>
                <w:b/>
                <w:sz w:val="17"/>
              </w:rPr>
              <w:t>Schema</w:t>
            </w:r>
          </w:p>
        </w:tc>
        <w:tc>
          <w:tcPr>
            <w:tcW w:type="dxa" w:w="5400"/>
            <w:shd w:val="clear" w:fill="EFF2EF"/>
          </w:tcPr>
          <w:p>
            <w:r>
              <w:rPr>
                <w:b/>
                <w:sz w:val="17"/>
              </w:rPr>
              <w:t>What it does</w:t>
            </w:r>
          </w:p>
        </w:tc>
      </w:tr>
      <w:tr>
        <w:tc>
          <w:tcPr>
            <w:tcW w:type="dxa" w:w="3456"/>
          </w:tcPr>
          <w:p>
            <w:r>
              <w:rPr>
                <w:rFonts w:ascii="Consolas" w:hAnsi="Consolas"/>
                <w:sz w:val="15"/>
              </w:rPr>
              <w:t>blueprints/entity/services/settings.py</w:t>
            </w:r>
          </w:p>
        </w:tc>
        <w:tc>
          <w:tcPr>
            <w:tcW w:type="dxa" w:w="1224"/>
          </w:tcPr>
          <w:p>
            <w:r>
              <w:rPr>
                <w:color w:val="0B6E55"/>
                <w:sz w:val="16"/>
              </w:rPr>
              <w:t>QUALIFIED</w:t>
            </w:r>
          </w:p>
        </w:tc>
        <w:tc>
          <w:tcPr>
            <w:tcW w:type="dxa" w:w="5400"/>
          </w:tcPr>
          <w:p>
            <w:r>
              <w:rPr>
                <w:sz w:val="16"/>
              </w:rPr>
              <w:t>5 text() statements - SELECT / UPDATE / INSERT / DELETE on {_TBL}, plus SELECT 1 FROM pettycashv2.account_info. _TBL is declared function-locally at lines 492 and 786 as 'pettycashv2.entity_bill_account_xero'. Also a pg_insert upsert naming the constraint uq_account_info_entity_xero_account as a literal string - schema-safe, rename-fragile.</w:t>
            </w:r>
          </w:p>
        </w:tc>
      </w:tr>
      <w:tr>
        <w:tc>
          <w:tcPr>
            <w:tcW w:type="dxa" w:w="3456"/>
          </w:tcPr>
          <w:p>
            <w:r>
              <w:rPr>
                <w:rFonts w:ascii="Consolas" w:hAnsi="Consolas"/>
                <w:sz w:val="15"/>
              </w:rPr>
              <w:t>blueprints/entity/services/onboarding_bill_codes.py</w:t>
            </w:r>
          </w:p>
        </w:tc>
        <w:tc>
          <w:tcPr>
            <w:tcW w:type="dxa" w:w="1224"/>
          </w:tcPr>
          <w:p>
            <w:r>
              <w:rPr>
                <w:color w:val="0B6E55"/>
                <w:sz w:val="16"/>
              </w:rPr>
              <w:t>QUALIFIED</w:t>
            </w:r>
          </w:p>
        </w:tc>
        <w:tc>
          <w:tcPr>
            <w:tcW w:type="dxa" w:w="5400"/>
          </w:tcPr>
          <w:p>
            <w:r>
              <w:rPr>
                <w:sz w:val="16"/>
              </w:rPr>
              <w:t>SELECT plus 2 UPDATEs on {_TBL}, declared as a module constant at line 20. All user values are bound parameters, so the 3 S608 findings are false positives for injection.</w:t>
            </w:r>
          </w:p>
        </w:tc>
      </w:tr>
      <w:tr>
        <w:tc>
          <w:tcPr>
            <w:tcW w:type="dxa" w:w="3456"/>
          </w:tcPr>
          <w:p>
            <w:r>
              <w:rPr>
                <w:rFonts w:ascii="Consolas" w:hAnsi="Consolas"/>
                <w:sz w:val="15"/>
              </w:rPr>
              <w:t>blueprints/subscription/services/clock.py</w:t>
            </w:r>
          </w:p>
        </w:tc>
        <w:tc>
          <w:tcPr>
            <w:tcW w:type="dxa" w:w="1224"/>
          </w:tcPr>
          <w:p>
            <w:r>
              <w:rPr>
                <w:color w:val="5E6B65"/>
                <w:sz w:val="16"/>
              </w:rPr>
              <w:t>NO TABLE</w:t>
            </w:r>
          </w:p>
        </w:tc>
        <w:tc>
          <w:tcPr>
            <w:tcW w:type="dxa" w:w="5400"/>
          </w:tcPr>
          <w:p>
            <w:r>
              <w:rPr>
                <w:sz w:val="16"/>
              </w:rPr>
              <w:t>text("SELECT now()") - reads the database server clock as one of three trusted time sources. Qualification does not apply.</w:t>
            </w:r>
          </w:p>
        </w:tc>
      </w:tr>
      <w:tr>
        <w:tc>
          <w:tcPr>
            <w:tcW w:type="dxa" w:w="3456"/>
          </w:tcPr>
          <w:p>
            <w:r>
              <w:rPr>
                <w:rFonts w:ascii="Consolas" w:hAnsi="Consolas"/>
                <w:sz w:val="15"/>
              </w:rPr>
              <w:t>blueprints/subscription/services/daily.py</w:t>
            </w:r>
          </w:p>
        </w:tc>
        <w:tc>
          <w:tcPr>
            <w:tcW w:type="dxa" w:w="1224"/>
          </w:tcPr>
          <w:p>
            <w:r>
              <w:rPr>
                <w:color w:val="5E6B65"/>
                <w:sz w:val="16"/>
              </w:rPr>
              <w:t>NO TABLE</w:t>
            </w:r>
          </w:p>
        </w:tc>
        <w:tc>
          <w:tcPr>
            <w:tcW w:type="dxa" w:w="5400"/>
          </w:tcPr>
          <w:p>
            <w:r>
              <w:rPr>
                <w:sz w:val="16"/>
              </w:rPr>
              <w:t>pg_try_advisory_lock / pg_advisory_unlock on its own db.engine.connect() - the two-worker guard for the daily jobs.</w:t>
            </w:r>
          </w:p>
        </w:tc>
      </w:tr>
      <w:tr>
        <w:tc>
          <w:tcPr>
            <w:tcW w:type="dxa" w:w="3456"/>
          </w:tcPr>
          <w:p>
            <w:r>
              <w:rPr>
                <w:rFonts w:ascii="Consolas" w:hAnsi="Consolas"/>
                <w:sz w:val="15"/>
              </w:rPr>
              <w:t>services/auth/token_service.py</w:t>
            </w:r>
          </w:p>
        </w:tc>
        <w:tc>
          <w:tcPr>
            <w:tcW w:type="dxa" w:w="1224"/>
          </w:tcPr>
          <w:p>
            <w:r>
              <w:rPr>
                <w:color w:val="5E6B65"/>
                <w:sz w:val="16"/>
              </w:rPr>
              <w:t>NO TABLE</w:t>
            </w:r>
          </w:p>
        </w:tc>
        <w:tc>
          <w:tcPr>
            <w:tcW w:type="dxa" w:w="5400"/>
          </w:tcPr>
          <w:p>
            <w:r>
              <w:rPr>
                <w:sz w:val="16"/>
              </w:rPr>
              <w:t>pg_try_advisory_lock(:ns, hashtext(:k)) on a separate AUTOCOMMIT connection, so the lock is not held by the request transaction.</w:t>
            </w:r>
          </w:p>
        </w:tc>
      </w:tr>
      <w:tr>
        <w:tc>
          <w:tcPr>
            <w:tcW w:type="dxa" w:w="3456"/>
          </w:tcPr>
          <w:p>
            <w:r>
              <w:rPr>
                <w:rFonts w:ascii="Consolas" w:hAnsi="Consolas"/>
                <w:sz w:val="15"/>
              </w:rPr>
              <w:t>blueprints/subscription/models/subscription_transfer.py</w:t>
            </w:r>
          </w:p>
        </w:tc>
        <w:tc>
          <w:tcPr>
            <w:tcW w:type="dxa" w:w="1224"/>
          </w:tcPr>
          <w:p>
            <w:r>
              <w:rPr>
                <w:color w:val="5E6B65"/>
                <w:sz w:val="16"/>
              </w:rPr>
              <w:t>NO TABLE</w:t>
            </w:r>
          </w:p>
        </w:tc>
        <w:tc>
          <w:tcPr>
            <w:tcW w:type="dxa" w:w="5400"/>
          </w:tcPr>
          <w:p>
            <w:r>
              <w:rPr>
                <w:sz w:val="16"/>
              </w:rPr>
              <w:t>db.text(f"status IN ({_OPEN})") inside its own __table_args__ - a partial-index predicate, not a query.</w:t>
            </w:r>
          </w:p>
        </w:tc>
      </w:tr>
    </w:tbl>
    <w:p>
      <w:pPr>
        <w:spacing w:after="40"/>
      </w:pPr>
    </w:p>
    <w:p>
      <w:pPr>
        <w:pStyle w:val="Heading2"/>
      </w:pPr>
      <w:r>
        <w:rPr>
          <w:color w:val="141A17"/>
        </w:rPr>
        <w:t>MODEL</w:t>
      </w:r>
      <w:r>
        <w:rPr>
          <w:b w:val="0"/>
          <w:color w:val="5E6B65"/>
          <w:sz w:val="17"/>
        </w:rPr>
        <w:t xml:space="preserve">   42 files, 44 tables</w:t>
      </w:r>
    </w:p>
    <w:p>
      <w:pPr>
        <w:spacing w:after="80"/>
      </w:pPr>
      <w:r>
        <w:rPr>
          <w:i w:val="0"/>
          <w:color w:val="5E6B65"/>
          <w:sz w:val="17"/>
        </w:rPr>
        <w:t>Each of these owns its table. A column change here is a migration.</w:t>
      </w:r>
    </w:p>
    <w:tbl>
      <w:tblPr>
        <w:tblStyle w:val="TableGrid"/>
        <w:tblW w:type="auto" w:w="0"/>
        <w:tblLayout w:type="fixed"/>
        <w:tblLook w:firstColumn="1" w:firstRow="1" w:lastColumn="0" w:lastRow="0" w:noHBand="0" w:noVBand="1" w:val="04A0"/>
      </w:tblPr>
      <w:tblGrid>
        <w:gridCol w:w="5112"/>
        <w:gridCol w:w="5112"/>
      </w:tblGrid>
      <w:tr>
        <w:tc>
          <w:tcPr>
            <w:tcW w:type="dxa" w:w="5616"/>
            <w:shd w:val="clear" w:fill="EFF2EF"/>
          </w:tcPr>
          <w:p>
            <w:r>
              <w:rPr>
                <w:b/>
                <w:sz w:val="17"/>
              </w:rPr>
              <w:t>File</w:t>
            </w:r>
          </w:p>
        </w:tc>
        <w:tc>
          <w:tcPr>
            <w:tcW w:type="dxa" w:w="4464"/>
            <w:shd w:val="clear" w:fill="EFF2EF"/>
          </w:tcPr>
          <w:p>
            <w:r>
              <w:rPr>
                <w:b/>
                <w:sz w:val="17"/>
              </w:rPr>
              <w:t>Table(s) it declares</w:t>
            </w:r>
          </w:p>
        </w:tc>
      </w:tr>
      <w:tr>
        <w:tc>
          <w:tcPr>
            <w:tcW w:type="dxa" w:w="5616"/>
          </w:tcPr>
          <w:p>
            <w:r>
              <w:rPr>
                <w:rFonts w:ascii="Consolas" w:hAnsi="Consolas"/>
                <w:sz w:val="15"/>
              </w:rPr>
              <w:t>blueprints/auth/models/email_otp.py</w:t>
            </w:r>
          </w:p>
        </w:tc>
        <w:tc>
          <w:tcPr>
            <w:tcW w:type="dxa" w:w="4464"/>
          </w:tcPr>
          <w:p>
            <w:r>
              <w:rPr>
                <w:rFonts w:ascii="Consolas" w:hAnsi="Consolas"/>
                <w:sz w:val="15"/>
              </w:rPr>
              <w:t>email_otp</w:t>
            </w:r>
          </w:p>
        </w:tc>
      </w:tr>
      <w:tr>
        <w:tc>
          <w:tcPr>
            <w:tcW w:type="dxa" w:w="5616"/>
          </w:tcPr>
          <w:p>
            <w:r>
              <w:rPr>
                <w:rFonts w:ascii="Consolas" w:hAnsi="Consolas"/>
                <w:sz w:val="15"/>
              </w:rPr>
              <w:t>blueprints/auth/models/user.py</w:t>
            </w:r>
          </w:p>
        </w:tc>
        <w:tc>
          <w:tcPr>
            <w:tcW w:type="dxa" w:w="4464"/>
          </w:tcPr>
          <w:p>
            <w:r>
              <w:rPr>
                <w:rFonts w:ascii="Consolas" w:hAnsi="Consolas"/>
                <w:sz w:val="15"/>
              </w:rPr>
              <w:t>user</w:t>
            </w:r>
          </w:p>
        </w:tc>
      </w:tr>
      <w:tr>
        <w:tc>
          <w:tcPr>
            <w:tcW w:type="dxa" w:w="5616"/>
          </w:tcPr>
          <w:p>
            <w:r>
              <w:rPr>
                <w:rFonts w:ascii="Consolas" w:hAnsi="Consolas"/>
                <w:sz w:val="15"/>
              </w:rPr>
              <w:t>blueprints/auth/models/user_token.py</w:t>
            </w:r>
          </w:p>
        </w:tc>
        <w:tc>
          <w:tcPr>
            <w:tcW w:type="dxa" w:w="4464"/>
          </w:tcPr>
          <w:p>
            <w:r>
              <w:rPr>
                <w:rFonts w:ascii="Consolas" w:hAnsi="Consolas"/>
                <w:sz w:val="15"/>
              </w:rPr>
              <w:t>user_token</w:t>
            </w:r>
          </w:p>
        </w:tc>
      </w:tr>
      <w:tr>
        <w:tc>
          <w:tcPr>
            <w:tcW w:type="dxa" w:w="5616"/>
          </w:tcPr>
          <w:p>
            <w:r>
              <w:rPr>
                <w:rFonts w:ascii="Consolas" w:hAnsi="Consolas"/>
                <w:sz w:val="15"/>
              </w:rPr>
              <w:t>blueprints/entity/models/cash_info.py</w:t>
            </w:r>
          </w:p>
        </w:tc>
        <w:tc>
          <w:tcPr>
            <w:tcW w:type="dxa" w:w="4464"/>
          </w:tcPr>
          <w:p>
            <w:r>
              <w:rPr>
                <w:rFonts w:ascii="Consolas" w:hAnsi="Consolas"/>
                <w:sz w:val="15"/>
              </w:rPr>
              <w:t>cash_info</w:t>
            </w:r>
          </w:p>
        </w:tc>
      </w:tr>
      <w:tr>
        <w:tc>
          <w:tcPr>
            <w:tcW w:type="dxa" w:w="5616"/>
          </w:tcPr>
          <w:p>
            <w:r>
              <w:rPr>
                <w:rFonts w:ascii="Consolas" w:hAnsi="Consolas"/>
                <w:sz w:val="15"/>
              </w:rPr>
              <w:t>blueprints/entity/models/country_info.py</w:t>
            </w:r>
          </w:p>
        </w:tc>
        <w:tc>
          <w:tcPr>
            <w:tcW w:type="dxa" w:w="4464"/>
          </w:tcPr>
          <w:p>
            <w:r>
              <w:rPr>
                <w:rFonts w:ascii="Consolas" w:hAnsi="Consolas"/>
                <w:sz w:val="15"/>
              </w:rPr>
              <w:t>country_info</w:t>
            </w:r>
          </w:p>
        </w:tc>
      </w:tr>
      <w:tr>
        <w:tc>
          <w:tcPr>
            <w:tcW w:type="dxa" w:w="5616"/>
          </w:tcPr>
          <w:p>
            <w:r>
              <w:rPr>
                <w:rFonts w:ascii="Consolas" w:hAnsi="Consolas"/>
                <w:sz w:val="15"/>
              </w:rPr>
              <w:t>blueprints/entity/models/currency_info.py</w:t>
            </w:r>
          </w:p>
        </w:tc>
        <w:tc>
          <w:tcPr>
            <w:tcW w:type="dxa" w:w="4464"/>
          </w:tcPr>
          <w:p>
            <w:r>
              <w:rPr>
                <w:rFonts w:ascii="Consolas" w:hAnsi="Consolas"/>
                <w:sz w:val="15"/>
              </w:rPr>
              <w:t>currency_info</w:t>
            </w:r>
          </w:p>
        </w:tc>
      </w:tr>
      <w:tr>
        <w:tc>
          <w:tcPr>
            <w:tcW w:type="dxa" w:w="5616"/>
          </w:tcPr>
          <w:p>
            <w:r>
              <w:rPr>
                <w:rFonts w:ascii="Consolas" w:hAnsi="Consolas"/>
                <w:sz w:val="15"/>
              </w:rPr>
              <w:t>blueprints/entity/models/entity.py</w:t>
            </w:r>
          </w:p>
        </w:tc>
        <w:tc>
          <w:tcPr>
            <w:tcW w:type="dxa" w:w="4464"/>
          </w:tcPr>
          <w:p>
            <w:r>
              <w:rPr>
                <w:rFonts w:ascii="Consolas" w:hAnsi="Consolas"/>
                <w:sz w:val="15"/>
              </w:rPr>
              <w:t>entities</w:t>
            </w:r>
          </w:p>
        </w:tc>
      </w:tr>
      <w:tr>
        <w:tc>
          <w:tcPr>
            <w:tcW w:type="dxa" w:w="5616"/>
          </w:tcPr>
          <w:p>
            <w:r>
              <w:rPr>
                <w:rFonts w:ascii="Consolas" w:hAnsi="Consolas"/>
                <w:sz w:val="15"/>
              </w:rPr>
              <w:t>blueprints/entity/models/entity_cash_detail_v2.py</w:t>
            </w:r>
          </w:p>
        </w:tc>
        <w:tc>
          <w:tcPr>
            <w:tcW w:type="dxa" w:w="4464"/>
          </w:tcPr>
          <w:p>
            <w:r>
              <w:rPr>
                <w:rFonts w:ascii="Consolas" w:hAnsi="Consolas"/>
                <w:sz w:val="15"/>
              </w:rPr>
              <w:t>entity_cash_detail_v2</w:t>
            </w:r>
          </w:p>
        </w:tc>
      </w:tr>
      <w:tr>
        <w:tc>
          <w:tcPr>
            <w:tcW w:type="dxa" w:w="5616"/>
          </w:tcPr>
          <w:p>
            <w:r>
              <w:rPr>
                <w:rFonts w:ascii="Consolas" w:hAnsi="Consolas"/>
                <w:sz w:val="15"/>
              </w:rPr>
              <w:t>blueprints/entity/models/entity_cash_setting.py</w:t>
            </w:r>
          </w:p>
        </w:tc>
        <w:tc>
          <w:tcPr>
            <w:tcW w:type="dxa" w:w="4464"/>
          </w:tcPr>
          <w:p>
            <w:r>
              <w:rPr>
                <w:rFonts w:ascii="Consolas" w:hAnsi="Consolas"/>
                <w:sz w:val="15"/>
              </w:rPr>
              <w:t>entity_cash_setting</w:t>
            </w:r>
          </w:p>
        </w:tc>
      </w:tr>
      <w:tr>
        <w:tc>
          <w:tcPr>
            <w:tcW w:type="dxa" w:w="5616"/>
          </w:tcPr>
          <w:p>
            <w:r>
              <w:rPr>
                <w:rFonts w:ascii="Consolas" w:hAnsi="Consolas"/>
                <w:sz w:val="15"/>
              </w:rPr>
              <w:t>blueprints/entity/models/entity_function.py</w:t>
            </w:r>
          </w:p>
        </w:tc>
        <w:tc>
          <w:tcPr>
            <w:tcW w:type="dxa" w:w="4464"/>
          </w:tcPr>
          <w:p>
            <w:r>
              <w:rPr>
                <w:rFonts w:ascii="Consolas" w:hAnsi="Consolas"/>
                <w:sz w:val="15"/>
              </w:rPr>
              <w:t>entity_function, entity_function_map</w:t>
            </w:r>
          </w:p>
        </w:tc>
      </w:tr>
      <w:tr>
        <w:tc>
          <w:tcPr>
            <w:tcW w:type="dxa" w:w="5616"/>
          </w:tcPr>
          <w:p>
            <w:r>
              <w:rPr>
                <w:rFonts w:ascii="Consolas" w:hAnsi="Consolas"/>
                <w:sz w:val="15"/>
              </w:rPr>
              <w:t>blueprints/entity/models/entity_pettycash_settings.py</w:t>
            </w:r>
          </w:p>
        </w:tc>
        <w:tc>
          <w:tcPr>
            <w:tcW w:type="dxa" w:w="4464"/>
          </w:tcPr>
          <w:p>
            <w:r>
              <w:rPr>
                <w:rFonts w:ascii="Consolas" w:hAnsi="Consolas"/>
                <w:sz w:val="15"/>
              </w:rPr>
              <w:t>entity_pettycash_settings</w:t>
            </w:r>
          </w:p>
        </w:tc>
      </w:tr>
      <w:tr>
        <w:tc>
          <w:tcPr>
            <w:tcW w:type="dxa" w:w="5616"/>
          </w:tcPr>
          <w:p>
            <w:r>
              <w:rPr>
                <w:rFonts w:ascii="Consolas" w:hAnsi="Consolas"/>
                <w:sz w:val="15"/>
              </w:rPr>
              <w:t>blueprints/entity/models/entity_sale_setting.py</w:t>
            </w:r>
          </w:p>
        </w:tc>
        <w:tc>
          <w:tcPr>
            <w:tcW w:type="dxa" w:w="4464"/>
          </w:tcPr>
          <w:p>
            <w:r>
              <w:rPr>
                <w:rFonts w:ascii="Consolas" w:hAnsi="Consolas"/>
                <w:sz w:val="15"/>
              </w:rPr>
              <w:t>entity_sale_setting</w:t>
            </w:r>
          </w:p>
        </w:tc>
      </w:tr>
      <w:tr>
        <w:tc>
          <w:tcPr>
            <w:tcW w:type="dxa" w:w="5616"/>
          </w:tcPr>
          <w:p>
            <w:r>
              <w:rPr>
                <w:rFonts w:ascii="Consolas" w:hAnsi="Consolas"/>
                <w:sz w:val="15"/>
              </w:rPr>
              <w:t>blueprints/entity/models/sale_info.py</w:t>
            </w:r>
          </w:p>
        </w:tc>
        <w:tc>
          <w:tcPr>
            <w:tcW w:type="dxa" w:w="4464"/>
          </w:tcPr>
          <w:p>
            <w:r>
              <w:rPr>
                <w:rFonts w:ascii="Consolas" w:hAnsi="Consolas"/>
                <w:sz w:val="15"/>
              </w:rPr>
              <w:t>sale_info</w:t>
            </w:r>
          </w:p>
        </w:tc>
      </w:tr>
      <w:tr>
        <w:tc>
          <w:tcPr>
            <w:tcW w:type="dxa" w:w="5616"/>
          </w:tcPr>
          <w:p>
            <w:r>
              <w:rPr>
                <w:rFonts w:ascii="Consolas" w:hAnsi="Consolas"/>
                <w:sz w:val="15"/>
              </w:rPr>
              <w:t>blueprints/entity/models/user_entity.py</w:t>
            </w:r>
          </w:p>
        </w:tc>
        <w:tc>
          <w:tcPr>
            <w:tcW w:type="dxa" w:w="4464"/>
          </w:tcPr>
          <w:p>
            <w:r>
              <w:rPr>
                <w:rFonts w:ascii="Consolas" w:hAnsi="Consolas"/>
                <w:sz w:val="15"/>
              </w:rPr>
              <w:t>user_entity</w:t>
            </w:r>
          </w:p>
        </w:tc>
      </w:tr>
      <w:tr>
        <w:tc>
          <w:tcPr>
            <w:tcW w:type="dxa" w:w="5616"/>
          </w:tcPr>
          <w:p>
            <w:r>
              <w:rPr>
                <w:rFonts w:ascii="Consolas" w:hAnsi="Consolas"/>
                <w:sz w:val="15"/>
              </w:rPr>
              <w:t>blueprints/invitation/models/invitation.py</w:t>
            </w:r>
          </w:p>
        </w:tc>
        <w:tc>
          <w:tcPr>
            <w:tcW w:type="dxa" w:w="4464"/>
          </w:tcPr>
          <w:p>
            <w:r>
              <w:rPr>
                <w:rFonts w:ascii="Consolas" w:hAnsi="Consolas"/>
                <w:sz w:val="15"/>
              </w:rPr>
              <w:t>invitations</w:t>
            </w:r>
          </w:p>
        </w:tc>
      </w:tr>
      <w:tr>
        <w:tc>
          <w:tcPr>
            <w:tcW w:type="dxa" w:w="5616"/>
          </w:tcPr>
          <w:p>
            <w:r>
              <w:rPr>
                <w:rFonts w:ascii="Consolas" w:hAnsi="Consolas"/>
                <w:sz w:val="15"/>
              </w:rPr>
              <w:t>blueprints/legal/models/terms_consent.py</w:t>
            </w:r>
          </w:p>
        </w:tc>
        <w:tc>
          <w:tcPr>
            <w:tcW w:type="dxa" w:w="4464"/>
          </w:tcPr>
          <w:p>
            <w:r>
              <w:rPr>
                <w:rFonts w:ascii="Consolas" w:hAnsi="Consolas"/>
                <w:sz w:val="15"/>
              </w:rPr>
              <w:t>terms_consent</w:t>
            </w:r>
          </w:p>
        </w:tc>
      </w:tr>
      <w:tr>
        <w:tc>
          <w:tcPr>
            <w:tcW w:type="dxa" w:w="5616"/>
          </w:tcPr>
          <w:p>
            <w:r>
              <w:rPr>
                <w:rFonts w:ascii="Consolas" w:hAnsi="Consolas"/>
                <w:sz w:val="15"/>
              </w:rPr>
              <w:t>blueprints/report/models/report.py</w:t>
            </w:r>
          </w:p>
        </w:tc>
        <w:tc>
          <w:tcPr>
            <w:tcW w:type="dxa" w:w="4464"/>
          </w:tcPr>
          <w:p>
            <w:r>
              <w:rPr>
                <w:rFonts w:ascii="Consolas" w:hAnsi="Consolas"/>
                <w:sz w:val="15"/>
              </w:rPr>
              <w:t>report</w:t>
            </w:r>
          </w:p>
        </w:tc>
      </w:tr>
      <w:tr>
        <w:tc>
          <w:tcPr>
            <w:tcW w:type="dxa" w:w="5616"/>
          </w:tcPr>
          <w:p>
            <w:r>
              <w:rPr>
                <w:rFonts w:ascii="Consolas" w:hAnsi="Consolas"/>
                <w:sz w:val="15"/>
              </w:rPr>
              <w:t>blueprints/report/models/report_cash_count.py</w:t>
            </w:r>
          </w:p>
        </w:tc>
        <w:tc>
          <w:tcPr>
            <w:tcW w:type="dxa" w:w="4464"/>
          </w:tcPr>
          <w:p>
            <w:r>
              <w:rPr>
                <w:rFonts w:ascii="Consolas" w:hAnsi="Consolas"/>
                <w:sz w:val="15"/>
              </w:rPr>
              <w:t>report_cash_count</w:t>
            </w:r>
          </w:p>
        </w:tc>
      </w:tr>
      <w:tr>
        <w:tc>
          <w:tcPr>
            <w:tcW w:type="dxa" w:w="5616"/>
          </w:tcPr>
          <w:p>
            <w:r>
              <w:rPr>
                <w:rFonts w:ascii="Consolas" w:hAnsi="Consolas"/>
                <w:sz w:val="15"/>
              </w:rPr>
              <w:t>blueprints/report/models/report_history.py</w:t>
            </w:r>
          </w:p>
        </w:tc>
        <w:tc>
          <w:tcPr>
            <w:tcW w:type="dxa" w:w="4464"/>
          </w:tcPr>
          <w:p>
            <w:r>
              <w:rPr>
                <w:rFonts w:ascii="Consolas" w:hAnsi="Consolas"/>
                <w:sz w:val="15"/>
              </w:rPr>
              <w:t>report_history</w:t>
            </w:r>
          </w:p>
        </w:tc>
      </w:tr>
      <w:tr>
        <w:tc>
          <w:tcPr>
            <w:tcW w:type="dxa" w:w="5616"/>
          </w:tcPr>
          <w:p>
            <w:r>
              <w:rPr>
                <w:rFonts w:ascii="Consolas" w:hAnsi="Consolas"/>
                <w:sz w:val="15"/>
              </w:rPr>
              <w:t>blueprints/report/models/report_sale_detail.py</w:t>
            </w:r>
          </w:p>
        </w:tc>
        <w:tc>
          <w:tcPr>
            <w:tcW w:type="dxa" w:w="4464"/>
          </w:tcPr>
          <w:p>
            <w:r>
              <w:rPr>
                <w:rFonts w:ascii="Consolas" w:hAnsi="Consolas"/>
                <w:sz w:val="15"/>
              </w:rPr>
              <w:t>report_sale_detail</w:t>
            </w:r>
          </w:p>
        </w:tc>
      </w:tr>
      <w:tr>
        <w:tc>
          <w:tcPr>
            <w:tcW w:type="dxa" w:w="5616"/>
          </w:tcPr>
          <w:p>
            <w:r>
              <w:rPr>
                <w:rFonts w:ascii="Consolas" w:hAnsi="Consolas"/>
                <w:sz w:val="15"/>
              </w:rPr>
              <w:t>blueprints/report/models/share_link.py</w:t>
            </w:r>
          </w:p>
        </w:tc>
        <w:tc>
          <w:tcPr>
            <w:tcW w:type="dxa" w:w="4464"/>
          </w:tcPr>
          <w:p>
            <w:r>
              <w:rPr>
                <w:rFonts w:ascii="Consolas" w:hAnsi="Consolas"/>
                <w:sz w:val="15"/>
              </w:rPr>
              <w:t>share_link</w:t>
            </w:r>
          </w:p>
        </w:tc>
      </w:tr>
      <w:tr>
        <w:tc>
          <w:tcPr>
            <w:tcW w:type="dxa" w:w="5616"/>
          </w:tcPr>
          <w:p>
            <w:r>
              <w:rPr>
                <w:rFonts w:ascii="Consolas" w:hAnsi="Consolas"/>
                <w:sz w:val="15"/>
              </w:rPr>
              <w:t>blueprints/report/models/shop_expense.py</w:t>
            </w:r>
          </w:p>
        </w:tc>
        <w:tc>
          <w:tcPr>
            <w:tcW w:type="dxa" w:w="4464"/>
          </w:tcPr>
          <w:p>
            <w:r>
              <w:rPr>
                <w:rFonts w:ascii="Consolas" w:hAnsi="Consolas"/>
                <w:sz w:val="15"/>
              </w:rPr>
              <w:t>shop_expense</w:t>
            </w:r>
          </w:p>
        </w:tc>
      </w:tr>
      <w:tr>
        <w:tc>
          <w:tcPr>
            <w:tcW w:type="dxa" w:w="5616"/>
          </w:tcPr>
          <w:p>
            <w:r>
              <w:rPr>
                <w:rFonts w:ascii="Consolas" w:hAnsi="Consolas"/>
                <w:sz w:val="15"/>
              </w:rPr>
              <w:t>blueprints/subscription/models/billing_plan.py</w:t>
            </w:r>
          </w:p>
        </w:tc>
        <w:tc>
          <w:tcPr>
            <w:tcW w:type="dxa" w:w="4464"/>
          </w:tcPr>
          <w:p>
            <w:r>
              <w:rPr>
                <w:rFonts w:ascii="Consolas" w:hAnsi="Consolas"/>
                <w:sz w:val="15"/>
              </w:rPr>
              <w:t>billing_plan</w:t>
            </w:r>
          </w:p>
        </w:tc>
      </w:tr>
      <w:tr>
        <w:tc>
          <w:tcPr>
            <w:tcW w:type="dxa" w:w="5616"/>
          </w:tcPr>
          <w:p>
            <w:r>
              <w:rPr>
                <w:rFonts w:ascii="Consolas" w:hAnsi="Consolas"/>
                <w:sz w:val="15"/>
              </w:rPr>
              <w:t>blueprints/subscription/models/billing_policy.py</w:t>
            </w:r>
          </w:p>
        </w:tc>
        <w:tc>
          <w:tcPr>
            <w:tcW w:type="dxa" w:w="4464"/>
          </w:tcPr>
          <w:p>
            <w:r>
              <w:rPr>
                <w:rFonts w:ascii="Consolas" w:hAnsi="Consolas"/>
                <w:sz w:val="15"/>
              </w:rPr>
              <w:t>billing_policy</w:t>
            </w:r>
          </w:p>
        </w:tc>
      </w:tr>
      <w:tr>
        <w:tc>
          <w:tcPr>
            <w:tcW w:type="dxa" w:w="5616"/>
          </w:tcPr>
          <w:p>
            <w:r>
              <w:rPr>
                <w:rFonts w:ascii="Consolas" w:hAnsi="Consolas"/>
                <w:sz w:val="15"/>
              </w:rPr>
              <w:t>blueprints/subscription/models/entity_billing_consent.py</w:t>
            </w:r>
          </w:p>
        </w:tc>
        <w:tc>
          <w:tcPr>
            <w:tcW w:type="dxa" w:w="4464"/>
          </w:tcPr>
          <w:p>
            <w:r>
              <w:rPr>
                <w:rFonts w:ascii="Consolas" w:hAnsi="Consolas"/>
                <w:sz w:val="15"/>
              </w:rPr>
              <w:t>entity_billing_consent</w:t>
            </w:r>
          </w:p>
        </w:tc>
      </w:tr>
      <w:tr>
        <w:tc>
          <w:tcPr>
            <w:tcW w:type="dxa" w:w="5616"/>
          </w:tcPr>
          <w:p>
            <w:r>
              <w:rPr>
                <w:rFonts w:ascii="Consolas" w:hAnsi="Consolas"/>
                <w:sz w:val="15"/>
              </w:rPr>
              <w:t>blueprints/subscription/models/entity_billing_group.py</w:t>
            </w:r>
          </w:p>
        </w:tc>
        <w:tc>
          <w:tcPr>
            <w:tcW w:type="dxa" w:w="4464"/>
          </w:tcPr>
          <w:p>
            <w:r>
              <w:rPr>
                <w:rFonts w:ascii="Consolas" w:hAnsi="Consolas"/>
                <w:sz w:val="15"/>
              </w:rPr>
              <w:t>entity_billing_group</w:t>
            </w:r>
          </w:p>
        </w:tc>
      </w:tr>
      <w:tr>
        <w:tc>
          <w:tcPr>
            <w:tcW w:type="dxa" w:w="5616"/>
          </w:tcPr>
          <w:p>
            <w:r>
              <w:rPr>
                <w:rFonts w:ascii="Consolas" w:hAnsi="Consolas"/>
                <w:sz w:val="15"/>
              </w:rPr>
              <w:t>blueprints/subscription/models/entity_module_subscription.py</w:t>
            </w:r>
          </w:p>
        </w:tc>
        <w:tc>
          <w:tcPr>
            <w:tcW w:type="dxa" w:w="4464"/>
          </w:tcPr>
          <w:p>
            <w:r>
              <w:rPr>
                <w:rFonts w:ascii="Consolas" w:hAnsi="Consolas"/>
                <w:sz w:val="15"/>
              </w:rPr>
              <w:t>entity_module_subscription</w:t>
            </w:r>
          </w:p>
        </w:tc>
      </w:tr>
      <w:tr>
        <w:tc>
          <w:tcPr>
            <w:tcW w:type="dxa" w:w="5616"/>
          </w:tcPr>
          <w:p>
            <w:r>
              <w:rPr>
                <w:rFonts w:ascii="Consolas" w:hAnsi="Consolas"/>
                <w:sz w:val="15"/>
              </w:rPr>
              <w:t>blueprints/subscription/models/payer_billing_group.py</w:t>
            </w:r>
          </w:p>
        </w:tc>
        <w:tc>
          <w:tcPr>
            <w:tcW w:type="dxa" w:w="4464"/>
          </w:tcPr>
          <w:p>
            <w:r>
              <w:rPr>
                <w:rFonts w:ascii="Consolas" w:hAnsi="Consolas"/>
                <w:sz w:val="15"/>
              </w:rPr>
              <w:t>payer_billing_group</w:t>
            </w:r>
          </w:p>
        </w:tc>
      </w:tr>
      <w:tr>
        <w:tc>
          <w:tcPr>
            <w:tcW w:type="dxa" w:w="5616"/>
          </w:tcPr>
          <w:p>
            <w:r>
              <w:rPr>
                <w:rFonts w:ascii="Consolas" w:hAnsi="Consolas"/>
                <w:sz w:val="15"/>
              </w:rPr>
              <w:t>blueprints/subscription/models/subscription_audit_log.py</w:t>
            </w:r>
          </w:p>
        </w:tc>
        <w:tc>
          <w:tcPr>
            <w:tcW w:type="dxa" w:w="4464"/>
          </w:tcPr>
          <w:p>
            <w:r>
              <w:rPr>
                <w:rFonts w:ascii="Consolas" w:hAnsi="Consolas"/>
                <w:sz w:val="15"/>
              </w:rPr>
              <w:t>subscription_audit_log</w:t>
            </w:r>
          </w:p>
        </w:tc>
      </w:tr>
      <w:tr>
        <w:tc>
          <w:tcPr>
            <w:tcW w:type="dxa" w:w="5616"/>
          </w:tcPr>
          <w:p>
            <w:r>
              <w:rPr>
                <w:rFonts w:ascii="Consolas" w:hAnsi="Consolas"/>
                <w:sz w:val="15"/>
              </w:rPr>
              <w:t>blueprints/subscription/models/subscription_email_log.py</w:t>
            </w:r>
          </w:p>
        </w:tc>
        <w:tc>
          <w:tcPr>
            <w:tcW w:type="dxa" w:w="4464"/>
          </w:tcPr>
          <w:p>
            <w:r>
              <w:rPr>
                <w:rFonts w:ascii="Consolas" w:hAnsi="Consolas"/>
                <w:sz w:val="15"/>
              </w:rPr>
              <w:t>subscription_email_log</w:t>
            </w:r>
          </w:p>
        </w:tc>
      </w:tr>
      <w:tr>
        <w:tc>
          <w:tcPr>
            <w:tcW w:type="dxa" w:w="5616"/>
          </w:tcPr>
          <w:p>
            <w:r>
              <w:rPr>
                <w:rFonts w:ascii="Consolas" w:hAnsi="Consolas"/>
                <w:sz w:val="15"/>
              </w:rPr>
              <w:t>blueprints/subscription/models/subscription_invoice.py</w:t>
            </w:r>
          </w:p>
        </w:tc>
        <w:tc>
          <w:tcPr>
            <w:tcW w:type="dxa" w:w="4464"/>
          </w:tcPr>
          <w:p>
            <w:r>
              <w:rPr>
                <w:rFonts w:ascii="Consolas" w:hAnsi="Consolas"/>
                <w:sz w:val="15"/>
              </w:rPr>
              <w:t>subscription_invoice, subscription_invoice_line</w:t>
            </w:r>
          </w:p>
        </w:tc>
      </w:tr>
      <w:tr>
        <w:tc>
          <w:tcPr>
            <w:tcW w:type="dxa" w:w="5616"/>
          </w:tcPr>
          <w:p>
            <w:r>
              <w:rPr>
                <w:rFonts w:ascii="Consolas" w:hAnsi="Consolas"/>
                <w:sz w:val="15"/>
              </w:rPr>
              <w:t>blueprints/subscription/models/subscription_transfer.py</w:t>
            </w:r>
          </w:p>
        </w:tc>
        <w:tc>
          <w:tcPr>
            <w:tcW w:type="dxa" w:w="4464"/>
          </w:tcPr>
          <w:p>
            <w:r>
              <w:rPr>
                <w:rFonts w:ascii="Consolas" w:hAnsi="Consolas"/>
                <w:sz w:val="15"/>
              </w:rPr>
              <w:t>subscription_transfer</w:t>
            </w:r>
          </w:p>
        </w:tc>
      </w:tr>
      <w:tr>
        <w:tc>
          <w:tcPr>
            <w:tcW w:type="dxa" w:w="5616"/>
          </w:tcPr>
          <w:p>
            <w:r>
              <w:rPr>
                <w:rFonts w:ascii="Consolas" w:hAnsi="Consolas"/>
                <w:sz w:val="15"/>
              </w:rPr>
              <w:t>blueprints/subscription/models/user_stripe_customer.py</w:t>
            </w:r>
          </w:p>
        </w:tc>
        <w:tc>
          <w:tcPr>
            <w:tcW w:type="dxa" w:w="4464"/>
          </w:tcPr>
          <w:p>
            <w:r>
              <w:rPr>
                <w:rFonts w:ascii="Consolas" w:hAnsi="Consolas"/>
                <w:sz w:val="15"/>
              </w:rPr>
              <w:t>user_stripe_customer</w:t>
            </w:r>
          </w:p>
        </w:tc>
      </w:tr>
      <w:tr>
        <w:tc>
          <w:tcPr>
            <w:tcW w:type="dxa" w:w="5616"/>
          </w:tcPr>
          <w:p>
            <w:r>
              <w:rPr>
                <w:rFonts w:ascii="Consolas" w:hAnsi="Consolas"/>
                <w:sz w:val="15"/>
              </w:rPr>
              <w:t>blueprints/user_management/models/permissions.py</w:t>
            </w:r>
          </w:p>
        </w:tc>
        <w:tc>
          <w:tcPr>
            <w:tcW w:type="dxa" w:w="4464"/>
          </w:tcPr>
          <w:p>
            <w:r>
              <w:rPr>
                <w:rFonts w:ascii="Consolas" w:hAnsi="Consolas"/>
                <w:sz w:val="15"/>
              </w:rPr>
              <w:t>permissions</w:t>
            </w:r>
          </w:p>
        </w:tc>
      </w:tr>
      <w:tr>
        <w:tc>
          <w:tcPr>
            <w:tcW w:type="dxa" w:w="5616"/>
          </w:tcPr>
          <w:p>
            <w:r>
              <w:rPr>
                <w:rFonts w:ascii="Consolas" w:hAnsi="Consolas"/>
                <w:sz w:val="15"/>
              </w:rPr>
              <w:t>blueprints/user_management/models/role_permissions.py</w:t>
            </w:r>
          </w:p>
        </w:tc>
        <w:tc>
          <w:tcPr>
            <w:tcW w:type="dxa" w:w="4464"/>
          </w:tcPr>
          <w:p>
            <w:r>
              <w:rPr>
                <w:rFonts w:ascii="Consolas" w:hAnsi="Consolas"/>
                <w:sz w:val="15"/>
              </w:rPr>
              <w:t>role_permissions</w:t>
            </w:r>
          </w:p>
        </w:tc>
      </w:tr>
      <w:tr>
        <w:tc>
          <w:tcPr>
            <w:tcW w:type="dxa" w:w="5616"/>
          </w:tcPr>
          <w:p>
            <w:r>
              <w:rPr>
                <w:rFonts w:ascii="Consolas" w:hAnsi="Consolas"/>
                <w:sz w:val="15"/>
              </w:rPr>
              <w:t>blueprints/user_management/models/roles.py</w:t>
            </w:r>
          </w:p>
        </w:tc>
        <w:tc>
          <w:tcPr>
            <w:tcW w:type="dxa" w:w="4464"/>
          </w:tcPr>
          <w:p>
            <w:r>
              <w:rPr>
                <w:rFonts w:ascii="Consolas" w:hAnsi="Consolas"/>
                <w:sz w:val="15"/>
              </w:rPr>
              <w:t>roles</w:t>
            </w:r>
          </w:p>
        </w:tc>
      </w:tr>
      <w:tr>
        <w:tc>
          <w:tcPr>
            <w:tcW w:type="dxa" w:w="5616"/>
          </w:tcPr>
          <w:p>
            <w:r>
              <w:rPr>
                <w:rFonts w:ascii="Consolas" w:hAnsi="Consolas"/>
                <w:sz w:val="15"/>
              </w:rPr>
              <w:t>blueprints/xero/models/account_info.py</w:t>
            </w:r>
          </w:p>
        </w:tc>
        <w:tc>
          <w:tcPr>
            <w:tcW w:type="dxa" w:w="4464"/>
          </w:tcPr>
          <w:p>
            <w:r>
              <w:rPr>
                <w:rFonts w:ascii="Consolas" w:hAnsi="Consolas"/>
                <w:sz w:val="15"/>
              </w:rPr>
              <w:t>account_info</w:t>
            </w:r>
          </w:p>
        </w:tc>
      </w:tr>
      <w:tr>
        <w:tc>
          <w:tcPr>
            <w:tcW w:type="dxa" w:w="5616"/>
          </w:tcPr>
          <w:p>
            <w:r>
              <w:rPr>
                <w:rFonts w:ascii="Consolas" w:hAnsi="Consolas"/>
                <w:sz w:val="15"/>
              </w:rPr>
              <w:t>blueprints/xero/models/entity_account_xero.py</w:t>
            </w:r>
          </w:p>
        </w:tc>
        <w:tc>
          <w:tcPr>
            <w:tcW w:type="dxa" w:w="4464"/>
          </w:tcPr>
          <w:p>
            <w:r>
              <w:rPr>
                <w:rFonts w:ascii="Consolas" w:hAnsi="Consolas"/>
                <w:sz w:val="15"/>
              </w:rPr>
              <w:t>entity_account_xero</w:t>
            </w:r>
          </w:p>
        </w:tc>
      </w:tr>
      <w:tr>
        <w:tc>
          <w:tcPr>
            <w:tcW w:type="dxa" w:w="5616"/>
          </w:tcPr>
          <w:p>
            <w:r>
              <w:rPr>
                <w:rFonts w:ascii="Consolas" w:hAnsi="Consolas"/>
                <w:sz w:val="15"/>
              </w:rPr>
              <w:t>blueprints/xero/models/xero_bank_transaction.py</w:t>
            </w:r>
          </w:p>
        </w:tc>
        <w:tc>
          <w:tcPr>
            <w:tcW w:type="dxa" w:w="4464"/>
          </w:tcPr>
          <w:p>
            <w:r>
              <w:rPr>
                <w:rFonts w:ascii="Consolas" w:hAnsi="Consolas"/>
                <w:sz w:val="15"/>
              </w:rPr>
              <w:t>xero_bank_transaction</w:t>
            </w:r>
          </w:p>
        </w:tc>
      </w:tr>
      <w:tr>
        <w:tc>
          <w:tcPr>
            <w:tcW w:type="dxa" w:w="5616"/>
          </w:tcPr>
          <w:p>
            <w:r>
              <w:rPr>
                <w:rFonts w:ascii="Consolas" w:hAnsi="Consolas"/>
                <w:sz w:val="15"/>
              </w:rPr>
              <w:t>blueprints/xero/models/xero_bank_transfer.py</w:t>
            </w:r>
          </w:p>
        </w:tc>
        <w:tc>
          <w:tcPr>
            <w:tcW w:type="dxa" w:w="4464"/>
          </w:tcPr>
          <w:p>
            <w:r>
              <w:rPr>
                <w:rFonts w:ascii="Consolas" w:hAnsi="Consolas"/>
                <w:sz w:val="15"/>
              </w:rPr>
              <w:t>xero_bank_transfer</w:t>
            </w:r>
          </w:p>
        </w:tc>
      </w:tr>
      <w:tr>
        <w:tc>
          <w:tcPr>
            <w:tcW w:type="dxa" w:w="5616"/>
          </w:tcPr>
          <w:p>
            <w:r>
              <w:rPr>
                <w:rFonts w:ascii="Consolas" w:hAnsi="Consolas"/>
                <w:sz w:val="15"/>
              </w:rPr>
              <w:t>blueprints/xero/models/xero_contact_sync.py</w:t>
            </w:r>
          </w:p>
        </w:tc>
        <w:tc>
          <w:tcPr>
            <w:tcW w:type="dxa" w:w="4464"/>
          </w:tcPr>
          <w:p>
            <w:r>
              <w:rPr>
                <w:rFonts w:ascii="Consolas" w:hAnsi="Consolas"/>
                <w:sz w:val="15"/>
              </w:rPr>
              <w:t>xero_contact_sync</w:t>
            </w:r>
          </w:p>
        </w:tc>
      </w:tr>
      <w:tr>
        <w:tc>
          <w:tcPr>
            <w:tcW w:type="dxa" w:w="5616"/>
          </w:tcPr>
          <w:p>
            <w:r>
              <w:rPr>
                <w:rFonts w:ascii="Consolas" w:hAnsi="Consolas"/>
                <w:sz w:val="15"/>
              </w:rPr>
              <w:t>blueprints/xero/models/xero_report_sync.py</w:t>
            </w:r>
          </w:p>
        </w:tc>
        <w:tc>
          <w:tcPr>
            <w:tcW w:type="dxa" w:w="4464"/>
          </w:tcPr>
          <w:p>
            <w:r>
              <w:rPr>
                <w:rFonts w:ascii="Consolas" w:hAnsi="Consolas"/>
                <w:sz w:val="15"/>
              </w:rPr>
              <w:t>xero_report_sync</w:t>
            </w:r>
          </w:p>
        </w:tc>
      </w:tr>
    </w:tbl>
    <w:p>
      <w:pPr>
        <w:spacing w:after="40"/>
      </w:pPr>
    </w:p>
    <w:p>
      <w:pPr>
        <w:pStyle w:val="Heading2"/>
      </w:pPr>
      <w:r>
        <w:rPr>
          <w:color w:val="5E6B65"/>
        </w:rPr>
        <w:t>ORM</w:t>
      </w:r>
      <w:r>
        <w:rPr>
          <w:b w:val="0"/>
          <w:color w:val="5E6B65"/>
          <w:sz w:val="17"/>
        </w:rPr>
        <w:t xml:space="preserve">   86 files</w:t>
      </w:r>
    </w:p>
    <w:p>
      <w:pPr>
        <w:spacing w:after="80"/>
      </w:pPr>
      <w:r>
        <w:rPr>
          <w:i w:val="0"/>
          <w:color w:val="5E6B65"/>
          <w:sz w:val="17"/>
        </w:rPr>
        <w:t>Query or write through the session without declaring a table or running raw SQL. Listed by area rather than individually - a rename survives these, a column drop does not.</w:t>
      </w:r>
    </w:p>
    <w:tbl>
      <w:tblPr>
        <w:tblStyle w:val="TableGrid"/>
        <w:tblW w:type="auto" w:w="0"/>
        <w:tblLayout w:type="fixed"/>
        <w:tblLook w:firstColumn="1" w:firstRow="1" w:lastColumn="0" w:lastRow="0" w:noHBand="0" w:noVBand="1" w:val="04A0"/>
      </w:tblPr>
      <w:tblGrid>
        <w:gridCol w:w="3408"/>
        <w:gridCol w:w="3408"/>
        <w:gridCol w:w="3408"/>
      </w:tblGrid>
      <w:tr>
        <w:tc>
          <w:tcPr>
            <w:tcW w:type="dxa" w:w="2160"/>
            <w:shd w:val="clear" w:fill="EFF2EF"/>
          </w:tcPr>
          <w:p>
            <w:r>
              <w:rPr>
                <w:b/>
                <w:sz w:val="17"/>
              </w:rPr>
              <w:t>Area</w:t>
            </w:r>
          </w:p>
        </w:tc>
        <w:tc>
          <w:tcPr>
            <w:tcW w:type="dxa" w:w="504"/>
            <w:shd w:val="clear" w:fill="EFF2EF"/>
          </w:tcPr>
          <w:p>
            <w:r>
              <w:rPr>
                <w:b/>
                <w:sz w:val="17"/>
              </w:rPr>
              <w:t>n</w:t>
            </w:r>
          </w:p>
        </w:tc>
        <w:tc>
          <w:tcPr>
            <w:tcW w:type="dxa" w:w="7416"/>
            <w:shd w:val="clear" w:fill="EFF2EF"/>
          </w:tcPr>
          <w:p>
            <w:r>
              <w:rPr>
                <w:b/>
                <w:sz w:val="17"/>
              </w:rPr>
              <w:t>Files</w:t>
            </w:r>
          </w:p>
        </w:tc>
      </w:tr>
      <w:tr>
        <w:tc>
          <w:tcPr>
            <w:tcW w:type="dxa" w:w="2160"/>
          </w:tcPr>
          <w:p>
            <w:r>
              <w:rPr>
                <w:rFonts w:ascii="Consolas" w:hAnsi="Consolas"/>
                <w:sz w:val="15"/>
              </w:rPr>
              <w:t>blueprints/auth</w:t>
            </w:r>
          </w:p>
        </w:tc>
        <w:tc>
          <w:tcPr>
            <w:tcW w:type="dxa" w:w="504"/>
          </w:tcPr>
          <w:p>
            <w:r>
              <w:rPr>
                <w:sz w:val="16"/>
              </w:rPr>
              <w:t>8</w:t>
            </w:r>
          </w:p>
        </w:tc>
        <w:tc>
          <w:tcPr>
            <w:tcW w:type="dxa" w:w="7416"/>
          </w:tcPr>
          <w:p>
            <w:r>
              <w:rPr>
                <w:rFonts w:ascii="Consolas" w:hAnsi="Consolas"/>
                <w:sz w:val="15"/>
              </w:rPr>
              <w:t>dashboard.py, email_auth.py, email_auth.py, identity.py, login.py, password_reset.py, permissions.py, register.py</w:t>
            </w:r>
          </w:p>
        </w:tc>
      </w:tr>
      <w:tr>
        <w:tc>
          <w:tcPr>
            <w:tcW w:type="dxa" w:w="2160"/>
          </w:tcPr>
          <w:p>
            <w:r>
              <w:rPr>
                <w:rFonts w:ascii="Consolas" w:hAnsi="Consolas"/>
                <w:sz w:val="15"/>
              </w:rPr>
              <w:t>blueprints/entity</w:t>
            </w:r>
          </w:p>
        </w:tc>
        <w:tc>
          <w:tcPr>
            <w:tcW w:type="dxa" w:w="504"/>
          </w:tcPr>
          <w:p>
            <w:r>
              <w:rPr>
                <w:sz w:val="16"/>
              </w:rPr>
              <w:t>14</w:t>
            </w:r>
          </w:p>
        </w:tc>
        <w:tc>
          <w:tcPr>
            <w:tcW w:type="dxa" w:w="7416"/>
          </w:tcPr>
          <w:p>
            <w:r>
              <w:rPr>
                <w:rFonts w:ascii="Consolas" w:hAnsi="Consolas"/>
                <w:sz w:val="15"/>
              </w:rPr>
              <w:t>billing_sync.py, create.py, list.py, modules.py, modules.py, onboarding_account_codes.py, onboarding_invites.py, onboarding_state.py, onboarding_xero.py, payment_methods.py, settings.py, shared.py, xero_account_mapping_post.py, xero_mapping_form_context.py</w:t>
            </w:r>
          </w:p>
        </w:tc>
      </w:tr>
      <w:tr>
        <w:tc>
          <w:tcPr>
            <w:tcW w:type="dxa" w:w="2160"/>
          </w:tcPr>
          <w:p>
            <w:r>
              <w:rPr>
                <w:rFonts w:ascii="Consolas" w:hAnsi="Consolas"/>
                <w:sz w:val="15"/>
              </w:rPr>
              <w:t>blueprints/invitation</w:t>
            </w:r>
          </w:p>
        </w:tc>
        <w:tc>
          <w:tcPr>
            <w:tcW w:type="dxa" w:w="504"/>
          </w:tcPr>
          <w:p>
            <w:r>
              <w:rPr>
                <w:sz w:val="16"/>
              </w:rPr>
              <w:t>3</w:t>
            </w:r>
          </w:p>
        </w:tc>
        <w:tc>
          <w:tcPr>
            <w:tcW w:type="dxa" w:w="7416"/>
          </w:tcPr>
          <w:p>
            <w:r>
              <w:rPr>
                <w:rFonts w:ascii="Consolas" w:hAnsi="Consolas"/>
                <w:sz w:val="15"/>
              </w:rPr>
              <w:t>accept.py, api.py, invite.py</w:t>
            </w:r>
          </w:p>
        </w:tc>
      </w:tr>
      <w:tr>
        <w:tc>
          <w:tcPr>
            <w:tcW w:type="dxa" w:w="2160"/>
          </w:tcPr>
          <w:p>
            <w:r>
              <w:rPr>
                <w:rFonts w:ascii="Consolas" w:hAnsi="Consolas"/>
                <w:sz w:val="15"/>
              </w:rPr>
              <w:t>blueprints/legal</w:t>
            </w:r>
          </w:p>
        </w:tc>
        <w:tc>
          <w:tcPr>
            <w:tcW w:type="dxa" w:w="504"/>
          </w:tcPr>
          <w:p>
            <w:r>
              <w:rPr>
                <w:sz w:val="16"/>
              </w:rPr>
              <w:t>4</w:t>
            </w:r>
          </w:p>
        </w:tc>
        <w:tc>
          <w:tcPr>
            <w:tcW w:type="dxa" w:w="7416"/>
          </w:tcPr>
          <w:p>
            <w:r>
              <w:rPr>
                <w:rFonts w:ascii="Consolas" w:hAnsi="Consolas"/>
                <w:sz w:val="15"/>
              </w:rPr>
              <w:t>accept.py, admin.py, consent.py, documents.py</w:t>
            </w:r>
          </w:p>
        </w:tc>
      </w:tr>
      <w:tr>
        <w:tc>
          <w:tcPr>
            <w:tcW w:type="dxa" w:w="2160"/>
          </w:tcPr>
          <w:p>
            <w:r>
              <w:rPr>
                <w:rFonts w:ascii="Consolas" w:hAnsi="Consolas"/>
                <w:sz w:val="15"/>
              </w:rPr>
              <w:t>blueprints/report</w:t>
            </w:r>
          </w:p>
        </w:tc>
        <w:tc>
          <w:tcPr>
            <w:tcW w:type="dxa" w:w="504"/>
          </w:tcPr>
          <w:p>
            <w:r>
              <w:rPr>
                <w:sz w:val="16"/>
              </w:rPr>
              <w:t>21</w:t>
            </w:r>
          </w:p>
        </w:tc>
        <w:tc>
          <w:tcPr>
            <w:tcW w:type="dxa" w:w="7416"/>
          </w:tcPr>
          <w:p>
            <w:r>
              <w:rPr>
                <w:rFonts w:ascii="Consolas" w:hAnsi="Consolas"/>
                <w:sz w:val="15"/>
              </w:rPr>
              <w:t>api.py, cash_count.py, cash_denominations.py, create.py, deposit.py, download.py, ending.py, expense.py, export_screenshot.py, history.py, history_query.py, legacy.py, module_guard.py, opening.py, report_detail.py, report_detail.py, report_download.py, sales.py, share.py, shared.py, submitted.py</w:t>
            </w:r>
          </w:p>
        </w:tc>
      </w:tr>
      <w:tr>
        <w:tc>
          <w:tcPr>
            <w:tcW w:type="dxa" w:w="2160"/>
          </w:tcPr>
          <w:p>
            <w:r>
              <w:rPr>
                <w:rFonts w:ascii="Consolas" w:hAnsi="Consolas"/>
                <w:sz w:val="15"/>
              </w:rPr>
              <w:t>blueprints/subscription</w:t>
            </w:r>
          </w:p>
        </w:tc>
        <w:tc>
          <w:tcPr>
            <w:tcW w:type="dxa" w:w="504"/>
          </w:tcPr>
          <w:p>
            <w:r>
              <w:rPr>
                <w:sz w:val="16"/>
              </w:rPr>
              <w:t>16</w:t>
            </w:r>
          </w:p>
        </w:tc>
        <w:tc>
          <w:tcPr>
            <w:tcW w:type="dxa" w:w="7416"/>
          </w:tcPr>
          <w:p>
            <w:r>
              <w:rPr>
                <w:rFonts w:ascii="Consolas" w:hAnsi="Consolas"/>
                <w:sz w:val="15"/>
              </w:rPr>
              <w:t>access_sweep.py, cards.py, catalog.py, checkout.py, consent.py, money.py, notices.py, notify.py, panel.py, payment_methods.py, policy.py, portal.py, portal.py, renewals.py, store.py, transfers.py</w:t>
            </w:r>
          </w:p>
        </w:tc>
      </w:tr>
      <w:tr>
        <w:tc>
          <w:tcPr>
            <w:tcW w:type="dxa" w:w="2160"/>
          </w:tcPr>
          <w:p>
            <w:r>
              <w:rPr>
                <w:rFonts w:ascii="Consolas" w:hAnsi="Consolas"/>
                <w:sz w:val="15"/>
              </w:rPr>
              <w:t>blueprints/user_management</w:t>
            </w:r>
          </w:p>
        </w:tc>
        <w:tc>
          <w:tcPr>
            <w:tcW w:type="dxa" w:w="504"/>
          </w:tcPr>
          <w:p>
            <w:r>
              <w:rPr>
                <w:sz w:val="16"/>
              </w:rPr>
              <w:t>6</w:t>
            </w:r>
          </w:p>
        </w:tc>
        <w:tc>
          <w:tcPr>
            <w:tcW w:type="dxa" w:w="7416"/>
          </w:tcPr>
          <w:p>
            <w:r>
              <w:rPr>
                <w:rFonts w:ascii="Consolas" w:hAnsi="Consolas"/>
                <w:sz w:val="15"/>
              </w:rPr>
              <w:t>admin_dashboard.py, approve_reject_access.py, create_user.py, find_user.py, roles.py, roles.py</w:t>
            </w:r>
          </w:p>
        </w:tc>
      </w:tr>
      <w:tr>
        <w:tc>
          <w:tcPr>
            <w:tcW w:type="dxa" w:w="2160"/>
          </w:tcPr>
          <w:p>
            <w:r>
              <w:rPr>
                <w:rFonts w:ascii="Consolas" w:hAnsi="Consolas"/>
                <w:sz w:val="15"/>
              </w:rPr>
              <w:t>blueprints/xero</w:t>
            </w:r>
          </w:p>
        </w:tc>
        <w:tc>
          <w:tcPr>
            <w:tcW w:type="dxa" w:w="504"/>
          </w:tcPr>
          <w:p>
            <w:r>
              <w:rPr>
                <w:sz w:val="16"/>
              </w:rPr>
              <w:t>6</w:t>
            </w:r>
          </w:p>
        </w:tc>
        <w:tc>
          <w:tcPr>
            <w:tcW w:type="dxa" w:w="7416"/>
          </w:tcPr>
          <w:p>
            <w:r>
              <w:rPr>
                <w:rFonts w:ascii="Consolas" w:hAnsi="Consolas"/>
                <w:sz w:val="15"/>
              </w:rPr>
              <w:t>integration.py, publish.py, publish_resolution.py, routes.py, settings.py, settings.py</w:t>
            </w:r>
          </w:p>
        </w:tc>
      </w:tr>
      <w:tr>
        <w:tc>
          <w:tcPr>
            <w:tcW w:type="dxa" w:w="2160"/>
          </w:tcPr>
          <w:p>
            <w:r>
              <w:rPr>
                <w:rFonts w:ascii="Consolas" w:hAnsi="Consolas"/>
                <w:sz w:val="15"/>
              </w:rPr>
              <w:t>cli</w:t>
            </w:r>
          </w:p>
        </w:tc>
        <w:tc>
          <w:tcPr>
            <w:tcW w:type="dxa" w:w="504"/>
          </w:tcPr>
          <w:p>
            <w:r>
              <w:rPr>
                <w:sz w:val="16"/>
              </w:rPr>
              <w:t>2</w:t>
            </w:r>
          </w:p>
        </w:tc>
        <w:tc>
          <w:tcPr>
            <w:tcW w:type="dxa" w:w="7416"/>
          </w:tcPr>
          <w:p>
            <w:r>
              <w:rPr>
                <w:rFonts w:ascii="Consolas" w:hAnsi="Consolas"/>
                <w:sz w:val="15"/>
              </w:rPr>
              <w:t>modules.py, subscription_access.py</w:t>
            </w:r>
          </w:p>
        </w:tc>
      </w:tr>
      <w:tr>
        <w:tc>
          <w:tcPr>
            <w:tcW w:type="dxa" w:w="2160"/>
          </w:tcPr>
          <w:p>
            <w:r>
              <w:rPr>
                <w:rFonts w:ascii="Consolas" w:hAnsi="Consolas"/>
                <w:sz w:val="15"/>
              </w:rPr>
              <w:t>pettycash</w:t>
            </w:r>
          </w:p>
        </w:tc>
        <w:tc>
          <w:tcPr>
            <w:tcW w:type="dxa" w:w="504"/>
          </w:tcPr>
          <w:p>
            <w:r>
              <w:rPr>
                <w:sz w:val="16"/>
              </w:rPr>
              <w:t>1</w:t>
            </w:r>
          </w:p>
        </w:tc>
        <w:tc>
          <w:tcPr>
            <w:tcW w:type="dxa" w:w="7416"/>
          </w:tcPr>
          <w:p>
            <w:r>
              <w:rPr>
                <w:rFonts w:ascii="Consolas" w:hAnsi="Consolas"/>
                <w:sz w:val="15"/>
              </w:rPr>
              <w:t>hooks.py</w:t>
            </w:r>
          </w:p>
        </w:tc>
      </w:tr>
      <w:tr>
        <w:tc>
          <w:tcPr>
            <w:tcW w:type="dxa" w:w="2160"/>
          </w:tcPr>
          <w:p>
            <w:r>
              <w:rPr>
                <w:rFonts w:ascii="Consolas" w:hAnsi="Consolas"/>
                <w:sz w:val="15"/>
              </w:rPr>
              <w:t>services</w:t>
            </w:r>
          </w:p>
        </w:tc>
        <w:tc>
          <w:tcPr>
            <w:tcW w:type="dxa" w:w="504"/>
          </w:tcPr>
          <w:p>
            <w:r>
              <w:rPr>
                <w:sz w:val="16"/>
              </w:rPr>
              <w:t>5</w:t>
            </w:r>
          </w:p>
        </w:tc>
        <w:tc>
          <w:tcPr>
            <w:tcW w:type="dxa" w:w="7416"/>
          </w:tcPr>
          <w:p>
            <w:r>
              <w:rPr>
                <w:rFonts w:ascii="Consolas" w:hAnsi="Consolas"/>
                <w:sz w:val="15"/>
              </w:rPr>
              <w:t>permission_policy.py, session.py, user_presence.py, xero_bridge.py, xero_service.py</w:t>
            </w:r>
          </w:p>
        </w:tc>
      </w:tr>
    </w:tbl>
    <w:p>
      <w:pPr>
        <w:spacing w:after="40"/>
      </w:pPr>
    </w:p>
    <w:p>
      <w:pPr>
        <w:pStyle w:val="Heading2"/>
      </w:pPr>
      <w:r>
        <w:rPr>
          <w:color w:val="0B6E55"/>
        </w:rPr>
        <w:t>PLUMBING</w:t>
      </w:r>
      <w:r>
        <w:rPr>
          <w:b w:val="0"/>
          <w:color w:val="5E6B65"/>
          <w:sz w:val="17"/>
        </w:rPr>
        <w:t xml:space="preserve">   8 files</w:t>
      </w:r>
    </w:p>
    <w:tbl>
      <w:tblPr>
        <w:tblStyle w:val="TableGrid"/>
        <w:tblW w:type="auto" w:w="0"/>
        <w:tblLayout w:type="fixed"/>
        <w:tblLook w:firstColumn="1" w:firstRow="1" w:lastColumn="0" w:lastRow="0" w:noHBand="0" w:noVBand="1" w:val="04A0"/>
      </w:tblPr>
      <w:tblGrid>
        <w:gridCol w:w="5112"/>
        <w:gridCol w:w="5112"/>
      </w:tblGrid>
      <w:tr>
        <w:tc>
          <w:tcPr>
            <w:tcW w:type="dxa" w:w="3456"/>
            <w:shd w:val="clear" w:fill="EFF2EF"/>
          </w:tcPr>
          <w:p>
            <w:r>
              <w:rPr>
                <w:b/>
                <w:sz w:val="17"/>
              </w:rPr>
              <w:t>File</w:t>
            </w:r>
          </w:p>
        </w:tc>
        <w:tc>
          <w:tcPr>
            <w:tcW w:type="dxa" w:w="6624"/>
            <w:shd w:val="clear" w:fill="EFF2EF"/>
          </w:tcPr>
          <w:p>
            <w:r>
              <w:rPr>
                <w:b/>
                <w:sz w:val="17"/>
              </w:rPr>
              <w:t>What it decides</w:t>
            </w:r>
          </w:p>
        </w:tc>
      </w:tr>
      <w:tr>
        <w:tc>
          <w:tcPr>
            <w:tcW w:type="dxa" w:w="3456"/>
          </w:tcPr>
          <w:p>
            <w:r>
              <w:rPr>
                <w:rFonts w:ascii="Consolas" w:hAnsi="Consolas"/>
                <w:sz w:val="15"/>
              </w:rPr>
              <w:t>models/db.py</w:t>
            </w:r>
          </w:p>
        </w:tc>
        <w:tc>
          <w:tcPr>
            <w:tcW w:type="dxa" w:w="6624"/>
          </w:tcPr>
          <w:p>
            <w:r>
              <w:rPr>
                <w:sz w:val="16"/>
              </w:rPr>
              <w:t>Declares db = SQLAlchemy() and imports all 42 model modules. The single registration chokepoint - see the P1 note in the Minty work document.</w:t>
            </w:r>
          </w:p>
        </w:tc>
      </w:tr>
      <w:tr>
        <w:tc>
          <w:tcPr>
            <w:tcW w:type="dxa" w:w="3456"/>
          </w:tcPr>
          <w:p>
            <w:r>
              <w:rPr>
                <w:rFonts w:ascii="Consolas" w:hAnsi="Consolas"/>
                <w:sz w:val="15"/>
              </w:rPr>
              <w:t>services/app_runtime/legacy/bootstrap.py</w:t>
            </w:r>
          </w:p>
        </w:tc>
        <w:tc>
          <w:tcPr>
            <w:tcW w:type="dxa" w:w="6624"/>
          </w:tcPr>
          <w:p>
            <w:r>
              <w:rPr>
                <w:sz w:val="16"/>
              </w:rPr>
              <w:t>Chooses the URI (RDS_DATABASE_URI vs LOCAL_DATABASE_URI), sets pool options, calls db.init_app() and Migrate(), and puts the session table in the pettycashv2 schema.</w:t>
            </w:r>
          </w:p>
        </w:tc>
      </w:tr>
      <w:tr>
        <w:tc>
          <w:tcPr>
            <w:tcW w:type="dxa" w:w="3456"/>
          </w:tcPr>
          <w:p>
            <w:r>
              <w:rPr>
                <w:rFonts w:ascii="Consolas" w:hAnsi="Consolas"/>
                <w:sz w:val="15"/>
              </w:rPr>
              <w:t>migrations/env.py</w:t>
            </w:r>
          </w:p>
        </w:tc>
        <w:tc>
          <w:tcPr>
            <w:tcW w:type="dxa" w:w="6624"/>
          </w:tcPr>
          <w:p>
            <w:r>
              <w:rPr>
                <w:sz w:val="16"/>
              </w:rPr>
              <w:t>Alembic wiring; pins version_table_schema='pettycashv2'.</w:t>
            </w:r>
          </w:p>
        </w:tc>
      </w:tr>
      <w:tr>
        <w:tc>
          <w:tcPr>
            <w:tcW w:type="dxa" w:w="3456"/>
          </w:tcPr>
          <w:p>
            <w:r>
              <w:rPr>
                <w:rFonts w:ascii="Consolas" w:hAnsi="Consolas"/>
                <w:sz w:val="15"/>
              </w:rPr>
              <w:t>config.py</w:t>
            </w:r>
          </w:p>
        </w:tc>
        <w:tc>
          <w:tcPr>
            <w:tcW w:type="dxa" w:w="6624"/>
          </w:tcPr>
          <w:p>
            <w:r>
              <w:rPr>
                <w:sz w:val="16"/>
              </w:rPr>
              <w:t>SQLALCHEMY_LOCAL_DATABASE_URI / SQLALCHEMY_RDS_DATABASE_URI.</w:t>
            </w:r>
          </w:p>
        </w:tc>
      </w:tr>
      <w:tr>
        <w:tc>
          <w:tcPr>
            <w:tcW w:type="dxa" w:w="3456"/>
          </w:tcPr>
          <w:p>
            <w:r>
              <w:rPr>
                <w:rFonts w:ascii="Consolas" w:hAnsi="Consolas"/>
                <w:sz w:val="15"/>
              </w:rPr>
              <w:t>default_settings.py</w:t>
            </w:r>
          </w:p>
        </w:tc>
        <w:tc>
          <w:tcPr>
            <w:tcW w:type="dxa" w:w="6624"/>
          </w:tcPr>
          <w:p>
            <w:r>
              <w:rPr>
                <w:sz w:val="16"/>
              </w:rPr>
              <w:t>SQLALCHEMY_DATABASE_URI from RDS_DATABASE_URI.</w:t>
            </w:r>
          </w:p>
        </w:tc>
      </w:tr>
      <w:tr>
        <w:tc>
          <w:tcPr>
            <w:tcW w:type="dxa" w:w="3456"/>
          </w:tcPr>
          <w:p>
            <w:r>
              <w:rPr>
                <w:rFonts w:ascii="Consolas" w:hAnsi="Consolas"/>
                <w:sz w:val="15"/>
              </w:rPr>
              <w:t>pettycash/core/hooks.py</w:t>
            </w:r>
          </w:p>
        </w:tc>
        <w:tc>
          <w:tcPr>
            <w:tcW w:type="dxa" w:w="6624"/>
          </w:tcPr>
          <w:p>
            <w:r>
              <w:rPr>
                <w:sz w:val="16"/>
              </w:rPr>
              <w:t>Per-request teardown: db.session.rollback() and db.session.remove(). Also does ORM reads.</w:t>
            </w:r>
          </w:p>
        </w:tc>
      </w:tr>
      <w:tr>
        <w:tc>
          <w:tcPr>
            <w:tcW w:type="dxa" w:w="3456"/>
          </w:tcPr>
          <w:p>
            <w:r>
              <w:rPr>
                <w:rFonts w:ascii="Consolas" w:hAnsi="Consolas"/>
                <w:sz w:val="15"/>
              </w:rPr>
              <w:t>docker/docker-entrypoint.sh</w:t>
            </w:r>
          </w:p>
        </w:tc>
        <w:tc>
          <w:tcPr>
            <w:tcW w:type="dxa" w:w="6624"/>
          </w:tcPr>
          <w:p>
            <w:r>
              <w:rPr>
                <w:sz w:val="16"/>
              </w:rPr>
              <w:t>The only place outside the app that builds its own engine: create_engine(), SELECT 1, then CREATE SCHEMA IF NOT EXISTS pettycashv2.</w:t>
            </w:r>
          </w:p>
        </w:tc>
      </w:tr>
      <w:tr>
        <w:tc>
          <w:tcPr>
            <w:tcW w:type="dxa" w:w="3456"/>
          </w:tcPr>
          <w:p>
            <w:r>
              <w:rPr>
                <w:rFonts w:ascii="Consolas" w:hAnsi="Consolas"/>
                <w:sz w:val="15"/>
              </w:rPr>
              <w:t>tests/conftest.py</w:t>
            </w:r>
          </w:p>
        </w:tc>
        <w:tc>
          <w:tcPr>
            <w:tcW w:type="dxa" w:w="6624"/>
          </w:tcPr>
          <w:p>
            <w:r>
              <w:rPr>
                <w:sz w:val="16"/>
              </w:rPr>
              <w:t>Points both URIs at a SQLite file and imports main, building the whole engine. Note that 27 test files each carry their OWN duplicated schema-bootstrap fixture; conftest contains no database code at all.</w:t>
            </w:r>
          </w:p>
        </w:tc>
      </w:tr>
    </w:tbl>
    <w:p>
      <w:pPr>
        <w:spacing w:after="40"/>
      </w:pPr>
    </w:p>
    <w:p>
      <w:r>
        <w:br w:type="page"/>
      </w:r>
    </w:p>
    <w:p>
      <w:pPr>
        <w:pStyle w:val="Heading1"/>
      </w:pPr>
      <w:r>
        <w:t>billing-backend  -  files that depend on the database</w:t>
      </w:r>
    </w:p>
    <w:p>
      <w:pPr>
        <w:spacing w:after="160"/>
      </w:pPr>
      <w:r>
        <w:rPr>
          <w:i w:val="0"/>
          <w:color w:val="5E6B65"/>
          <w:sz w:val="17"/>
        </w:rPr>
        <w:t>Django 5. 19 migrations, head 0019, clean tree. Runs on search_path=pettycashv2,public.</w:t>
      </w:r>
    </w:p>
    <w:p>
      <w:pPr>
        <w:pStyle w:val="Heading2"/>
      </w:pPr>
      <w:r>
        <w:rPr>
          <w:color w:val="B23A2E"/>
        </w:rPr>
        <w:t>RAW SQL</w:t>
      </w:r>
      <w:r>
        <w:rPr>
          <w:b w:val="0"/>
          <w:color w:val="5E6B65"/>
          <w:sz w:val="17"/>
        </w:rPr>
        <w:t xml:space="preserve">   6 sites</w:t>
      </w:r>
    </w:p>
    <w:p>
      <w:pPr>
        <w:spacing w:after="80"/>
      </w:pPr>
      <w:r>
        <w:rPr>
          <w:i w:val="0"/>
          <w:color w:val="5E6B65"/>
          <w:sz w:val="17"/>
        </w:rPr>
        <w:t>THREE OF THESE ARE UNQUALIFIED, against tables Minty owns. This is the highest-risk finding in this document.</w:t>
      </w:r>
    </w:p>
    <w:tbl>
      <w:tblPr>
        <w:tblStyle w:val="TableGrid"/>
        <w:tblW w:type="auto" w:w="0"/>
        <w:tblLayout w:type="fixed"/>
        <w:tblLook w:firstColumn="1" w:firstRow="1" w:lastColumn="0" w:lastRow="0" w:noHBand="0" w:noVBand="1" w:val="04A0"/>
      </w:tblPr>
      <w:tblGrid>
        <w:gridCol w:w="3408"/>
        <w:gridCol w:w="3408"/>
        <w:gridCol w:w="3408"/>
      </w:tblGrid>
      <w:tr>
        <w:tc>
          <w:tcPr>
            <w:tcW w:type="dxa" w:w="2952"/>
            <w:shd w:val="clear" w:fill="EFF2EF"/>
          </w:tcPr>
          <w:p>
            <w:r>
              <w:rPr>
                <w:b/>
                <w:sz w:val="17"/>
              </w:rPr>
              <w:t>File</w:t>
            </w:r>
          </w:p>
        </w:tc>
        <w:tc>
          <w:tcPr>
            <w:tcW w:type="dxa" w:w="1728"/>
            <w:shd w:val="clear" w:fill="EFF2EF"/>
          </w:tcPr>
          <w:p>
            <w:r>
              <w:rPr>
                <w:b/>
                <w:sz w:val="17"/>
              </w:rPr>
              <w:t>Schema</w:t>
            </w:r>
          </w:p>
        </w:tc>
        <w:tc>
          <w:tcPr>
            <w:tcW w:type="dxa" w:w="5400"/>
            <w:shd w:val="clear" w:fill="EFF2EF"/>
          </w:tcPr>
          <w:p>
            <w:r>
              <w:rPr>
                <w:b/>
                <w:sz w:val="17"/>
              </w:rPr>
              <w:t>What it does</w:t>
            </w:r>
          </w:p>
        </w:tc>
      </w:tr>
      <w:tr>
        <w:tc>
          <w:tcPr>
            <w:tcW w:type="dxa" w:w="2952"/>
          </w:tcPr>
          <w:p>
            <w:r>
              <w:rPr>
                <w:rFonts w:ascii="Consolas" w:hAnsi="Consolas"/>
                <w:sz w:val="15"/>
              </w:rPr>
              <w:t>core/auth.py</w:t>
            </w:r>
          </w:p>
        </w:tc>
        <w:tc>
          <w:tcPr>
            <w:tcW w:type="dxa" w:w="1728"/>
          </w:tcPr>
          <w:p>
            <w:r>
              <w:rPr>
                <w:color w:val="B23A2E"/>
                <w:sz w:val="16"/>
              </w:rPr>
              <w:t>UNQUALIFIED</w:t>
            </w:r>
          </w:p>
        </w:tc>
        <w:tc>
          <w:tcPr>
            <w:tcW w:type="dxa" w:w="5400"/>
          </w:tcPr>
          <w:p>
            <w:r>
              <w:rPr>
                <w:sz w:val="16"/>
              </w:rPr>
              <w:t>Three raw SELECTs on user_entity (lines 17, 65, 189) with a bare table name, on the authorisation path. A wrong search_path makes permission checks fail open or closed.</w:t>
            </w:r>
          </w:p>
        </w:tc>
      </w:tr>
      <w:tr>
        <w:tc>
          <w:tcPr>
            <w:tcW w:type="dxa" w:w="2952"/>
          </w:tcPr>
          <w:p>
            <w:r>
              <w:rPr>
                <w:rFonts w:ascii="Consolas" w:hAnsi="Consolas"/>
                <w:sz w:val="15"/>
              </w:rPr>
              <w:t>bills/api_profile.py</w:t>
            </w:r>
          </w:p>
        </w:tc>
        <w:tc>
          <w:tcPr>
            <w:tcW w:type="dxa" w:w="1728"/>
          </w:tcPr>
          <w:p>
            <w:r>
              <w:rPr>
                <w:color w:val="B23A2E"/>
                <w:sz w:val="16"/>
              </w:rPr>
              <w:t>UNQUALIFIED</w:t>
            </w:r>
          </w:p>
        </w:tc>
        <w:tc>
          <w:tcPr>
            <w:tcW w:type="dxa" w:w="5400"/>
          </w:tcPr>
          <w:p>
            <w:r>
              <w:rPr>
                <w:sz w:val="16"/>
              </w:rPr>
              <w:t>SELECT on user_entity; a join over entity_module_subscription and entities; and UPDATE "user" SET approved, access_token, refresh_token, id_token, expires_in, signed_in_at. Four Minty-owned tables, all bare.</w:t>
            </w:r>
          </w:p>
        </w:tc>
      </w:tr>
      <w:tr>
        <w:tc>
          <w:tcPr>
            <w:tcW w:type="dxa" w:w="2952"/>
          </w:tcPr>
          <w:p>
            <w:r>
              <w:rPr>
                <w:rFonts w:ascii="Consolas" w:hAnsi="Consolas"/>
                <w:sz w:val="15"/>
              </w:rPr>
              <w:t>bills/api_config.py</w:t>
            </w:r>
          </w:p>
        </w:tc>
        <w:tc>
          <w:tcPr>
            <w:tcW w:type="dxa" w:w="1728"/>
          </w:tcPr>
          <w:p>
            <w:r>
              <w:rPr>
                <w:color w:val="B23A2E"/>
                <w:sz w:val="16"/>
              </w:rPr>
              <w:t>UNQUALIFIED</w:t>
            </w:r>
          </w:p>
        </w:tc>
        <w:tc>
          <w:tcPr>
            <w:tcW w:type="dxa" w:w="5400"/>
          </w:tcPr>
          <w:p>
            <w:r>
              <w:rPr>
                <w:sz w:val="16"/>
              </w:rPr>
              <w:t>SELECT on user_entity and a join on entities - both bare.</w:t>
            </w:r>
          </w:p>
        </w:tc>
      </w:tr>
      <w:tr>
        <w:tc>
          <w:tcPr>
            <w:tcW w:type="dxa" w:w="2952"/>
          </w:tcPr>
          <w:p>
            <w:r>
              <w:rPr>
                <w:rFonts w:ascii="Consolas" w:hAnsi="Consolas"/>
                <w:sz w:val="15"/>
              </w:rPr>
              <w:t>core/api_session.py</w:t>
            </w:r>
          </w:p>
        </w:tc>
        <w:tc>
          <w:tcPr>
            <w:tcW w:type="dxa" w:w="1728"/>
          </w:tcPr>
          <w:p>
            <w:r>
              <w:rPr>
                <w:color w:val="0B6E55"/>
                <w:sz w:val="16"/>
              </w:rPr>
              <w:t>QUALIFIED</w:t>
            </w:r>
          </w:p>
        </w:tc>
        <w:tc>
          <w:tcPr>
            <w:tcW w:type="dxa" w:w="5400"/>
          </w:tcPr>
          <w:p>
            <w:r>
              <w:rPr>
                <w:sz w:val="16"/>
              </w:rPr>
              <w:t>Joins pettycashv2.entities to pettycashv2.currency_info. Its docstring explains the raw SQL: 'entities is Flask-managed'. This is the pattern the three above should follow.</w:t>
            </w:r>
          </w:p>
        </w:tc>
      </w:tr>
      <w:tr>
        <w:tc>
          <w:tcPr>
            <w:tcW w:type="dxa" w:w="2952"/>
          </w:tcPr>
          <w:p>
            <w:r>
              <w:rPr>
                <w:rFonts w:ascii="Consolas" w:hAnsi="Consolas"/>
                <w:sz w:val="15"/>
              </w:rPr>
              <w:t>core/management/commands/generate_token.py</w:t>
            </w:r>
          </w:p>
        </w:tc>
        <w:tc>
          <w:tcPr>
            <w:tcW w:type="dxa" w:w="1728"/>
          </w:tcPr>
          <w:p>
            <w:r>
              <w:rPr>
                <w:color w:val="0B6E55"/>
                <w:sz w:val="16"/>
              </w:rPr>
              <w:t>QUALIFIED</w:t>
            </w:r>
          </w:p>
        </w:tc>
        <w:tc>
          <w:tcPr>
            <w:tcW w:type="dxa" w:w="5400"/>
          </w:tcPr>
          <w:p>
            <w:r>
              <w:rPr>
                <w:sz w:val="16"/>
              </w:rPr>
              <w:t>Reads pettycashv2.country_info and pettycashv2.currency_info - the only access to country_info anywhere, and it has no model.</w:t>
            </w:r>
          </w:p>
        </w:tc>
      </w:tr>
      <w:tr>
        <w:tc>
          <w:tcPr>
            <w:tcW w:type="dxa" w:w="2952"/>
          </w:tcPr>
          <w:p>
            <w:r>
              <w:rPr>
                <w:rFonts w:ascii="Consolas" w:hAnsi="Consolas"/>
                <w:sz w:val="15"/>
              </w:rPr>
              <w:t>scripts/repair_missing_tables.sql</w:t>
            </w:r>
          </w:p>
        </w:tc>
        <w:tc>
          <w:tcPr>
            <w:tcW w:type="dxa" w:w="1728"/>
          </w:tcPr>
          <w:p>
            <w:r>
              <w:rPr>
                <w:sz w:val="16"/>
              </w:rPr>
              <w:t>MIXED</w:t>
            </w:r>
          </w:p>
        </w:tc>
        <w:tc>
          <w:tcPr>
            <w:tcW w:type="dxa" w:w="5400"/>
          </w:tcPr>
          <w:p>
            <w:r>
              <w:rPr>
                <w:sz w:val="16"/>
              </w:rPr>
              <w:t>Standalone DDL repair script for 12 bills tables plus a django_migrations insert.</w:t>
            </w:r>
          </w:p>
        </w:tc>
      </w:tr>
    </w:tbl>
    <w:p>
      <w:pPr>
        <w:spacing w:after="40"/>
      </w:pPr>
    </w:p>
    <w:p>
      <w:pPr>
        <w:pStyle w:val="Heading2"/>
      </w:pPr>
      <w:r>
        <w:rPr>
          <w:color w:val="141A17"/>
        </w:rPr>
        <w:t>MODEL</w:t>
      </w:r>
      <w:r>
        <w:rPr>
          <w:b w:val="0"/>
          <w:color w:val="5E6B65"/>
          <w:sz w:val="17"/>
        </w:rPr>
        <w:t xml:space="preserve">   2 files, 21 models</w:t>
      </w:r>
    </w:p>
    <w:tbl>
      <w:tblPr>
        <w:tblStyle w:val="TableGrid"/>
        <w:tblW w:type="auto" w:w="0"/>
        <w:tblLayout w:type="fixed"/>
        <w:tblLook w:firstColumn="1" w:firstRow="1" w:lastColumn="0" w:lastRow="0" w:noHBand="0" w:noVBand="1" w:val="04A0"/>
      </w:tblPr>
      <w:tblGrid>
        <w:gridCol w:w="5112"/>
        <w:gridCol w:w="5112"/>
      </w:tblGrid>
      <w:tr>
        <w:tc>
          <w:tcPr>
            <w:tcW w:type="dxa" w:w="2592"/>
            <w:shd w:val="clear" w:fill="EFF2EF"/>
          </w:tcPr>
          <w:p>
            <w:r>
              <w:rPr>
                <w:b/>
                <w:sz w:val="17"/>
              </w:rPr>
              <w:t>File</w:t>
            </w:r>
          </w:p>
        </w:tc>
        <w:tc>
          <w:tcPr>
            <w:tcW w:type="dxa" w:w="7488"/>
            <w:shd w:val="clear" w:fill="EFF2EF"/>
          </w:tcPr>
          <w:p>
            <w:r>
              <w:rPr>
                <w:b/>
                <w:sz w:val="17"/>
              </w:rPr>
              <w:t>What it declares</w:t>
            </w:r>
          </w:p>
        </w:tc>
      </w:tr>
      <w:tr>
        <w:tc>
          <w:tcPr>
            <w:tcW w:type="dxa" w:w="2592"/>
          </w:tcPr>
          <w:p>
            <w:r>
              <w:rPr>
                <w:rFonts w:ascii="Consolas" w:hAnsi="Consolas"/>
                <w:sz w:val="15"/>
              </w:rPr>
              <w:t>bills/models.py</w:t>
            </w:r>
          </w:p>
        </w:tc>
        <w:tc>
          <w:tcPr>
            <w:tcW w:type="dxa" w:w="7488"/>
          </w:tcPr>
          <w:p>
            <w:r>
              <w:rPr>
                <w:sz w:val="16"/>
              </w:rPr>
              <w:t>15 models. 14 are owned by this repo (bill, bill_line_item, audit, payment, attachment, bill_attachment, payment_attachment, entity_function, entity_function_map, entity_bill_account_xero, entity_bill_currency, xero_bill_sync, xero_bill_sync_line, xero_bill_sync_payload, xero_bill_response_line). CurrencyInfo is managed = False and belongs to Minty.</w:t>
            </w:r>
          </w:p>
        </w:tc>
      </w:tr>
      <w:tr>
        <w:tc>
          <w:tcPr>
            <w:tcW w:type="dxa" w:w="2592"/>
          </w:tcPr>
          <w:p>
            <w:r>
              <w:rPr>
                <w:rFonts w:ascii="Consolas" w:hAnsi="Consolas"/>
                <w:sz w:val="15"/>
              </w:rPr>
              <w:t>shared_models/models.py</w:t>
            </w:r>
          </w:p>
        </w:tc>
        <w:tc>
          <w:tcPr>
            <w:tcW w:type="dxa" w:w="7488"/>
          </w:tcPr>
          <w:p>
            <w:r>
              <w:rPr>
                <w:sz w:val="16"/>
              </w:rPr>
              <w:t>6 models, ALL managed = False - the mirror layer. See the table above for which of them this repo writes.</w:t>
            </w:r>
          </w:p>
        </w:tc>
      </w:tr>
    </w:tbl>
    <w:p>
      <w:pPr>
        <w:spacing w:after="40"/>
      </w:pPr>
    </w:p>
    <w:p>
      <w:pPr>
        <w:pStyle w:val="Heading2"/>
      </w:pPr>
      <w:r>
        <w:rPr>
          <w:color w:val="5E6B65"/>
        </w:rPr>
        <w:t>ORM</w:t>
      </w:r>
      <w:r>
        <w:rPr>
          <w:b w:val="0"/>
          <w:color w:val="5E6B65"/>
          <w:sz w:val="17"/>
        </w:rPr>
        <w:t xml:space="preserve">   17 files</w:t>
      </w:r>
    </w:p>
    <w:p>
      <w:pPr>
        <w:spacing w:after="80"/>
      </w:pPr>
      <w:r>
        <w:rPr>
          <w:i w:val="0"/>
          <w:color w:val="5E6B65"/>
          <w:sz w:val="17"/>
        </w:rPr>
        <w:t>bills/api.py, api_audit.py, api_payments.py, api_xero.py, api_xero_actions.py; services/{bill,payment,attachment,audit,contact,profile,xero_publish,xero_token}_service.py and bill_reference_generator.py; core/entitlements.py, core/views.py; plus conftest.py and 26 test modules.</w:t>
      </w:r>
    </w:p>
    <w:p>
      <w:pPr>
        <w:pStyle w:val="Heading2"/>
      </w:pPr>
      <w:r>
        <w:rPr>
          <w:color w:val="0B6E55"/>
        </w:rPr>
        <w:t>PLUMBING</w:t>
      </w:r>
      <w:r>
        <w:rPr>
          <w:b w:val="0"/>
          <w:color w:val="5E6B65"/>
          <w:sz w:val="17"/>
        </w:rPr>
        <w:t xml:space="preserve">   5 files</w:t>
      </w:r>
    </w:p>
    <w:tbl>
      <w:tblPr>
        <w:tblStyle w:val="TableGrid"/>
        <w:tblW w:type="auto" w:w="0"/>
        <w:tblLayout w:type="fixed"/>
        <w:tblLook w:firstColumn="1" w:firstRow="1" w:lastColumn="0" w:lastRow="0" w:noHBand="0" w:noVBand="1" w:val="04A0"/>
      </w:tblPr>
      <w:tblGrid>
        <w:gridCol w:w="5112"/>
        <w:gridCol w:w="5112"/>
      </w:tblGrid>
      <w:tr>
        <w:tc>
          <w:tcPr>
            <w:tcW w:type="dxa" w:w="2880"/>
            <w:shd w:val="clear" w:fill="EFF2EF"/>
          </w:tcPr>
          <w:p>
            <w:r>
              <w:rPr>
                <w:b/>
                <w:sz w:val="17"/>
              </w:rPr>
              <w:t>File</w:t>
            </w:r>
          </w:p>
        </w:tc>
        <w:tc>
          <w:tcPr>
            <w:tcW w:type="dxa" w:w="7200"/>
            <w:shd w:val="clear" w:fill="EFF2EF"/>
          </w:tcPr>
          <w:p>
            <w:r>
              <w:rPr>
                <w:b/>
                <w:sz w:val="17"/>
              </w:rPr>
              <w:t>What it decides</w:t>
            </w:r>
          </w:p>
        </w:tc>
      </w:tr>
      <w:tr>
        <w:tc>
          <w:tcPr>
            <w:tcW w:type="dxa" w:w="2880"/>
          </w:tcPr>
          <w:p>
            <w:r>
              <w:rPr>
                <w:rFonts w:ascii="Consolas" w:hAnsi="Consolas"/>
                <w:sz w:val="15"/>
              </w:rPr>
              <w:t>config/settings.py</w:t>
            </w:r>
          </w:p>
        </w:tc>
        <w:tc>
          <w:tcPr>
            <w:tcW w:type="dxa" w:w="7200"/>
          </w:tcPr>
          <w:p>
            <w:r>
              <w:rPr>
                <w:sz w:val="16"/>
              </w:rPr>
              <w:t>DATABASES default plus OPTIONS -c search_path=pettycashv2,public at line 74. Everything unqualified in this repo depends on it.</w:t>
            </w:r>
          </w:p>
        </w:tc>
      </w:tr>
      <w:tr>
        <w:tc>
          <w:tcPr>
            <w:tcW w:type="dxa" w:w="2880"/>
          </w:tcPr>
          <w:p>
            <w:r>
              <w:rPr>
                <w:rFonts w:ascii="Consolas" w:hAnsi="Consolas"/>
                <w:sz w:val="15"/>
              </w:rPr>
              <w:t>config/settings_test.py</w:t>
            </w:r>
          </w:p>
        </w:tc>
        <w:tc>
          <w:tcPr>
            <w:tcW w:type="dxa" w:w="7200"/>
          </w:tcPr>
          <w:p>
            <w:r>
              <w:rPr>
                <w:sz w:val="16"/>
              </w:rPr>
              <w:t>Overrides to in-memory SQLite and sets SHARED_MODELS_MANAGED_FOR_TESTING.</w:t>
            </w:r>
          </w:p>
        </w:tc>
      </w:tr>
      <w:tr>
        <w:tc>
          <w:tcPr>
            <w:tcW w:type="dxa" w:w="2880"/>
          </w:tcPr>
          <w:p>
            <w:r>
              <w:rPr>
                <w:rFonts w:ascii="Consolas" w:hAnsi="Consolas"/>
                <w:sz w:val="15"/>
              </w:rPr>
              <w:t>shared_models/apps.py</w:t>
            </w:r>
          </w:p>
        </w:tc>
        <w:tc>
          <w:tcPr>
            <w:tcW w:type="dxa" w:w="7200"/>
          </w:tcPr>
          <w:p>
            <w:r>
              <w:rPr>
                <w:sz w:val="16"/>
              </w:rPr>
              <w:t>ready() flips managed = True on the six mirrors under test settings, so tests can create them.</w:t>
            </w:r>
          </w:p>
        </w:tc>
      </w:tr>
      <w:tr>
        <w:tc>
          <w:tcPr>
            <w:tcW w:type="dxa" w:w="2880"/>
          </w:tcPr>
          <w:p>
            <w:r>
              <w:rPr>
                <w:rFonts w:ascii="Consolas" w:hAnsi="Consolas"/>
                <w:sz w:val="15"/>
              </w:rPr>
              <w:t>docker/entrypoint.sh</w:t>
            </w:r>
          </w:p>
        </w:tc>
        <w:tc>
          <w:tcPr>
            <w:tcW w:type="dxa" w:w="7200"/>
          </w:tcPr>
          <w:p>
            <w:r>
              <w:rPr>
                <w:sz w:val="16"/>
              </w:rPr>
              <w:t>psycopg2 connect loop, then checks pettycashv2 exists, then runs migrate.</w:t>
            </w:r>
          </w:p>
        </w:tc>
      </w:tr>
      <w:tr>
        <w:tc>
          <w:tcPr>
            <w:tcW w:type="dxa" w:w="2880"/>
          </w:tcPr>
          <w:p>
            <w:r>
              <w:rPr>
                <w:rFonts w:ascii="Consolas" w:hAnsi="Consolas"/>
                <w:sz w:val="15"/>
              </w:rPr>
              <w:t>pytest.ini</w:t>
            </w:r>
          </w:p>
        </w:tc>
        <w:tc>
          <w:tcPr>
            <w:tcW w:type="dxa" w:w="7200"/>
          </w:tcPr>
          <w:p>
            <w:r>
              <w:rPr>
                <w:sz w:val="16"/>
              </w:rPr>
              <w:t>--no-migrations, because the bills migrations are raw Postgres DDL and cannot run on SQLite.</w:t>
            </w:r>
          </w:p>
        </w:tc>
      </w:tr>
    </w:tbl>
    <w:p>
      <w:pPr>
        <w:spacing w:after="40"/>
      </w:pPr>
    </w:p>
    <w:p>
      <w:r>
        <w:br w:type="page"/>
      </w:r>
    </w:p>
    <w:p>
      <w:pPr>
        <w:pStyle w:val="Heading1"/>
      </w:pPr>
      <w:r>
        <w:t>billing-frontend and onboarding  -  no database dependency</w:t>
      </w:r>
    </w:p>
    <w:p>
      <w:pPr>
        <w:spacing w:after="160"/>
      </w:pPr>
      <w:r>
        <w:rPr>
          <w:sz w:val="19"/>
        </w:rPr>
        <w:t>No database dependency of any kind. Confirmed by searching every tracked file AND package-lock.json for pg, postgres, prisma, drizzle, knex, mysql, sequelize, typeorm, mongodb, supabase, sqlite and DATABASE_URL: zero hits in both repositories. All data arrives over HTTP. What follows is the indirect coupling - files whose correctness depends on the SHAPE of database rows delivered by the API.</w:t>
      </w:r>
    </w:p>
    <w:p>
      <w:pPr>
        <w:pStyle w:val="Heading2"/>
      </w:pPr>
      <w:r>
        <w:t>billing-frontend  -  schema-coupled files</w:t>
      </w:r>
    </w:p>
    <w:tbl>
      <w:tblPr>
        <w:tblStyle w:val="TableGrid"/>
        <w:tblW w:type="auto" w:w="0"/>
        <w:tblLayout w:type="fixed"/>
        <w:tblLook w:firstColumn="1" w:firstRow="1" w:lastColumn="0" w:lastRow="0" w:noHBand="0" w:noVBand="1" w:val="04A0"/>
      </w:tblPr>
      <w:tblGrid>
        <w:gridCol w:w="5112"/>
        <w:gridCol w:w="5112"/>
      </w:tblGrid>
      <w:tr>
        <w:tc>
          <w:tcPr>
            <w:tcW w:type="dxa" w:w="3168"/>
            <w:shd w:val="clear" w:fill="EFF2EF"/>
          </w:tcPr>
          <w:p>
            <w:r>
              <w:rPr>
                <w:b/>
                <w:sz w:val="17"/>
              </w:rPr>
              <w:t>File</w:t>
            </w:r>
          </w:p>
        </w:tc>
        <w:tc>
          <w:tcPr>
            <w:tcW w:type="dxa" w:w="6912"/>
            <w:shd w:val="clear" w:fill="EFF2EF"/>
          </w:tcPr>
          <w:p>
            <w:r>
              <w:rPr>
                <w:b/>
                <w:sz w:val="17"/>
              </w:rPr>
              <w:t>What it mirrors</w:t>
            </w:r>
          </w:p>
        </w:tc>
      </w:tr>
      <w:tr>
        <w:tc>
          <w:tcPr>
            <w:tcW w:type="dxa" w:w="3168"/>
          </w:tcPr>
          <w:p>
            <w:r>
              <w:rPr>
                <w:rFonts w:ascii="Consolas" w:hAnsi="Consolas"/>
                <w:sz w:val="15"/>
              </w:rPr>
              <w:t>lib/api.ts</w:t>
            </w:r>
          </w:p>
        </w:tc>
        <w:tc>
          <w:tcPr>
            <w:tcW w:type="dxa" w:w="6912"/>
          </w:tcPr>
          <w:p>
            <w:r>
              <w:rPr>
                <w:sz w:val="16"/>
              </w:rPr>
              <w:t>The primary schema mirror in this repo, and 1,044 lines. Its types restate database columns one for one: BillListItem/BillDetail = bill; LineItem = bill_line_item; Attachment = attachment; PaymentItem = payment; AuditItem = audit; EntityBillAccount = entity_bill_account_xero. It also mirrors two Minty-owned tables: CurrencyInfo = currency_info and EntityBillContact = xero_contact_sync.</w:t>
            </w:r>
          </w:p>
        </w:tc>
      </w:tr>
      <w:tr>
        <w:tc>
          <w:tcPr>
            <w:tcW w:type="dxa" w:w="3168"/>
          </w:tcPr>
          <w:p>
            <w:r>
              <w:rPr>
                <w:rFonts w:ascii="Consolas" w:hAnsi="Consolas"/>
                <w:sz w:val="15"/>
              </w:rPr>
              <w:t>lib/paymentRequestBillMap.ts</w:t>
            </w:r>
          </w:p>
        </w:tc>
        <w:tc>
          <w:tcPr>
            <w:tcW w:type="dxa" w:w="6912"/>
          </w:tcPr>
          <w:p>
            <w:r>
              <w:rPr>
                <w:sz w:val="16"/>
              </w:rPr>
              <w:t>The row mapper - reads bill.reference, amount, currency_code, description, contact, xero_contact_id, invoice_date, due_date, xero_account_code and line_items[0].account_code, and builds the PUT payload.</w:t>
            </w:r>
          </w:p>
        </w:tc>
      </w:tr>
      <w:tr>
        <w:tc>
          <w:tcPr>
            <w:tcW w:type="dxa" w:w="3168"/>
          </w:tcPr>
          <w:p>
            <w:r>
              <w:rPr>
                <w:rFonts w:ascii="Consolas" w:hAnsi="Consolas"/>
                <w:sz w:val="15"/>
              </w:rPr>
              <w:t>lib/payerPortal.ts</w:t>
            </w:r>
          </w:p>
        </w:tc>
        <w:tc>
          <w:tcPr>
            <w:tcW w:type="dxa" w:w="6912"/>
          </w:tcPr>
          <w:p>
            <w:r>
              <w:rPr>
                <w:sz w:val="16"/>
              </w:rPr>
              <w:t>Types for Minty's payer endpoints, including ModuleStatus, which mirrors entity_module_subscription.phase semantics.</w:t>
            </w:r>
          </w:p>
        </w:tc>
      </w:tr>
      <w:tr>
        <w:tc>
          <w:tcPr>
            <w:tcW w:type="dxa" w:w="3168"/>
          </w:tcPr>
          <w:p>
            <w:r>
              <w:rPr>
                <w:rFonts w:ascii="Consolas" w:hAnsi="Consolas"/>
                <w:sz w:val="15"/>
              </w:rPr>
              <w:t>lib/billStatusDisplay.ts / billStatusRollback.ts</w:t>
            </w:r>
          </w:p>
        </w:tc>
        <w:tc>
          <w:tcPr>
            <w:tcW w:type="dxa" w:w="6912"/>
          </w:tcPr>
          <w:p>
            <w:r>
              <w:rPr>
                <w:sz w:val="16"/>
              </w:rPr>
              <w:t>Enumerate the bill.status values (draft, submitted, returned, authorised, partially_paid, paid, voided, cancelled, sync_failed). A new status in the database that is not added here renders as unknown.</w:t>
            </w:r>
          </w:p>
        </w:tc>
      </w:tr>
      <w:tr>
        <w:tc>
          <w:tcPr>
            <w:tcW w:type="dxa" w:w="3168"/>
          </w:tcPr>
          <w:p>
            <w:r>
              <w:rPr>
                <w:rFonts w:ascii="Consolas" w:hAnsi="Consolas"/>
                <w:sz w:val="15"/>
              </w:rPr>
              <w:t>lib/moduleClaims.ts</w:t>
            </w:r>
          </w:p>
        </w:tc>
        <w:tc>
          <w:tcPr>
            <w:tcW w:type="dxa" w:w="6912"/>
          </w:tcPr>
          <w:p>
            <w:r>
              <w:rPr>
                <w:sz w:val="16"/>
              </w:rPr>
              <w:t>function_code claims from entity_function / entity_function_map.</w:t>
            </w:r>
          </w:p>
        </w:tc>
      </w:tr>
      <w:tr>
        <w:tc>
          <w:tcPr>
            <w:tcW w:type="dxa" w:w="3168"/>
          </w:tcPr>
          <w:p>
            <w:r>
              <w:rPr>
                <w:rFonts w:ascii="Consolas" w:hAnsi="Consolas"/>
                <w:sz w:val="15"/>
              </w:rPr>
              <w:t>lib/useUserRole.ts</w:t>
            </w:r>
          </w:p>
        </w:tc>
        <w:tc>
          <w:tcPr>
            <w:tcW w:type="dxa" w:w="6912"/>
          </w:tcPr>
          <w:p>
            <w:r>
              <w:rPr>
                <w:sz w:val="16"/>
              </w:rPr>
              <w:t>JWT claims mirroring user_entity.role and user.system_role.</w:t>
            </w:r>
          </w:p>
        </w:tc>
      </w:tr>
      <w:tr>
        <w:tc>
          <w:tcPr>
            <w:tcW w:type="dxa" w:w="3168"/>
          </w:tcPr>
          <w:p>
            <w:r>
              <w:rPr>
                <w:rFonts w:ascii="Consolas" w:hAnsi="Consolas"/>
                <w:sz w:val="15"/>
              </w:rPr>
              <w:t>lib/entityCurrency.ts</w:t>
            </w:r>
          </w:p>
        </w:tc>
        <w:tc>
          <w:tcPr>
            <w:tcW w:type="dxa" w:w="6912"/>
          </w:tcPr>
          <w:p>
            <w:r>
              <w:rPr>
                <w:sz w:val="16"/>
              </w:rPr>
              <w:t>currency_code resolved via entities.currency_id.</w:t>
            </w:r>
          </w:p>
        </w:tc>
      </w:tr>
      <w:tr>
        <w:tc>
          <w:tcPr>
            <w:tcW w:type="dxa" w:w="3168"/>
          </w:tcPr>
          <w:p>
            <w:r>
              <w:rPr>
                <w:rFonts w:ascii="Consolas" w:hAnsi="Consolas"/>
                <w:sz w:val="15"/>
              </w:rPr>
              <w:t>lib/amountFormat.ts / currencyDisplay.ts</w:t>
            </w:r>
          </w:p>
        </w:tc>
        <w:tc>
          <w:tcPr>
            <w:tcW w:type="dxa" w:w="6912"/>
          </w:tcPr>
          <w:p>
            <w:r>
              <w:rPr>
                <w:sz w:val="16"/>
              </w:rPr>
              <w:t>The decimal contract for numeric(14,2) columns - amount and line_amount are carried as strings to avoid float drift.</w:t>
            </w:r>
          </w:p>
        </w:tc>
      </w:tr>
    </w:tbl>
    <w:p>
      <w:pPr>
        <w:spacing w:after="40"/>
      </w:pPr>
    </w:p>
    <w:p>
      <w:pPr>
        <w:pStyle w:val="Heading2"/>
      </w:pPr>
      <w:r>
        <w:t>onboarding  -  schema-coupled files</w:t>
      </w:r>
    </w:p>
    <w:tbl>
      <w:tblPr>
        <w:tblStyle w:val="TableGrid"/>
        <w:tblW w:type="auto" w:w="0"/>
        <w:tblLayout w:type="fixed"/>
        <w:tblLook w:firstColumn="1" w:firstRow="1" w:lastColumn="0" w:lastRow="0" w:noHBand="0" w:noVBand="1" w:val="04A0"/>
      </w:tblPr>
      <w:tblGrid>
        <w:gridCol w:w="5112"/>
        <w:gridCol w:w="5112"/>
      </w:tblGrid>
      <w:tr>
        <w:tc>
          <w:tcPr>
            <w:tcW w:type="dxa" w:w="3168"/>
            <w:shd w:val="clear" w:fill="EFF2EF"/>
          </w:tcPr>
          <w:p>
            <w:r>
              <w:rPr>
                <w:b/>
                <w:sz w:val="17"/>
              </w:rPr>
              <w:t>File</w:t>
            </w:r>
          </w:p>
        </w:tc>
        <w:tc>
          <w:tcPr>
            <w:tcW w:type="dxa" w:w="6912"/>
            <w:shd w:val="clear" w:fill="EFF2EF"/>
          </w:tcPr>
          <w:p>
            <w:r>
              <w:rPr>
                <w:b/>
                <w:sz w:val="17"/>
              </w:rPr>
              <w:t>What it mirrors</w:t>
            </w:r>
          </w:p>
        </w:tc>
      </w:tr>
      <w:tr>
        <w:tc>
          <w:tcPr>
            <w:tcW w:type="dxa" w:w="3168"/>
          </w:tcPr>
          <w:p>
            <w:r>
              <w:rPr>
                <w:rFonts w:ascii="Consolas" w:hAnsi="Consolas"/>
                <w:sz w:val="15"/>
              </w:rPr>
              <w:t>lib/refData.js</w:t>
            </w:r>
          </w:p>
        </w:tc>
        <w:tc>
          <w:tcPr>
            <w:tcW w:type="dxa" w:w="6912"/>
          </w:tcPr>
          <w:p>
            <w:r>
              <w:rPr>
                <w:sz w:val="16"/>
              </w:rPr>
              <w:t>Documents itself against pettycashv2.country_info and currency_info, and consumes the uuid primary keys the entities table references: country_id, country_name_en, country_code, currency_id, currency_name, iso_code.</w:t>
            </w:r>
          </w:p>
        </w:tc>
      </w:tr>
      <w:tr>
        <w:tc>
          <w:tcPr>
            <w:tcW w:type="dxa" w:w="3168"/>
          </w:tcPr>
          <w:p>
            <w:r>
              <w:rPr>
                <w:rFonts w:ascii="Consolas" w:hAnsi="Consolas"/>
                <w:sz w:val="15"/>
              </w:rPr>
              <w:t>components/OnboardingSteps.jsx</w:t>
            </w:r>
          </w:p>
        </w:tc>
        <w:tc>
          <w:tcPr>
            <w:tcW w:type="dxa" w:w="6912"/>
          </w:tcPr>
          <w:p>
            <w:r>
              <w:rPr>
                <w:sz w:val="16"/>
              </w:rPr>
              <w:t>Maps country_id and currency_id into the selects that submit the entities.country_id / currency_id foreign keys, and resolves currency_id to iso_code for amount prefixes. It also collects entities.contact_phone and business_email, which migration c1a01 renamed and narrowed to varchar(20).</w:t>
            </w:r>
          </w:p>
        </w:tc>
      </w:tr>
      <w:tr>
        <w:tc>
          <w:tcPr>
            <w:tcW w:type="dxa" w:w="3168"/>
          </w:tcPr>
          <w:p>
            <w:r>
              <w:rPr>
                <w:rFonts w:ascii="Consolas" w:hAnsi="Consolas"/>
                <w:sz w:val="15"/>
              </w:rPr>
              <w:t>components/OnboardingApp.jsx</w:t>
            </w:r>
          </w:p>
        </w:tc>
        <w:tc>
          <w:tcPr>
            <w:tcW w:type="dxa" w:w="6912"/>
          </w:tcPr>
          <w:p>
            <w:r>
              <w:rPr>
                <w:sz w:val="16"/>
              </w:rPr>
              <w:t>Carries entity_id end to end and persists onboarding progress keyed on it.</w:t>
            </w:r>
          </w:p>
        </w:tc>
      </w:tr>
      <w:tr>
        <w:tc>
          <w:tcPr>
            <w:tcW w:type="dxa" w:w="3168"/>
          </w:tcPr>
          <w:p>
            <w:r>
              <w:rPr>
                <w:rFonts w:ascii="Consolas" w:hAnsi="Consolas"/>
                <w:sz w:val="15"/>
              </w:rPr>
              <w:t>lib/billing.js</w:t>
            </w:r>
          </w:p>
        </w:tc>
        <w:tc>
          <w:tcPr>
            <w:tcW w:type="dxa" w:w="6912"/>
          </w:tcPr>
          <w:p>
            <w:r>
              <w:rPr>
                <w:sz w:val="16"/>
              </w:rPr>
              <w:t>has_payment_method / has_billing_consent per entity and payer - the consent and billing-group surface.</w:t>
            </w:r>
          </w:p>
        </w:tc>
      </w:tr>
    </w:tbl>
    <w:p>
      <w:pPr>
        <w:spacing w:after="40"/>
      </w:pPr>
    </w:p>
    <w:p>
      <w:r>
        <w:br w:type="page"/>
      </w:r>
    </w:p>
    <w:p>
      <w:pPr>
        <w:pStyle w:val="Heading1"/>
      </w:pPr>
      <w:r>
        <w:t>Cross-repository coupling</w:t>
      </w:r>
    </w:p>
    <w:p>
      <w:pPr>
        <w:spacing w:after="160"/>
      </w:pPr>
      <w:r>
        <w:rPr>
          <w:i w:val="0"/>
          <w:color w:val="5E6B65"/>
          <w:sz w:val="17"/>
        </w:rPr>
        <w:t>For each shared table: the migration that shaped it, and the files on each side that would need to change if a column were renamed or dropped.</w:t>
      </w:r>
    </w:p>
    <w:tbl>
      <w:tblPr>
        <w:tblStyle w:val="TableGrid"/>
        <w:tblW w:type="auto" w:w="0"/>
        <w:tblLayout w:type="fixed"/>
        <w:tblLook w:firstColumn="1" w:firstRow="1" w:lastColumn="0" w:lastRow="0" w:noHBand="0" w:noVBand="1" w:val="04A0"/>
      </w:tblPr>
      <w:tblGrid>
        <w:gridCol w:w="2556"/>
        <w:gridCol w:w="2556"/>
        <w:gridCol w:w="2556"/>
        <w:gridCol w:w="2556"/>
      </w:tblGrid>
      <w:tr>
        <w:tc>
          <w:tcPr>
            <w:tcW w:type="dxa" w:w="2160"/>
            <w:shd w:val="clear" w:fill="EFF2EF"/>
          </w:tcPr>
          <w:p>
            <w:r>
              <w:rPr>
                <w:b/>
                <w:sz w:val="17"/>
              </w:rPr>
              <w:t>Table / columns</w:t>
            </w:r>
          </w:p>
        </w:tc>
        <w:tc>
          <w:tcPr>
            <w:tcW w:type="dxa" w:w="1656"/>
            <w:shd w:val="clear" w:fill="EFF2EF"/>
          </w:tcPr>
          <w:p>
            <w:r>
              <w:rPr>
                <w:b/>
                <w:sz w:val="17"/>
              </w:rPr>
              <w:t>Migration</w:t>
            </w:r>
          </w:p>
        </w:tc>
        <w:tc>
          <w:tcPr>
            <w:tcW w:type="dxa" w:w="3312"/>
            <w:shd w:val="clear" w:fill="EFF2EF"/>
          </w:tcPr>
          <w:p>
            <w:r>
              <w:rPr>
                <w:b/>
                <w:sz w:val="17"/>
              </w:rPr>
              <w:t>Minty</w:t>
            </w:r>
          </w:p>
        </w:tc>
        <w:tc>
          <w:tcPr>
            <w:tcW w:type="dxa" w:w="2952"/>
            <w:shd w:val="clear" w:fill="EFF2EF"/>
          </w:tcPr>
          <w:p>
            <w:r>
              <w:rPr>
                <w:b/>
                <w:sz w:val="17"/>
              </w:rPr>
              <w:t>billing-backend / other</w:t>
            </w:r>
          </w:p>
        </w:tc>
      </w:tr>
      <w:tr>
        <w:tc>
          <w:tcPr>
            <w:tcW w:type="dxa" w:w="2160"/>
          </w:tcPr>
          <w:p>
            <w:r>
              <w:rPr>
                <w:sz w:val="16"/>
              </w:rPr>
              <w:t>user - signed_in_at, last_seen_at</w:t>
            </w:r>
          </w:p>
        </w:tc>
        <w:tc>
          <w:tcPr>
            <w:tcW w:type="dxa" w:w="1656"/>
          </w:tcPr>
          <w:p>
            <w:r>
              <w:rPr>
                <w:rFonts w:ascii="Consolas" w:hAnsi="Consolas"/>
                <w:sz w:val="15"/>
              </w:rPr>
              <w:t>p1a01_user_presence</w:t>
            </w:r>
          </w:p>
        </w:tc>
        <w:tc>
          <w:tcPr>
            <w:tcW w:type="dxa" w:w="3312"/>
          </w:tcPr>
          <w:p>
            <w:r>
              <w:rPr>
                <w:rFonts w:ascii="Consolas" w:hAnsi="Consolas"/>
                <w:sz w:val="15"/>
              </w:rPr>
              <w:t>blueprints/auth/models/user.py; services/user_presence.py; blueprints/auth/routes/leave_entity.py</w:t>
            </w:r>
          </w:p>
        </w:tc>
        <w:tc>
          <w:tcPr>
            <w:tcW w:type="dxa" w:w="2952"/>
          </w:tcPr>
          <w:p>
            <w:r>
              <w:rPr>
                <w:rFonts w:ascii="Consolas" w:hAnsi="Consolas"/>
                <w:sz w:val="15"/>
              </w:rPr>
              <w:t>shared_models/models.py; bills/api_profile.py; core/api_session.py</w:t>
            </w:r>
          </w:p>
        </w:tc>
      </w:tr>
      <w:tr>
        <w:tc>
          <w:tcPr>
            <w:tcW w:type="dxa" w:w="2160"/>
          </w:tcPr>
          <w:p>
            <w:r>
              <w:rPr>
                <w:sz w:val="16"/>
              </w:rPr>
              <w:t>user - current_entity_id</w:t>
            </w:r>
          </w:p>
        </w:tc>
        <w:tc>
          <w:tcPr>
            <w:tcW w:type="dxa" w:w="1656"/>
          </w:tcPr>
          <w:p>
            <w:r>
              <w:rPr>
                <w:rFonts w:ascii="Consolas" w:hAnsi="Consolas"/>
                <w:sz w:val="15"/>
              </w:rPr>
              <w:t>p2a01_user_current_entity</w:t>
            </w:r>
          </w:p>
        </w:tc>
        <w:tc>
          <w:tcPr>
            <w:tcW w:type="dxa" w:w="3312"/>
          </w:tcPr>
          <w:p>
            <w:r>
              <w:rPr>
                <w:rFonts w:ascii="Consolas" w:hAnsi="Consolas"/>
                <w:sz w:val="15"/>
              </w:rPr>
              <w:t>blueprints/auth/models/user.py; services/user_presence.py</w:t>
            </w:r>
          </w:p>
        </w:tc>
        <w:tc>
          <w:tcPr>
            <w:tcW w:type="dxa" w:w="2952"/>
          </w:tcPr>
          <w:p>
            <w:r>
              <w:rPr>
                <w:rFonts w:ascii="Consolas" w:hAnsi="Consolas"/>
                <w:color w:val="B23A2E"/>
                <w:sz w:val="15"/>
              </w:rPr>
              <w:t>NOT MIRRORED - billing-backend clears the two presence columns on logout but leaves this one stale</w:t>
            </w:r>
          </w:p>
        </w:tc>
      </w:tr>
      <w:tr>
        <w:tc>
          <w:tcPr>
            <w:tcW w:type="dxa" w:w="2160"/>
          </w:tcPr>
          <w:p>
            <w:r>
              <w:rPr>
                <w:sz w:val="16"/>
              </w:rPr>
              <w:t>entity_module_subscription - payer_user_id, phase, billed_through</w:t>
            </w:r>
          </w:p>
        </w:tc>
        <w:tc>
          <w:tcPr>
            <w:tcW w:type="dxa" w:w="1656"/>
          </w:tcPr>
          <w:p>
            <w:r>
              <w:rPr>
                <w:rFonts w:ascii="Consolas" w:hAnsi="Consolas"/>
                <w:sz w:val="15"/>
              </w:rPr>
              <w:t>a1b2c3d4e5f7, x1a01_transfer_schema</w:t>
            </w:r>
          </w:p>
        </w:tc>
        <w:tc>
          <w:tcPr>
            <w:tcW w:type="dxa" w:w="3312"/>
          </w:tcPr>
          <w:p>
            <w:r>
              <w:rPr>
                <w:rFonts w:ascii="Consolas" w:hAnsi="Consolas"/>
                <w:sz w:val="15"/>
              </w:rPr>
              <w:t>blueprints/subscription/models/entity_module_subscription.py; services/store.py, renewals.py, transfers.py</w:t>
            </w:r>
          </w:p>
        </w:tc>
        <w:tc>
          <w:tcPr>
            <w:tcW w:type="dxa" w:w="2952"/>
          </w:tcPr>
          <w:p>
            <w:r>
              <w:rPr>
                <w:rFonts w:ascii="Consolas" w:hAnsi="Consolas"/>
                <w:sz w:val="15"/>
              </w:rPr>
              <w:t>shared_models/models.py; bills/api_profile.py (raw SQL - the payer guard on account deactivation)</w:t>
            </w:r>
          </w:p>
        </w:tc>
      </w:tr>
      <w:tr>
        <w:tc>
          <w:tcPr>
            <w:tcW w:type="dxa" w:w="2160"/>
          </w:tcPr>
          <w:p>
            <w:r>
              <w:rPr>
                <w:sz w:val="16"/>
              </w:rPr>
              <w:t>entity_function / entity_function_map</w:t>
            </w:r>
          </w:p>
        </w:tc>
        <w:tc>
          <w:tcPr>
            <w:tcW w:type="dxa" w:w="1656"/>
          </w:tcPr>
          <w:p>
            <w:r>
              <w:rPr>
                <w:rFonts w:ascii="Consolas" w:hAnsi="Consolas"/>
                <w:sz w:val="15"/>
              </w:rPr>
              <w:t>b8f3a2c1d4e5, m1a01_revoke_ungranted</w:t>
            </w:r>
          </w:p>
        </w:tc>
        <w:tc>
          <w:tcPr>
            <w:tcW w:type="dxa" w:w="3312"/>
          </w:tcPr>
          <w:p>
            <w:r>
              <w:rPr>
                <w:rFonts w:ascii="Consolas" w:hAnsi="Consolas"/>
                <w:sz w:val="15"/>
              </w:rPr>
              <w:t>blueprints/entity/services/modules.py; blueprints/subscription/services/access_sweep.py; cli/modules.py</w:t>
            </w:r>
          </w:p>
        </w:tc>
        <w:tc>
          <w:tcPr>
            <w:tcW w:type="dxa" w:w="2952"/>
          </w:tcPr>
          <w:p>
            <w:r>
              <w:rPr>
                <w:rFonts w:ascii="Consolas" w:hAnsi="Consolas"/>
                <w:color w:val="B23A2E"/>
                <w:sz w:val="15"/>
              </w:rPr>
              <w:t>bills/models.py; bills/api_config.py - a full UNGUARDED create/update/delete router</w:t>
            </w:r>
          </w:p>
        </w:tc>
      </w:tr>
      <w:tr>
        <w:tc>
          <w:tcPr>
            <w:tcW w:type="dxa" w:w="2160"/>
          </w:tcPr>
          <w:p>
            <w:r>
              <w:rPr>
                <w:sz w:val="16"/>
              </w:rPr>
              <w:t>currency_info - uuid primary key</w:t>
            </w:r>
          </w:p>
        </w:tc>
        <w:tc>
          <w:tcPr>
            <w:tcW w:type="dxa" w:w="1656"/>
          </w:tcPr>
          <w:p>
            <w:r>
              <w:rPr>
                <w:rFonts w:ascii="Consolas" w:hAnsi="Consolas"/>
                <w:sz w:val="15"/>
              </w:rPr>
              <w:t>c8e0a2b4d6f8 -&gt; billing-backend 0019</w:t>
            </w:r>
          </w:p>
        </w:tc>
        <w:tc>
          <w:tcPr>
            <w:tcW w:type="dxa" w:w="3312"/>
          </w:tcPr>
          <w:p>
            <w:r>
              <w:rPr>
                <w:rFonts w:ascii="Consolas" w:hAnsi="Consolas"/>
                <w:sz w:val="15"/>
              </w:rPr>
              <w:t>blueprints/entity/models/currency_info.py; country_info.py; entity.py</w:t>
            </w:r>
          </w:p>
        </w:tc>
        <w:tc>
          <w:tcPr>
            <w:tcW w:type="dxa" w:w="2952"/>
          </w:tcPr>
          <w:p>
            <w:r>
              <w:rPr>
                <w:rFonts w:ascii="Consolas" w:hAnsi="Consolas"/>
                <w:color w:val="B23A2E"/>
                <w:sz w:val="15"/>
              </w:rPr>
              <w:t>bills/models.py; bills/migrations/0019 - RAISES unless Minty's migration ran first</w:t>
            </w:r>
          </w:p>
        </w:tc>
      </w:tr>
      <w:tr>
        <w:tc>
          <w:tcPr>
            <w:tcW w:type="dxa" w:w="2160"/>
          </w:tcPr>
          <w:p>
            <w:r>
              <w:rPr>
                <w:sz w:val="16"/>
              </w:rPr>
              <w:t>entities - contact_phone (renamed), business_email</w:t>
            </w:r>
          </w:p>
        </w:tc>
        <w:tc>
          <w:tcPr>
            <w:tcW w:type="dxa" w:w="1656"/>
          </w:tcPr>
          <w:p>
            <w:r>
              <w:rPr>
                <w:rFonts w:ascii="Consolas" w:hAnsi="Consolas"/>
                <w:sz w:val="15"/>
              </w:rPr>
              <w:t>c1a01_entity_contact_fields</w:t>
            </w:r>
          </w:p>
        </w:tc>
        <w:tc>
          <w:tcPr>
            <w:tcW w:type="dxa" w:w="3312"/>
          </w:tcPr>
          <w:p>
            <w:r>
              <w:rPr>
                <w:rFonts w:ascii="Consolas" w:hAnsi="Consolas"/>
                <w:sz w:val="15"/>
              </w:rPr>
              <w:t>blueprints/entity/models/entity.py; forms.py; routes/create.py; services/onboarding_state.py; templates/entity/entity_create.html</w:t>
            </w:r>
          </w:p>
        </w:tc>
        <w:tc>
          <w:tcPr>
            <w:tcW w:type="dxa" w:w="2952"/>
          </w:tcPr>
          <w:p>
            <w:r>
              <w:rPr>
                <w:rFonts w:ascii="Consolas" w:hAnsi="Consolas"/>
                <w:sz w:val="15"/>
              </w:rPr>
              <w:t>onboarding: components/OnboardingSteps.jsx</w:t>
            </w:r>
          </w:p>
        </w:tc>
      </w:tr>
      <w:tr>
        <w:tc>
          <w:tcPr>
            <w:tcW w:type="dxa" w:w="2160"/>
          </w:tcPr>
          <w:p>
            <w:r>
              <w:rPr>
                <w:sz w:val="16"/>
              </w:rPr>
              <w:t>payer_billing_group, entity_billing_group, subscription_invoice.billing_group_id</w:t>
            </w:r>
          </w:p>
        </w:tc>
        <w:tc>
          <w:tcPr>
            <w:tcW w:type="dxa" w:w="1656"/>
          </w:tcPr>
          <w:p>
            <w:r>
              <w:rPr>
                <w:rFonts w:ascii="Consolas" w:hAnsi="Consolas"/>
                <w:sz w:val="15"/>
              </w:rPr>
              <w:t>y1a01_billing_group_schema</w:t>
            </w:r>
          </w:p>
        </w:tc>
        <w:tc>
          <w:tcPr>
            <w:tcW w:type="dxa" w:w="3312"/>
          </w:tcPr>
          <w:p>
            <w:r>
              <w:rPr>
                <w:rFonts w:ascii="Consolas" w:hAnsi="Consolas"/>
                <w:sz w:val="15"/>
              </w:rPr>
              <w:t>~20 files: subscription models and services/{store,renewals,dunning,checkout,changes,billing_gateway,payment_methods,portal}.py; entity/routes/{create,settings}.py</w:t>
            </w:r>
          </w:p>
        </w:tc>
        <w:tc>
          <w:tcPr>
            <w:tcW w:type="dxa" w:w="2952"/>
          </w:tcPr>
          <w:p>
            <w:r>
              <w:rPr>
                <w:rFonts w:ascii="Consolas" w:hAnsi="Consolas"/>
                <w:sz w:val="15"/>
              </w:rPr>
              <w:t>none - zero references to billing groups anywhere in billing-backend</w:t>
            </w:r>
          </w:p>
        </w:tc>
      </w:tr>
      <w:tr>
        <w:tc>
          <w:tcPr>
            <w:tcW w:type="dxa" w:w="2160"/>
          </w:tcPr>
          <w:p>
            <w:r>
              <w:rPr>
                <w:sz w:val="16"/>
              </w:rPr>
              <w:t>report.*_sales - 11 columns dropped</w:t>
            </w:r>
          </w:p>
        </w:tc>
        <w:tc>
          <w:tcPr>
            <w:tcW w:type="dxa" w:w="1656"/>
          </w:tcPr>
          <w:p>
            <w:r>
              <w:rPr>
                <w:rFonts w:ascii="Consolas" w:hAnsi="Consolas"/>
                <w:sz w:val="15"/>
              </w:rPr>
              <w:t>s5a05_drop_legacy_sales</w:t>
            </w:r>
          </w:p>
        </w:tc>
        <w:tc>
          <w:tcPr>
            <w:tcW w:type="dxa" w:w="3312"/>
          </w:tcPr>
          <w:p>
            <w:r>
              <w:rPr>
                <w:rFonts w:ascii="Consolas" w:hAnsi="Consolas"/>
                <w:sz w:val="15"/>
              </w:rPr>
              <w:t>blueprints/report/models/{report,report_sale_detail}.py; routes/{api,create,sales,report_detail,deposit,expense}.py; services/{ending,shared}.py</w:t>
            </w:r>
          </w:p>
        </w:tc>
        <w:tc>
          <w:tcPr>
            <w:tcW w:type="dxa" w:w="2952"/>
          </w:tcPr>
          <w:p>
            <w:r>
              <w:rPr>
                <w:rFonts w:ascii="Consolas" w:hAnsi="Consolas"/>
                <w:sz w:val="15"/>
              </w:rPr>
              <w:t>none - report tables are not mirrored</w:t>
            </w:r>
          </w:p>
        </w:tc>
      </w:tr>
    </w:tbl>
    <w:p>
      <w:pPr>
        <w:spacing w:after="40"/>
      </w:pPr>
    </w:p>
    <w:p>
      <w:pPr>
        <w:pStyle w:val="Heading1"/>
      </w:pPr>
      <w:r>
        <w:t>Risks, most severe first</w:t>
      </w:r>
    </w:p>
    <w:p>
      <w:pPr>
        <w:pStyle w:val="Heading2"/>
      </w:pPr>
      <w:r>
        <w:rPr>
          <w:color w:val="B23A2E"/>
        </w:rPr>
        <w:t>Three files run unqualified SQL against tables another application owns</w:t>
      </w:r>
    </w:p>
    <w:p>
      <w:pPr>
        <w:spacing w:after="160"/>
      </w:pPr>
      <w:r>
        <w:rPr>
          <w:sz w:val="18"/>
        </w:rPr>
        <w:t>core/auth.py, bills/api_profile.py and bills/api_config.py name user_entity, entity_module_subscription, entities and "user" with bare table names. They resolve only because config/settings.py:74 sets search_path=pettycashv2,public on the connection. A pooler that resets the session, a connection opened by other means, or someone changing that OPTIONS line, and these silently resolve elsewhere or fail. core/auth.py is the worst of the three because it is the authorisation path. core/api_session.py already does this correctly - copy its pattern. By contrast MINTY HAS NO UNQUALIFIED RAW SQL ANYWHERE: every table-touching statement, all 64 migrations and all 20 .sql files carry the pettycashv2 prefix.</w:t>
      </w:r>
    </w:p>
    <w:p>
      <w:pPr>
        <w:pStyle w:val="Heading2"/>
      </w:pPr>
      <w:r>
        <w:rPr>
          <w:color w:val="B23A2E"/>
        </w:rPr>
        <w:t>Three 'read-only mirrors' are written to</w:t>
      </w:r>
    </w:p>
    <w:p>
      <w:pPr>
        <w:spacing w:after="160"/>
      </w:pPr>
      <w:r>
        <w:rPr>
          <w:sz w:val="18"/>
        </w:rPr>
        <w:t>shared_models/models.py documents User, XeroContactSync and AccountInfo as 'Read-only mirror of pettycashv2.x managed by the Flask app'. billing-backend writes all three: profile_service.py:92, contact_service.py:331/333, api_config.py:393. Whichever way this is resolved - correct the docstrings and own the writes, or move them behind a Minty endpoint - the two must be made to agree. Right now a reader of the model file is told something false about a shared table.</w:t>
      </w:r>
    </w:p>
    <w:p>
      <w:pPr>
        <w:pStyle w:val="Heading2"/>
      </w:pPr>
      <w:r>
        <w:rPr>
          <w:color w:val="B23A2E"/>
        </w:rPr>
        <w:t>entity_function_map is reconciled by one app and freely writable from the other</w:t>
      </w:r>
    </w:p>
    <w:p>
      <w:pPr>
        <w:spacing w:after="160"/>
      </w:pPr>
      <w:r>
        <w:rPr>
          <w:sz w:val="18"/>
        </w:rPr>
        <w:t>Minty treats entity_function_map.is_enabled as a projection of entity_module_subscription and reconciles it daily in blueprints/subscription/services/access_sweep.py. billing-backend's bills/api_config.py exposes unguarded POST/PUT/DELETE on the same table. A write there can grant module access that Minty's sweep then silently revokes, which will present as an intermittent entitlement bug with no error anywhere.</w:t>
      </w:r>
    </w:p>
    <w:p>
      <w:pPr>
        <w:pStyle w:val="Heading2"/>
      </w:pPr>
      <w:r>
        <w:rPr>
          <w:color w:val="B23A2E"/>
        </w:rPr>
        <w:t>billing-backend migration 0019 depends on a Minty migration</w:t>
      </w:r>
    </w:p>
    <w:p>
      <w:pPr>
        <w:spacing w:after="160"/>
      </w:pPr>
      <w:r>
        <w:rPr>
          <w:sz w:val="18"/>
        </w:rPr>
        <w:t>bills/migrations/0019_align_currency_fk_types.py converts entity_bill_currency.currency_info_id from varchar(36) to uuid and RAISES unless Minty's c8e0a2b4d6f8 has already rebuilt pettycashv2.currency_info with a uuid primary key. Deploy order is permanent: Minty first. It is long applied, but a fresh environment built in the wrong order will stop here.</w:t>
      </w:r>
    </w:p>
    <w:p>
      <w:pPr>
        <w:pStyle w:val="Heading2"/>
      </w:pPr>
      <w:r>
        <w:rPr>
          <w:color w:val="B23A2E"/>
        </w:rPr>
        <w:t>s6a06 is a production schema change with no Alembic revision</w:t>
      </w:r>
    </w:p>
    <w:p>
      <w:pPr>
        <w:spacing w:after="160"/>
      </w:pPr>
      <w:r>
        <w:rPr>
          <w:sz w:val="18"/>
        </w:rPr>
        <w:t>migrations/s6a06_relax_sales_columns_not_null.sql and s6a06_verify_sales_split.sql are tracked, hand-run scripts. There is no migrations/versions/s6a06*.py - verified. A database built by running flask db upgrade from empty will not have the change, and r1a01_report_consolidation_additive.py calls s6a06 'the cautionary tale'. Either write the revision or document that upgrade-from-empty is unsupported. (Note: s5a05 DOES now have a Python revision, added 2026-08-27 - only s6a06 is missing.)</w:t>
      </w:r>
    </w:p>
    <w:p>
      <w:pPr>
        <w:pStyle w:val="Heading2"/>
      </w:pPr>
      <w:r>
        <w:rPr>
          <w:color w:val="B23A2E"/>
        </w:rPr>
        <w:t>An already-applied migration was edited in place</w:t>
      </w:r>
    </w:p>
    <w:p>
      <w:pPr>
        <w:spacing w:after="160"/>
      </w:pPr>
      <w:r>
        <w:rPr>
          <w:sz w:val="18"/>
        </w:rPr>
        <w:t>Revision a1b2c3d4e5f7 originally created subscription_email_log with a sent_at column. It was later removed from the revision file itself and existing databases were ALTERed by hand; the migration documents this at line 574. Any environment not hand-altered still has the column and flask db upgrade will never reconcile it. That revision has been edited in five separate commits.</w:t>
      </w:r>
    </w:p>
    <w:p>
      <w:pPr>
        <w:pStyle w:val="Heading2"/>
      </w:pPr>
      <w:r>
        <w:rPr>
          <w:color w:val="B23A2E"/>
        </w:rPr>
        <w:t>entity_bill_account_xero has no model in either repository</w:t>
      </w:r>
    </w:p>
    <w:p>
      <w:pPr>
        <w:spacing w:after="160"/>
      </w:pPr>
      <w:r>
        <w:rPr>
          <w:sz w:val="18"/>
        </w:rPr>
        <w:t>It is reached only through raw SQL strings, and its qualified name is re-declared three times - once as a module constant in onboarding_bill_codes.py:20 and twice as a function-local in entity/services/settings.py at lines 492 and 786. Nothing type-checks those strings and nothing will catch a typo until the query runs.</w:t>
      </w:r>
    </w:p>
    <w:p>
      <w:pPr>
        <w:pStyle w:val="Heading1"/>
      </w:pPr>
      <w:r>
        <w:t>Pending migration state</w:t>
      </w:r>
    </w:p>
    <w:p>
      <w:pPr>
        <w:spacing w:after="160"/>
      </w:pPr>
      <w:r>
        <w:rPr>
          <w:sz w:val="18"/>
        </w:rPr>
        <w:t>One migration is written and applied nowhere. Repo head is z1a01_drop_payer_cycle (commit 41e1d18), which drops user_stripe_customer.paid_through, dunning_started_at and dunning_attempts. The development database reports alembic_version = s5a05_drop_legacy_sales and all three columns are still present. docs/schema/README.md confirms it has not been run against any database.</w:t>
      </w:r>
    </w:p>
    <w:p>
      <w:pPr>
        <w:spacing w:after="160"/>
      </w:pPr>
      <w:r>
        <w:rPr>
          <w:sz w:val="18"/>
        </w:rPr>
        <w:t>This is safe in this direction - the models no longer declare the columns, so nothing selects them - but it is unfinished. The commit message carries the correct warning: run scripts/backfill_billing_groups.py before applying it. That backfill HAS already run on the development database (payer_billing_group holds 16 rows and entity_billing_group 68, of which 40 carry source='backfill'), but the script is still UNTRACKED in git, so it cannot be run from a clean checkout of any other environment.</w:t>
      </w:r>
    </w:p>
    <w:p>
      <w:pPr>
        <w:spacing w:after="160"/>
      </w:pPr>
      <w:r>
        <w:rPr>
          <w:sz w:val="18"/>
        </w:rPr>
        <w:t>Two caveats on scope. Both .env URIs currently point at localhost:5432/postgres with Stripe TEST keys, so the state of the Supabase and production databases cannot be confirmed from this machine - do not read the local result as covering them. And 64 Alembic revisions is the current count, with the chain linear and single-headed.</w:t>
      </w:r>
    </w:p>
    <w:sectPr w:rsidR="00FC693F" w:rsidRPr="0006063C" w:rsidSect="00034616">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color w:val="141A1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Calibri" w:hAnsi="Calibri"/>
      <w:b/>
      <w:bCs/>
      <w:color w:val="141A17"/>
      <w:sz w:val="32"/>
      <w:szCs w:val="28"/>
    </w:rPr>
  </w:style>
  <w:style w:type="paragraph" w:styleId="Heading2">
    <w:name w:val="heading 2"/>
    <w:basedOn w:val="Normal"/>
    <w:next w:val="Normal"/>
    <w:link w:val="Heading2Char"/>
    <w:uiPriority w:val="9"/>
    <w:unhideWhenUsed/>
    <w:qFormat/>
    <w:rsid w:val="00FC693F"/>
    <w:pPr>
      <w:keepNext/>
      <w:keepLines/>
      <w:spacing w:before="280" w:after="80"/>
      <w:outlineLvl w:val="1"/>
    </w:pPr>
    <w:rPr>
      <w:rFonts w:asciiTheme="majorHAnsi" w:eastAsiaTheme="majorEastAsia" w:hAnsiTheme="majorHAnsi" w:cstheme="majorBidi" w:ascii="Calibri" w:hAnsi="Calibri"/>
      <w:b/>
      <w:bCs/>
      <w:color w:val="0B6E55"/>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before="0"/>
      <w:contextualSpacing/>
    </w:pPr>
    <w:rPr>
      <w:rFonts w:asciiTheme="majorHAnsi" w:eastAsiaTheme="majorEastAsia" w:hAnsiTheme="majorHAnsi" w:cstheme="majorBidi" w:ascii="Calibri" w:hAnsi="Calibri"/>
      <w:b/>
      <w:color w:val="141A17"/>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