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</w:p>
    <w:p>
      <w:pPr>
        <w:pStyle w:val="1"/>
      </w:pPr>
      <w:r>
        <w:t>[별첨] C-15 추가 언어 도입 관련 의사결정 사항 및 예상 예산</w:t>
      </w:r>
    </w:p>
    <w:p>
      <w:pPr>
        <w:spacing w:after="120" w:line="260" w:lineRule="auto"/>
      </w:pPr>
      <w:r>
        <w:rPr>
          <w:sz w:val="20"/>
          <w:szCs w:val="20"/>
        </w:rPr>
        <w:t xml:space="preserve">C-15(추가 언어) 항목의 예산 확정을 위해 기관에서 결정이 필요한 사항과, 결정 결과에 따른 항목별·시나리오별 예상 예산을 제시함.</w:t>
      </w:r>
    </w:p>
    <w:p>
      <w:pPr>
        <w:pStyle w:val="2"/>
      </w:pPr>
      <w:r>
        <w:t>1. 기관 의사결정 필요 사항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4738"/>
        <w:gridCol w:w="230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 사항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예산 영향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범위·우선순위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우선 검토 8개 언어(일본어, 중국어, 프랑스어, 스페인어, 러시아어, 아랍어, 독일어, 베트남어) 중 1차 도입 언어와 우선순위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 수에 비례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언어별 필요 기능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해당 언어 발화의 음성 인식(STT)이 필요한지, 한국어·영어 발화의 번역 결과 제공만 필요한지 구분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STT 학습 여부 결정</w:t>
            </w:r>
          </w:p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(가장 큰 비용 요인)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언어별 품질 목표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'상용 수준'(음향 모델 추가 학습) / '제한적 지원'(학습 없이 제공) 구분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음향 모델 학습 비용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학습 데이터 제공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언어당 회의 음성 약 200시간 및 전사 자료 제공 가능 여부, 학습 데이터의 기관 외부 반출 가능 여부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반출 불가 시 기관 내부 학습 환경·인력 투입 비용 추가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UI 언어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한국어·영어 외 사용자 화면 제공 언어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언어당 소규모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통역 대상 언어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번역 표시(M-03)에서 동시에 제공할 목표 언어 수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GPU 증설(HW, 기관 조달)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도입 시기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1차 구축 포함 또는 단계적 확장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사업 단계 분할</w:t>
            </w:r>
          </w:p>
        </w:tc>
      </w:tr>
    </w:tbl>
    <w:p>
      <w:pPr>
        <w:spacing w:after="120" w:line="260" w:lineRule="auto"/>
      </w:pPr>
      <w:r>
        <w:rPr>
          <w:sz w:val="18"/>
          <w:szCs w:val="18"/>
        </w:rPr>
        <w:t xml:space="preserve"/>
      </w:r>
    </w:p>
    <w:p>
      <w:pPr>
        <w:pStyle w:val="2"/>
      </w:pPr>
      <w:r>
        <w:t>2. 항목별 예상 단가 (언어당)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900"/>
        <w:gridCol w:w="4688"/>
        <w:gridCol w:w="2300"/>
      </w:tblGrid>
      <w:tr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비용(언어당)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기본 다국어 적용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다국어 STT·LLM 번역 활성화, 언어별 품질 측정 및 번역 튜닝 (음향 모델 학습 없음)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음향 모델 추가 학습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음성 약 200시간(언어당) 데이터 가공·전사, 전이 학습, 인식률 평가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라이선스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STT 엔진 사이트 라이선스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UI 다국어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화면 문구 번역·검수 및 레이아웃 조정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GPU 증설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번역 목표 언어·동시 회의 증가 시 서버 증설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HW (기관 별도 조달)</w:t>
            </w:r>
          </w:p>
        </w:tc>
      </w:tr>
    </w:tbl>
    <w:p>
      <w:pPr>
        <w:spacing w:after="120" w:line="260" w:lineRule="auto"/>
      </w:pPr>
      <w:r>
        <w:rPr>
          <w:sz w:val="18"/>
          <w:szCs w:val="18"/>
        </w:rPr>
        <w:t xml:space="preserve"/>
      </w:r>
    </w:p>
    <w:p>
      <w:pPr>
        <w:pStyle w:val="2"/>
      </w:pPr>
      <w:r>
        <w:t>3. 시나리오별 예상 추가 예산 (예시)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938"/>
        <w:gridCol w:w="280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추가 예산 (산정식)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최소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한국어·영어 상용 수준 + 우선 검토 8개 언어는 번역 결과 제공(학습 없음, 제한적 지원)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권장(예시)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① + 일본어·중국어 STT 상용 수준 확보(음향 모델 학습)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 + B × 2 + C × 2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우선 검토 8개 언어 모두 STT 상용 수준 확보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 + B × 8 + C × 8</w:t>
            </w:r>
          </w:p>
        </w:tc>
      </w:tr>
    </w:tbl>
    <w:p>
      <w:pPr>
        <w:spacing w:after="40" w:line="260" w:lineRule="auto"/>
      </w:pPr>
      <w:r>
        <w:rPr>
          <w:sz w:val="18"/>
          <w:szCs w:val="18"/>
        </w:rPr>
        <w:t xml:space="preserve">※ UI 다국어(D)는 선택 언어당 별도 추가, GPU 증설(E)은 기관 별도 조달</w:t>
      </w:r>
    </w:p>
    <w:p>
      <w:pPr>
        <w:spacing w:after="40" w:line="260" w:lineRule="auto"/>
      </w:pPr>
      <w:r>
        <w:rPr>
          <w:sz w:val="18"/>
          <w:szCs w:val="18"/>
        </w:rPr>
        <w:t xml:space="preserve">※ 예상 비용은 기관 의사결정 결과에 따라 확정 견적으로 제출</w:t>
      </w:r>
    </w:p>
    <w:p>
      <w:pPr>
        <w:spacing w:after="40" w:line="260" w:lineRule="auto"/>
      </w:pPr>
      <w:r>
        <w:rPr>
          <w:sz w:val="18"/>
          <w:szCs w:val="18"/>
          <w:highlight w:val="yellow"/>
        </w:rPr>
        <w:t xml:space="preserve">[확정필요] 영업 기입: 2. 예상 비용(언어당), 3. 예상 추가 예산 칸 / 시나리오 ② 예시 언어(일본어·중국어) 적정성</w:t>
      </w:r>
    </w:p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