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9EA57" w14:textId="45192579" w:rsidR="00447E5D" w:rsidRPr="00447E5D" w:rsidRDefault="00447E5D" w:rsidP="00447E5D">
      <w:pPr>
        <w:spacing w:after="40"/>
        <w:jc w:val="center"/>
        <w:rPr>
          <w:color w:val="77206D" w:themeColor="accent5" w:themeShade="BF"/>
          <w:sz w:val="32"/>
          <w:szCs w:val="32"/>
        </w:rPr>
      </w:pPr>
      <w:r w:rsidRPr="00447E5D">
        <w:rPr>
          <w:color w:val="77206D" w:themeColor="accent5" w:themeShade="BF"/>
          <w:sz w:val="32"/>
          <w:szCs w:val="32"/>
        </w:rPr>
        <w:t xml:space="preserve">Trade Flows Between India and Asia: Statistical &amp; Business Insights </w:t>
      </w:r>
    </w:p>
    <w:p w14:paraId="5BE88AC5" w14:textId="50B6A7A3" w:rsidR="0000447A" w:rsidRDefault="00000000" w:rsidP="00447E5D">
      <w:pPr>
        <w:spacing w:after="40"/>
        <w:jc w:val="center"/>
        <w:rPr>
          <w:i/>
          <w:iCs/>
          <w:color w:val="555555"/>
          <w:sz w:val="24"/>
          <w:szCs w:val="24"/>
        </w:rPr>
      </w:pPr>
      <w:r>
        <w:rPr>
          <w:i/>
          <w:iCs/>
          <w:color w:val="555555"/>
          <w:sz w:val="24"/>
          <w:szCs w:val="24"/>
        </w:rPr>
        <w:t>Python | 2015–2025</w:t>
      </w:r>
    </w:p>
    <w:p w14:paraId="0755DF92" w14:textId="77777777" w:rsidR="00447E5D" w:rsidRDefault="00447E5D" w:rsidP="00447E5D">
      <w:pPr>
        <w:spacing w:after="40"/>
        <w:jc w:val="center"/>
        <w:rPr>
          <w:i/>
          <w:iCs/>
          <w:color w:val="555555"/>
          <w:sz w:val="24"/>
          <w:szCs w:val="24"/>
        </w:rPr>
      </w:pPr>
    </w:p>
    <w:p w14:paraId="20A940C9" w14:textId="77777777" w:rsidR="00447E5D" w:rsidRDefault="00447E5D" w:rsidP="00447E5D">
      <w:pPr>
        <w:spacing w:after="40"/>
        <w:jc w:val="cente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00447A" w14:paraId="3F14C5A8" w14:textId="77777777">
        <w:tblPrEx>
          <w:tblCellMar>
            <w:top w:w="0" w:type="dxa"/>
            <w:bottom w:w="0" w:type="dxa"/>
          </w:tblCellMar>
        </w:tblPrEx>
        <w:tc>
          <w:tcPr>
            <w:tcW w:w="2600" w:type="dxa"/>
            <w:shd w:val="clear" w:color="auto" w:fill="DCE6F1"/>
          </w:tcPr>
          <w:p w14:paraId="03207D37" w14:textId="77777777" w:rsidR="0000447A" w:rsidRDefault="00000000">
            <w:r>
              <w:rPr>
                <w:b/>
                <w:bCs/>
                <w:sz w:val="21"/>
                <w:szCs w:val="21"/>
              </w:rPr>
              <w:t>Source</w:t>
            </w:r>
          </w:p>
        </w:tc>
        <w:tc>
          <w:tcPr>
            <w:tcW w:w="6900" w:type="dxa"/>
          </w:tcPr>
          <w:p w14:paraId="10704BB3" w14:textId="77777777" w:rsidR="0000447A" w:rsidRDefault="00000000">
            <w:r>
              <w:rPr>
                <w:sz w:val="21"/>
                <w:szCs w:val="21"/>
              </w:rPr>
              <w:t>indiadataportal.com — Export Trade Statistics</w:t>
            </w:r>
          </w:p>
        </w:tc>
      </w:tr>
      <w:tr w:rsidR="0000447A" w14:paraId="663E7BF5" w14:textId="77777777">
        <w:tblPrEx>
          <w:tblCellMar>
            <w:top w:w="0" w:type="dxa"/>
            <w:bottom w:w="0" w:type="dxa"/>
          </w:tblCellMar>
        </w:tblPrEx>
        <w:tc>
          <w:tcPr>
            <w:tcW w:w="2600" w:type="dxa"/>
            <w:shd w:val="clear" w:color="auto" w:fill="DCE6F1"/>
          </w:tcPr>
          <w:p w14:paraId="1AEF8E48" w14:textId="77777777" w:rsidR="0000447A" w:rsidRDefault="00000000">
            <w:r>
              <w:rPr>
                <w:b/>
                <w:bCs/>
                <w:sz w:val="21"/>
                <w:szCs w:val="21"/>
              </w:rPr>
              <w:t>Link</w:t>
            </w:r>
          </w:p>
        </w:tc>
        <w:tc>
          <w:tcPr>
            <w:tcW w:w="6900" w:type="dxa"/>
          </w:tcPr>
          <w:p w14:paraId="7332283C" w14:textId="77777777" w:rsidR="0000447A" w:rsidRDefault="00000000">
            <w:r>
              <w:rPr>
                <w:sz w:val="21"/>
                <w:szCs w:val="21"/>
              </w:rPr>
              <w:t>https://indiadataportal.com/p/export-trade-statistics/r/mci-tradestat_export_lfy-cn-mn-asi</w:t>
            </w:r>
          </w:p>
        </w:tc>
      </w:tr>
      <w:tr w:rsidR="0000447A" w14:paraId="546A4852" w14:textId="77777777">
        <w:tblPrEx>
          <w:tblCellMar>
            <w:top w:w="0" w:type="dxa"/>
            <w:bottom w:w="0" w:type="dxa"/>
          </w:tblCellMar>
        </w:tblPrEx>
        <w:tc>
          <w:tcPr>
            <w:tcW w:w="2600" w:type="dxa"/>
            <w:shd w:val="clear" w:color="auto" w:fill="DCE6F1"/>
          </w:tcPr>
          <w:p w14:paraId="06265115" w14:textId="77777777" w:rsidR="0000447A" w:rsidRDefault="00000000">
            <w:r>
              <w:rPr>
                <w:b/>
                <w:bCs/>
                <w:sz w:val="21"/>
                <w:szCs w:val="21"/>
              </w:rPr>
              <w:t>Timeline</w:t>
            </w:r>
          </w:p>
        </w:tc>
        <w:tc>
          <w:tcPr>
            <w:tcW w:w="6900" w:type="dxa"/>
          </w:tcPr>
          <w:p w14:paraId="07013566" w14:textId="77777777" w:rsidR="0000447A" w:rsidRDefault="00000000">
            <w:r>
              <w:rPr>
                <w:sz w:val="21"/>
                <w:szCs w:val="21"/>
              </w:rPr>
              <w:t>2015 – 2025</w:t>
            </w:r>
          </w:p>
        </w:tc>
      </w:tr>
      <w:tr w:rsidR="0000447A" w14:paraId="6E57CC74" w14:textId="77777777">
        <w:tblPrEx>
          <w:tblCellMar>
            <w:top w:w="0" w:type="dxa"/>
            <w:bottom w:w="0" w:type="dxa"/>
          </w:tblCellMar>
        </w:tblPrEx>
        <w:tc>
          <w:tcPr>
            <w:tcW w:w="2600" w:type="dxa"/>
            <w:shd w:val="clear" w:color="auto" w:fill="DCE6F1"/>
          </w:tcPr>
          <w:p w14:paraId="0C654975" w14:textId="77777777" w:rsidR="0000447A" w:rsidRDefault="00000000">
            <w:r>
              <w:rPr>
                <w:b/>
                <w:bCs/>
                <w:sz w:val="21"/>
                <w:szCs w:val="21"/>
              </w:rPr>
              <w:t>Domain</w:t>
            </w:r>
          </w:p>
        </w:tc>
        <w:tc>
          <w:tcPr>
            <w:tcW w:w="6900" w:type="dxa"/>
          </w:tcPr>
          <w:p w14:paraId="24BFD4EA" w14:textId="77777777" w:rsidR="0000447A" w:rsidRDefault="00000000">
            <w:r>
              <w:rPr>
                <w:sz w:val="21"/>
                <w:szCs w:val="21"/>
              </w:rPr>
              <w:t>Commerce</w:t>
            </w:r>
          </w:p>
        </w:tc>
      </w:tr>
      <w:tr w:rsidR="0000447A" w14:paraId="4F8880A4" w14:textId="77777777">
        <w:tblPrEx>
          <w:tblCellMar>
            <w:top w:w="0" w:type="dxa"/>
            <w:bottom w:w="0" w:type="dxa"/>
          </w:tblCellMar>
        </w:tblPrEx>
        <w:tc>
          <w:tcPr>
            <w:tcW w:w="2600" w:type="dxa"/>
            <w:shd w:val="clear" w:color="auto" w:fill="DCE6F1"/>
          </w:tcPr>
          <w:p w14:paraId="394B67DD" w14:textId="77777777" w:rsidR="0000447A" w:rsidRDefault="00000000">
            <w:r>
              <w:rPr>
                <w:b/>
                <w:bCs/>
                <w:sz w:val="21"/>
                <w:szCs w:val="21"/>
              </w:rPr>
              <w:t>Environment</w:t>
            </w:r>
          </w:p>
        </w:tc>
        <w:tc>
          <w:tcPr>
            <w:tcW w:w="6900" w:type="dxa"/>
          </w:tcPr>
          <w:p w14:paraId="1CDC6E84" w14:textId="77777777" w:rsidR="0000447A" w:rsidRDefault="00000000">
            <w:r>
              <w:rPr>
                <w:sz w:val="21"/>
                <w:szCs w:val="21"/>
              </w:rPr>
              <w:t xml:space="preserve">Google </w:t>
            </w:r>
            <w:proofErr w:type="spellStart"/>
            <w:r>
              <w:rPr>
                <w:sz w:val="21"/>
                <w:szCs w:val="21"/>
              </w:rPr>
              <w:t>Colab</w:t>
            </w:r>
            <w:proofErr w:type="spellEnd"/>
            <w:r>
              <w:rPr>
                <w:sz w:val="21"/>
                <w:szCs w:val="21"/>
              </w:rPr>
              <w:t xml:space="preserve"> (Python, Pandas, NumPy, Matplotlib, Seaborn)</w:t>
            </w:r>
          </w:p>
        </w:tc>
      </w:tr>
    </w:tbl>
    <w:p w14:paraId="6443280A" w14:textId="77777777" w:rsidR="001A00EC" w:rsidRPr="001A00EC" w:rsidRDefault="001A00EC" w:rsidP="00837BB4">
      <w:pPr>
        <w:pStyle w:val="Heading1"/>
        <w:pBdr>
          <w:bottom w:val="single" w:sz="4" w:space="1" w:color="auto"/>
        </w:pBdr>
        <w:spacing w:before="320" w:after="160"/>
        <w:rPr>
          <w:b/>
          <w:bCs/>
          <w:color w:val="77206D" w:themeColor="accent5" w:themeShade="BF"/>
          <w:sz w:val="28"/>
          <w:szCs w:val="28"/>
        </w:rPr>
      </w:pPr>
      <w:r w:rsidRPr="001A00EC">
        <w:rPr>
          <w:b/>
          <w:bCs/>
          <w:color w:val="77206D" w:themeColor="accent5" w:themeShade="BF"/>
          <w:sz w:val="28"/>
          <w:szCs w:val="28"/>
        </w:rPr>
        <w:t>1. Executive Summary</w:t>
      </w:r>
    </w:p>
    <w:p w14:paraId="7F63FE77" w14:textId="4B21A56D" w:rsidR="001A00EC" w:rsidRPr="001A00EC" w:rsidRDefault="001A00EC" w:rsidP="00953DA5">
      <w:pPr>
        <w:pStyle w:val="Heading1"/>
        <w:spacing w:before="320" w:after="160"/>
        <w:rPr>
          <w:color w:val="auto"/>
          <w:sz w:val="22"/>
          <w:szCs w:val="22"/>
        </w:rPr>
      </w:pPr>
      <w:r w:rsidRPr="001A00EC">
        <w:rPr>
          <w:color w:val="auto"/>
          <w:sz w:val="22"/>
          <w:szCs w:val="22"/>
        </w:rPr>
        <w:t xml:space="preserve">This project </w:t>
      </w:r>
      <w:r w:rsidR="00837BB4" w:rsidRPr="001A00EC">
        <w:rPr>
          <w:color w:val="auto"/>
          <w:sz w:val="22"/>
          <w:szCs w:val="22"/>
        </w:rPr>
        <w:t>analyses</w:t>
      </w:r>
      <w:r w:rsidRPr="001A00EC">
        <w:rPr>
          <w:color w:val="auto"/>
          <w:sz w:val="22"/>
          <w:szCs w:val="22"/>
        </w:rPr>
        <w:t xml:space="preserve"> India’s exports to Asia between 2015–2025 using shipment-level data. The study applies descriptive statistics, seasonal analysis, and commodity categorization to uncover trade trends, top partners, and structural risks. Key findings highlight the dominance of Cosmetics &amp; Personal Care, Western Asia as the largest market, recurring fiscal year-end and holiday peaks, and Central Asia’s minimal role.</w:t>
      </w:r>
    </w:p>
    <w:p w14:paraId="3A261E95" w14:textId="77777777" w:rsidR="001A00EC" w:rsidRPr="001A00EC" w:rsidRDefault="001A00EC" w:rsidP="00837BB4">
      <w:pPr>
        <w:pStyle w:val="Heading1"/>
        <w:pBdr>
          <w:bottom w:val="single" w:sz="4" w:space="1" w:color="auto"/>
        </w:pBdr>
        <w:spacing w:before="320" w:after="160"/>
        <w:rPr>
          <w:b/>
          <w:bCs/>
          <w:color w:val="77206D" w:themeColor="accent5" w:themeShade="BF"/>
          <w:sz w:val="28"/>
          <w:szCs w:val="28"/>
        </w:rPr>
      </w:pPr>
      <w:r w:rsidRPr="001A00EC">
        <w:rPr>
          <w:b/>
          <w:bCs/>
          <w:color w:val="77206D" w:themeColor="accent5" w:themeShade="BF"/>
          <w:sz w:val="28"/>
          <w:szCs w:val="28"/>
        </w:rPr>
        <w:t>2. Introduction &amp; Industry Context</w:t>
      </w:r>
    </w:p>
    <w:p w14:paraId="636FFDA3" w14:textId="77777777" w:rsidR="001A00EC" w:rsidRPr="001A00EC" w:rsidRDefault="001A00EC" w:rsidP="00953DA5">
      <w:pPr>
        <w:pStyle w:val="Heading1"/>
        <w:spacing w:before="320" w:after="160"/>
        <w:rPr>
          <w:color w:val="auto"/>
          <w:sz w:val="22"/>
          <w:szCs w:val="22"/>
        </w:rPr>
      </w:pPr>
      <w:r w:rsidRPr="001A00EC">
        <w:rPr>
          <w:color w:val="auto"/>
          <w:sz w:val="22"/>
          <w:szCs w:val="22"/>
        </w:rPr>
        <w:t>Asia is one of India’s largest trading regions. Understanding decade-long export flows provides insights into growth, partner concentration, and sectoral strengths. This project uses Python-based analytics to transform raw trade data into actionable intelligence for commerce and policy.</w:t>
      </w:r>
    </w:p>
    <w:p w14:paraId="5A62494E" w14:textId="77777777" w:rsidR="001A00EC" w:rsidRPr="001A00EC" w:rsidRDefault="001A00EC" w:rsidP="00837BB4">
      <w:pPr>
        <w:pStyle w:val="Heading1"/>
        <w:pBdr>
          <w:bottom w:val="single" w:sz="4" w:space="1" w:color="auto"/>
        </w:pBdr>
        <w:spacing w:before="320" w:after="160"/>
        <w:rPr>
          <w:b/>
          <w:bCs/>
          <w:color w:val="77206D" w:themeColor="accent5" w:themeShade="BF"/>
          <w:sz w:val="28"/>
          <w:szCs w:val="28"/>
        </w:rPr>
      </w:pPr>
      <w:r w:rsidRPr="001A00EC">
        <w:rPr>
          <w:b/>
          <w:bCs/>
          <w:color w:val="77206D" w:themeColor="accent5" w:themeShade="BF"/>
          <w:sz w:val="28"/>
          <w:szCs w:val="28"/>
        </w:rPr>
        <w:t>3. Problem Statement</w:t>
      </w:r>
    </w:p>
    <w:p w14:paraId="07A30F2E" w14:textId="77777777" w:rsidR="001A00EC" w:rsidRPr="001A00EC" w:rsidRDefault="001A00EC" w:rsidP="00953DA5">
      <w:pPr>
        <w:pStyle w:val="Heading1"/>
        <w:spacing w:before="320" w:after="160"/>
        <w:rPr>
          <w:color w:val="auto"/>
          <w:sz w:val="22"/>
          <w:szCs w:val="22"/>
        </w:rPr>
      </w:pPr>
      <w:r w:rsidRPr="001A00EC">
        <w:rPr>
          <w:color w:val="auto"/>
          <w:sz w:val="22"/>
          <w:szCs w:val="22"/>
        </w:rPr>
        <w:t>Raw trade data is vast and noisy, with missing values and inconsistent formats. Without structured analysis, it is difficult to identify growth drivers, seasonal patterns, or market risks. This study builds a complete pipeline to convert raw shipment records into decision-ready insights.</w:t>
      </w:r>
    </w:p>
    <w:p w14:paraId="2AAF13B6" w14:textId="1599E498" w:rsidR="0063474F" w:rsidRPr="001A00EC" w:rsidRDefault="001A00EC" w:rsidP="00837BB4">
      <w:pPr>
        <w:pStyle w:val="Heading1"/>
        <w:pBdr>
          <w:bottom w:val="single" w:sz="4" w:space="1" w:color="auto"/>
        </w:pBdr>
        <w:spacing w:before="320" w:after="160"/>
        <w:rPr>
          <w:b/>
          <w:bCs/>
          <w:color w:val="77206D" w:themeColor="accent5" w:themeShade="BF"/>
          <w:sz w:val="28"/>
          <w:szCs w:val="28"/>
        </w:rPr>
      </w:pPr>
      <w:r w:rsidRPr="001A00EC">
        <w:rPr>
          <w:b/>
          <w:bCs/>
          <w:color w:val="77206D" w:themeColor="accent5" w:themeShade="BF"/>
          <w:sz w:val="28"/>
          <w:szCs w:val="28"/>
        </w:rPr>
        <w:t xml:space="preserve">4. Project </w:t>
      </w:r>
      <w:r w:rsidRPr="001A00EC">
        <w:rPr>
          <w:b/>
          <w:bCs/>
          <w:color w:val="77206D" w:themeColor="accent5" w:themeShade="BF"/>
          <w:sz w:val="28"/>
          <w:szCs w:val="28"/>
        </w:rPr>
        <w:t>Objective</w:t>
      </w:r>
      <w:r w:rsidRPr="001A00EC">
        <w:rPr>
          <w:b/>
          <w:bCs/>
          <w:color w:val="77206D" w:themeColor="accent5" w:themeShade="BF"/>
          <w:sz w:val="28"/>
          <w:szCs w:val="28"/>
        </w:rPr>
        <w:t>s</w:t>
      </w:r>
    </w:p>
    <w:p w14:paraId="60E808BD" w14:textId="77777777" w:rsidR="001A00EC" w:rsidRPr="001A00EC" w:rsidRDefault="001A00EC" w:rsidP="00953DA5">
      <w:pPr>
        <w:pStyle w:val="Heading1"/>
        <w:spacing w:before="320" w:after="160"/>
        <w:rPr>
          <w:color w:val="auto"/>
          <w:sz w:val="22"/>
          <w:szCs w:val="22"/>
        </w:rPr>
      </w:pPr>
      <w:r w:rsidRPr="001A00EC">
        <w:rPr>
          <w:color w:val="auto"/>
          <w:sz w:val="22"/>
          <w:szCs w:val="22"/>
        </w:rPr>
        <w:t>Track Trade and Export Trends Over the Years</w:t>
      </w:r>
    </w:p>
    <w:p w14:paraId="40A433BF" w14:textId="77777777" w:rsidR="001A00EC" w:rsidRPr="001A00EC" w:rsidRDefault="001A00EC" w:rsidP="00953DA5">
      <w:pPr>
        <w:pStyle w:val="Heading1"/>
        <w:spacing w:before="320" w:after="160"/>
        <w:rPr>
          <w:color w:val="auto"/>
          <w:sz w:val="22"/>
          <w:szCs w:val="22"/>
        </w:rPr>
      </w:pPr>
      <w:r w:rsidRPr="001A00EC">
        <w:rPr>
          <w:color w:val="auto"/>
          <w:sz w:val="22"/>
          <w:szCs w:val="22"/>
        </w:rPr>
        <w:t>Study how India's total trade and exports have changed from year to year, in order to understand whether trade is growing, shrinking, or staying steady over time.</w:t>
      </w:r>
    </w:p>
    <w:p w14:paraId="7661EE3D" w14:textId="37ED65DF" w:rsidR="001A00EC" w:rsidRPr="001A00EC" w:rsidRDefault="001A00EC" w:rsidP="00953DA5">
      <w:pPr>
        <w:pStyle w:val="Heading1"/>
        <w:spacing w:before="320" w:after="160"/>
        <w:rPr>
          <w:color w:val="auto"/>
          <w:sz w:val="22"/>
          <w:szCs w:val="22"/>
        </w:rPr>
      </w:pPr>
      <w:r w:rsidRPr="001A00EC">
        <w:rPr>
          <w:b/>
          <w:bCs/>
          <w:color w:val="auto"/>
          <w:sz w:val="22"/>
          <w:szCs w:val="22"/>
        </w:rPr>
        <w:t>Objective 1:</w:t>
      </w:r>
      <w:r w:rsidRPr="001A00EC">
        <w:rPr>
          <w:color w:val="auto"/>
          <w:sz w:val="22"/>
          <w:szCs w:val="22"/>
        </w:rPr>
        <w:t xml:space="preserve"> Track Trade and Export Trends Over Time </w:t>
      </w:r>
      <w:r w:rsidR="00837BB4" w:rsidRPr="001A00EC">
        <w:rPr>
          <w:color w:val="auto"/>
          <w:sz w:val="22"/>
          <w:szCs w:val="22"/>
        </w:rPr>
        <w:t>Analyse</w:t>
      </w:r>
      <w:r w:rsidRPr="001A00EC">
        <w:rPr>
          <w:color w:val="auto"/>
          <w:sz w:val="22"/>
          <w:szCs w:val="22"/>
        </w:rPr>
        <w:t xml:space="preserve"> how India's total export value to Asian countries has changed month-by-month and year-by-year (2015–2025) to identify overall growth, decline, or stability in trade.</w:t>
      </w:r>
    </w:p>
    <w:p w14:paraId="25FDA1C8" w14:textId="5E717BBD" w:rsidR="001A00EC" w:rsidRPr="001A00EC" w:rsidRDefault="001A00EC" w:rsidP="00953DA5">
      <w:pPr>
        <w:pStyle w:val="Heading1"/>
        <w:spacing w:before="320" w:after="160"/>
        <w:rPr>
          <w:color w:val="auto"/>
          <w:sz w:val="22"/>
          <w:szCs w:val="22"/>
        </w:rPr>
      </w:pPr>
      <w:r w:rsidRPr="001A00EC">
        <w:rPr>
          <w:b/>
          <w:bCs/>
          <w:color w:val="auto"/>
          <w:sz w:val="22"/>
          <w:szCs w:val="22"/>
        </w:rPr>
        <w:t>Objective 2:</w:t>
      </w:r>
      <w:r w:rsidRPr="001A00EC">
        <w:rPr>
          <w:color w:val="auto"/>
          <w:sz w:val="22"/>
          <w:szCs w:val="22"/>
        </w:rPr>
        <w:t xml:space="preserve"> Identify Top Subregions by Export Revenue Determine </w:t>
      </w:r>
      <w:r w:rsidR="00837BB4" w:rsidRPr="001A00EC">
        <w:rPr>
          <w:color w:val="auto"/>
          <w:sz w:val="22"/>
          <w:szCs w:val="22"/>
        </w:rPr>
        <w:t>Which</w:t>
      </w:r>
      <w:r w:rsidRPr="001A00EC">
        <w:rPr>
          <w:color w:val="auto"/>
          <w:sz w:val="22"/>
          <w:szCs w:val="22"/>
        </w:rPr>
        <w:t xml:space="preserve"> Asian subregions (Western Asia, Eastern Asia, South-eastern Asia, Southern Asia, Central Asia) generate the highest export revenue for India, and quantify the gap between top and bottom performers.</w:t>
      </w:r>
    </w:p>
    <w:p w14:paraId="0E3446CF" w14:textId="77777777" w:rsidR="001A00EC" w:rsidRPr="001A00EC" w:rsidRDefault="001A00EC" w:rsidP="00953DA5">
      <w:pPr>
        <w:pStyle w:val="Heading1"/>
        <w:spacing w:before="320" w:after="160"/>
        <w:rPr>
          <w:color w:val="auto"/>
          <w:sz w:val="22"/>
          <w:szCs w:val="22"/>
        </w:rPr>
      </w:pPr>
      <w:r w:rsidRPr="001A00EC">
        <w:rPr>
          <w:b/>
          <w:bCs/>
          <w:color w:val="auto"/>
          <w:sz w:val="22"/>
          <w:szCs w:val="22"/>
        </w:rPr>
        <w:t>Objective 3:</w:t>
      </w:r>
      <w:r w:rsidRPr="001A00EC">
        <w:rPr>
          <w:color w:val="auto"/>
          <w:sz w:val="22"/>
          <w:szCs w:val="22"/>
        </w:rPr>
        <w:t> Evaluate Geographic Trade Share Across Countries Identify India's top 10 and bottom 10 trading partner countries by export value, and assess how concentrated or diversified India's export revenue is across its Asian partners.</w:t>
      </w:r>
    </w:p>
    <w:p w14:paraId="068D1BD0" w14:textId="77777777" w:rsidR="001A00EC" w:rsidRPr="001A00EC" w:rsidRDefault="001A00EC" w:rsidP="00953DA5">
      <w:pPr>
        <w:pStyle w:val="Heading1"/>
        <w:spacing w:before="320" w:after="160"/>
        <w:rPr>
          <w:color w:val="auto"/>
          <w:sz w:val="22"/>
          <w:szCs w:val="22"/>
        </w:rPr>
      </w:pPr>
      <w:r w:rsidRPr="001A00EC">
        <w:rPr>
          <w:b/>
          <w:bCs/>
          <w:color w:val="auto"/>
          <w:sz w:val="22"/>
          <w:szCs w:val="22"/>
        </w:rPr>
        <w:lastRenderedPageBreak/>
        <w:t>Objective 4:</w:t>
      </w:r>
      <w:r w:rsidRPr="001A00EC">
        <w:rPr>
          <w:color w:val="auto"/>
          <w:sz w:val="22"/>
          <w:szCs w:val="22"/>
        </w:rPr>
        <w:t> Uncover Monthly Trade Seasonality Across Years Examine seasonal patterns in export revenue using a year-by-month heatmap to detect recurring peaks (e.g., financial year-end surges) and anomalies (e.g., pandemic-driven drops).</w:t>
      </w:r>
    </w:p>
    <w:p w14:paraId="6E70BF45" w14:textId="77777777" w:rsidR="001A00EC" w:rsidRPr="001A00EC" w:rsidRDefault="001A00EC" w:rsidP="00953DA5">
      <w:pPr>
        <w:pStyle w:val="Heading1"/>
        <w:spacing w:before="320" w:after="160"/>
        <w:rPr>
          <w:color w:val="auto"/>
          <w:sz w:val="22"/>
          <w:szCs w:val="22"/>
        </w:rPr>
      </w:pPr>
      <w:r w:rsidRPr="001A00EC">
        <w:rPr>
          <w:b/>
          <w:bCs/>
          <w:color w:val="auto"/>
          <w:sz w:val="22"/>
          <w:szCs w:val="22"/>
        </w:rPr>
        <w:t>Objective 5:</w:t>
      </w:r>
      <w:r w:rsidRPr="001A00EC">
        <w:rPr>
          <w:color w:val="auto"/>
          <w:sz w:val="22"/>
          <w:szCs w:val="22"/>
        </w:rPr>
        <w:t> Compare Unit Value Realization (Value/Quantity) Across Sectors Calculate and compare price-per-unit realization across commodity categories to distinguish high-margin, low-volume sectors from high-volume, low-margin bulk sectors.</w:t>
      </w:r>
    </w:p>
    <w:p w14:paraId="7666A98F" w14:textId="4E22FA05" w:rsidR="001A00EC" w:rsidRPr="001A00EC" w:rsidRDefault="001A00EC" w:rsidP="00953DA5">
      <w:pPr>
        <w:pStyle w:val="Heading1"/>
        <w:spacing w:before="320" w:after="160"/>
        <w:rPr>
          <w:color w:val="auto"/>
          <w:sz w:val="22"/>
          <w:szCs w:val="22"/>
        </w:rPr>
      </w:pPr>
      <w:r w:rsidRPr="001A00EC">
        <w:rPr>
          <w:b/>
          <w:bCs/>
          <w:color w:val="auto"/>
          <w:sz w:val="22"/>
          <w:szCs w:val="22"/>
        </w:rPr>
        <w:t>Objective 6:</w:t>
      </w:r>
      <w:r w:rsidRPr="001A00EC">
        <w:rPr>
          <w:color w:val="auto"/>
          <w:sz w:val="22"/>
          <w:szCs w:val="22"/>
        </w:rPr>
        <w:t> </w:t>
      </w:r>
      <w:r w:rsidR="00837BB4" w:rsidRPr="001A00EC">
        <w:rPr>
          <w:color w:val="auto"/>
          <w:sz w:val="22"/>
          <w:szCs w:val="22"/>
        </w:rPr>
        <w:t>Analyse</w:t>
      </w:r>
      <w:r w:rsidRPr="001A00EC">
        <w:rPr>
          <w:color w:val="auto"/>
          <w:sz w:val="22"/>
          <w:szCs w:val="22"/>
        </w:rPr>
        <w:t xml:space="preserve"> Commodity Specialization Across Asian Subregions Map which commodity categories dominate exports to each Asian subregion, revealing regional specialization patterns in India's trade basket.</w:t>
      </w:r>
    </w:p>
    <w:p w14:paraId="3D9B4ED8" w14:textId="29E353C1" w:rsidR="0063474F" w:rsidRPr="0063474F" w:rsidRDefault="0063474F" w:rsidP="00837BB4">
      <w:pPr>
        <w:pStyle w:val="Heading1"/>
        <w:pBdr>
          <w:bottom w:val="single" w:sz="4" w:space="1" w:color="auto"/>
        </w:pBdr>
        <w:spacing w:before="320" w:after="160"/>
        <w:rPr>
          <w:b/>
          <w:bCs/>
          <w:color w:val="77206D" w:themeColor="accent5" w:themeShade="BF"/>
          <w:sz w:val="28"/>
          <w:szCs w:val="28"/>
        </w:rPr>
      </w:pPr>
      <w:r>
        <w:rPr>
          <w:b/>
          <w:bCs/>
          <w:color w:val="77206D" w:themeColor="accent5" w:themeShade="BF"/>
          <w:sz w:val="28"/>
          <w:szCs w:val="28"/>
        </w:rPr>
        <w:t>5</w:t>
      </w:r>
      <w:r w:rsidRPr="0063474F">
        <w:rPr>
          <w:b/>
          <w:bCs/>
          <w:color w:val="77206D" w:themeColor="accent5" w:themeShade="BF"/>
          <w:sz w:val="28"/>
          <w:szCs w:val="28"/>
        </w:rPr>
        <w:t>. Tools &amp; Technologies</w:t>
      </w:r>
    </w:p>
    <w:p w14:paraId="0A2C79A2" w14:textId="77777777" w:rsidR="0063474F" w:rsidRDefault="0063474F" w:rsidP="00953DA5">
      <w:pPr>
        <w:pStyle w:val="Heading1"/>
        <w:spacing w:before="320" w:after="160"/>
        <w:rPr>
          <w:color w:val="auto"/>
          <w:sz w:val="22"/>
          <w:szCs w:val="22"/>
        </w:rPr>
      </w:pPr>
      <w:r w:rsidRPr="0063474F">
        <w:rPr>
          <w:color w:val="auto"/>
          <w:sz w:val="22"/>
          <w:szCs w:val="22"/>
        </w:rPr>
        <w:t xml:space="preserve">Python, Pandas, NumPy, Matplotlib, Seaborn, Google </w:t>
      </w:r>
      <w:proofErr w:type="spellStart"/>
      <w:r w:rsidRPr="0063474F">
        <w:rPr>
          <w:color w:val="auto"/>
          <w:sz w:val="22"/>
          <w:szCs w:val="22"/>
        </w:rPr>
        <w:t>Colab</w:t>
      </w:r>
      <w:proofErr w:type="spellEnd"/>
      <w:r w:rsidRPr="0063474F">
        <w:rPr>
          <w:color w:val="auto"/>
          <w:sz w:val="22"/>
          <w:szCs w:val="22"/>
        </w:rPr>
        <w:t>.</w:t>
      </w:r>
    </w:p>
    <w:p w14:paraId="319DE550" w14:textId="39846888" w:rsidR="0063474F" w:rsidRPr="0063474F" w:rsidRDefault="0063474F" w:rsidP="00837BB4">
      <w:pPr>
        <w:pStyle w:val="Heading1"/>
        <w:pBdr>
          <w:bottom w:val="single" w:sz="4" w:space="1" w:color="auto"/>
        </w:pBdr>
        <w:spacing w:before="320" w:after="160"/>
        <w:rPr>
          <w:b/>
          <w:bCs/>
          <w:color w:val="77206D" w:themeColor="accent5" w:themeShade="BF"/>
          <w:sz w:val="28"/>
          <w:szCs w:val="28"/>
        </w:rPr>
      </w:pPr>
      <w:r>
        <w:rPr>
          <w:b/>
          <w:bCs/>
          <w:color w:val="77206D" w:themeColor="accent5" w:themeShade="BF"/>
          <w:sz w:val="28"/>
          <w:szCs w:val="28"/>
        </w:rPr>
        <w:t>6</w:t>
      </w:r>
      <w:r w:rsidRPr="0063474F">
        <w:rPr>
          <w:b/>
          <w:bCs/>
          <w:color w:val="77206D" w:themeColor="accent5" w:themeShade="BF"/>
          <w:sz w:val="28"/>
          <w:szCs w:val="28"/>
        </w:rPr>
        <w:t>. Methodology Framework</w:t>
      </w:r>
    </w:p>
    <w:p w14:paraId="11730AE7" w14:textId="77777777" w:rsidR="0063474F" w:rsidRDefault="0063474F" w:rsidP="00953DA5">
      <w:pPr>
        <w:pStyle w:val="Heading1"/>
        <w:spacing w:before="320" w:after="160"/>
        <w:rPr>
          <w:color w:val="auto"/>
          <w:sz w:val="22"/>
          <w:szCs w:val="22"/>
        </w:rPr>
      </w:pPr>
      <w:r w:rsidRPr="0063474F">
        <w:rPr>
          <w:color w:val="auto"/>
          <w:sz w:val="22"/>
          <w:szCs w:val="22"/>
        </w:rPr>
        <w:t>CRISP-DM lifecycle: Business Understanding → Data Preparation → EDA → Statistical Analysis → Visualization → Recommendations.</w:t>
      </w:r>
    </w:p>
    <w:p w14:paraId="41C994B8" w14:textId="71931878" w:rsidR="00953DA5" w:rsidRDefault="009E07E1" w:rsidP="00837BB4">
      <w:pPr>
        <w:pStyle w:val="Heading1"/>
        <w:pBdr>
          <w:bottom w:val="single" w:sz="4" w:space="1" w:color="auto"/>
        </w:pBdr>
        <w:spacing w:before="320" w:after="160"/>
        <w:rPr>
          <w:b/>
          <w:bCs/>
          <w:color w:val="77206D" w:themeColor="accent5" w:themeShade="BF"/>
          <w:sz w:val="28"/>
          <w:szCs w:val="28"/>
        </w:rPr>
      </w:pPr>
      <w:r w:rsidRPr="009E07E1">
        <w:rPr>
          <w:b/>
          <w:bCs/>
          <w:color w:val="77206D" w:themeColor="accent5" w:themeShade="BF"/>
          <w:sz w:val="28"/>
          <w:szCs w:val="28"/>
        </w:rPr>
        <w:t xml:space="preserve">7. </w:t>
      </w:r>
      <w:r w:rsidRPr="009E07E1">
        <w:rPr>
          <w:b/>
          <w:bCs/>
          <w:color w:val="77206D" w:themeColor="accent5" w:themeShade="BF"/>
          <w:sz w:val="28"/>
          <w:szCs w:val="28"/>
        </w:rPr>
        <w:t>Data Pre-Processing &amp; Feature Engineering</w:t>
      </w:r>
    </w:p>
    <w:p w14:paraId="666A37D6" w14:textId="1684CA83" w:rsidR="009E07E1" w:rsidRDefault="009E07E1" w:rsidP="00953DA5">
      <w:pPr>
        <w:pStyle w:val="Heading1"/>
        <w:spacing w:after="160"/>
        <w:rPr>
          <w:color w:val="auto"/>
          <w:sz w:val="22"/>
          <w:szCs w:val="22"/>
        </w:rPr>
      </w:pPr>
      <w:r>
        <w:rPr>
          <w:color w:val="auto"/>
          <w:sz w:val="22"/>
          <w:szCs w:val="22"/>
        </w:rPr>
        <w:t xml:space="preserve">1. </w:t>
      </w:r>
      <w:r w:rsidRPr="009E07E1">
        <w:rPr>
          <w:color w:val="auto"/>
          <w:sz w:val="22"/>
          <w:szCs w:val="22"/>
        </w:rPr>
        <w:t>Standardized column names.</w:t>
      </w:r>
    </w:p>
    <w:p w14:paraId="43ADB9C7" w14:textId="1B2BA9F4" w:rsidR="009E07E1" w:rsidRPr="009E07E1" w:rsidRDefault="009E07E1" w:rsidP="00953DA5">
      <w:pPr>
        <w:pStyle w:val="Heading1"/>
        <w:spacing w:after="160"/>
        <w:rPr>
          <w:color w:val="auto"/>
          <w:sz w:val="22"/>
          <w:szCs w:val="22"/>
        </w:rPr>
      </w:pPr>
      <w:r>
        <w:rPr>
          <w:color w:val="auto"/>
          <w:sz w:val="22"/>
          <w:szCs w:val="22"/>
        </w:rPr>
        <w:t xml:space="preserve">2. </w:t>
      </w:r>
      <w:r w:rsidRPr="009E07E1">
        <w:rPr>
          <w:color w:val="auto"/>
          <w:sz w:val="22"/>
          <w:szCs w:val="22"/>
        </w:rPr>
        <w:t>Cleaned units and commodity text.</w:t>
      </w:r>
    </w:p>
    <w:p w14:paraId="7B347B57" w14:textId="2D16F10D" w:rsidR="009E07E1" w:rsidRPr="009E07E1" w:rsidRDefault="009E07E1" w:rsidP="00953DA5">
      <w:pPr>
        <w:pStyle w:val="Heading1"/>
        <w:spacing w:after="160"/>
        <w:rPr>
          <w:color w:val="auto"/>
          <w:sz w:val="22"/>
          <w:szCs w:val="22"/>
        </w:rPr>
      </w:pPr>
      <w:r>
        <w:rPr>
          <w:color w:val="auto"/>
          <w:sz w:val="22"/>
          <w:szCs w:val="22"/>
        </w:rPr>
        <w:t xml:space="preserve">3. </w:t>
      </w:r>
      <w:r w:rsidRPr="009E07E1">
        <w:rPr>
          <w:color w:val="auto"/>
          <w:sz w:val="22"/>
          <w:szCs w:val="22"/>
        </w:rPr>
        <w:t>Created COMMODITY_CATEGORY field (Food, Textiles, Apparel, Cosmetics, Pharmaceuticals, etc.).</w:t>
      </w:r>
    </w:p>
    <w:p w14:paraId="33250107" w14:textId="7DF83F53" w:rsidR="009E07E1" w:rsidRPr="009E07E1" w:rsidRDefault="009E07E1" w:rsidP="00953DA5">
      <w:pPr>
        <w:pStyle w:val="Heading1"/>
        <w:spacing w:after="160"/>
        <w:rPr>
          <w:color w:val="auto"/>
          <w:sz w:val="22"/>
          <w:szCs w:val="22"/>
        </w:rPr>
      </w:pPr>
      <w:r>
        <w:rPr>
          <w:color w:val="auto"/>
          <w:sz w:val="22"/>
          <w:szCs w:val="22"/>
        </w:rPr>
        <w:t xml:space="preserve">4. </w:t>
      </w:r>
      <w:r w:rsidRPr="009E07E1">
        <w:rPr>
          <w:color w:val="auto"/>
          <w:sz w:val="22"/>
          <w:szCs w:val="22"/>
        </w:rPr>
        <w:t>Imputed missing values with medians.</w:t>
      </w:r>
    </w:p>
    <w:p w14:paraId="4792AAC8" w14:textId="500E430B" w:rsidR="009E07E1" w:rsidRPr="009E07E1" w:rsidRDefault="009E07E1" w:rsidP="00953DA5">
      <w:pPr>
        <w:pStyle w:val="Heading1"/>
        <w:spacing w:after="160"/>
        <w:rPr>
          <w:color w:val="auto"/>
          <w:sz w:val="22"/>
          <w:szCs w:val="22"/>
        </w:rPr>
      </w:pPr>
      <w:r>
        <w:rPr>
          <w:color w:val="auto"/>
          <w:sz w:val="22"/>
          <w:szCs w:val="22"/>
        </w:rPr>
        <w:t xml:space="preserve">5. </w:t>
      </w:r>
      <w:r w:rsidRPr="009E07E1">
        <w:rPr>
          <w:color w:val="auto"/>
          <w:sz w:val="22"/>
          <w:szCs w:val="22"/>
        </w:rPr>
        <w:t>Dropped redundant fields (VALUE_USD, REGION_CODE, SUBREGION_CODE).</w:t>
      </w:r>
    </w:p>
    <w:p w14:paraId="21D4CDDA" w14:textId="10965452" w:rsidR="0000447A" w:rsidRPr="00953DA5" w:rsidRDefault="000836AF" w:rsidP="00953DA5">
      <w:pPr>
        <w:pStyle w:val="Heading1"/>
        <w:spacing w:before="320" w:after="160"/>
        <w:rPr>
          <w:b/>
          <w:bCs/>
          <w:color w:val="77206D" w:themeColor="accent5" w:themeShade="BF"/>
          <w:sz w:val="28"/>
          <w:szCs w:val="28"/>
        </w:rPr>
      </w:pPr>
      <w:r>
        <w:rPr>
          <w:b/>
          <w:bCs/>
          <w:color w:val="77206D" w:themeColor="accent5" w:themeShade="BF"/>
          <w:sz w:val="28"/>
          <w:szCs w:val="28"/>
        </w:rPr>
        <w:t xml:space="preserve">8. </w:t>
      </w:r>
      <w:r w:rsidR="00000000" w:rsidRPr="0063474F">
        <w:rPr>
          <w:b/>
          <w:bCs/>
          <w:color w:val="77206D" w:themeColor="accent5" w:themeShade="BF"/>
          <w:sz w:val="28"/>
          <w:szCs w:val="28"/>
        </w:rPr>
        <w:t>Data Loading &amp; Initial Inspection</w:t>
      </w:r>
    </w:p>
    <w:p w14:paraId="7BE9DB57" w14:textId="77777777" w:rsidR="0000447A" w:rsidRDefault="00000000" w:rsidP="009E07E1">
      <w:pPr>
        <w:pStyle w:val="ListParagraph"/>
        <w:numPr>
          <w:ilvl w:val="0"/>
          <w:numId w:val="7"/>
        </w:numPr>
        <w:spacing w:after="80"/>
      </w:pPr>
      <w:r>
        <w:rPr>
          <w:sz w:val="22"/>
          <w:szCs w:val="22"/>
        </w:rPr>
        <w:t xml:space="preserve">Dataset loaded from Google Drive: </w:t>
      </w:r>
      <w:r>
        <w:rPr>
          <w:b/>
          <w:bCs/>
          <w:sz w:val="22"/>
          <w:szCs w:val="22"/>
        </w:rPr>
        <w:t>exports-to-asian-countries.csv</w:t>
      </w:r>
    </w:p>
    <w:p w14:paraId="55908CD1" w14:textId="77777777" w:rsidR="0000447A" w:rsidRDefault="00000000" w:rsidP="009E07E1">
      <w:pPr>
        <w:pStyle w:val="ListParagraph"/>
        <w:numPr>
          <w:ilvl w:val="0"/>
          <w:numId w:val="7"/>
        </w:numPr>
        <w:spacing w:after="80"/>
      </w:pPr>
      <w:r>
        <w:rPr>
          <w:b/>
          <w:bCs/>
          <w:sz w:val="22"/>
          <w:szCs w:val="22"/>
        </w:rPr>
        <w:t>Shape:</w:t>
      </w:r>
      <w:r>
        <w:rPr>
          <w:sz w:val="22"/>
          <w:szCs w:val="22"/>
        </w:rPr>
        <w:t xml:space="preserve"> 5,541,809 rows × 15 columns</w:t>
      </w:r>
    </w:p>
    <w:p w14:paraId="257723A4" w14:textId="77777777" w:rsidR="0000447A" w:rsidRDefault="00000000" w:rsidP="009E07E1">
      <w:pPr>
        <w:pStyle w:val="ListParagraph"/>
        <w:numPr>
          <w:ilvl w:val="0"/>
          <w:numId w:val="7"/>
        </w:numPr>
        <w:spacing w:after="80"/>
      </w:pPr>
      <w:r>
        <w:rPr>
          <w:b/>
          <w:bCs/>
          <w:sz w:val="22"/>
          <w:szCs w:val="22"/>
        </w:rPr>
        <w:t>Columns:</w:t>
      </w:r>
      <w:r>
        <w:rPr>
          <w:sz w:val="22"/>
          <w:szCs w:val="22"/>
        </w:rPr>
        <w:t xml:space="preserve"> id, date, </w:t>
      </w:r>
      <w:proofErr w:type="spellStart"/>
      <w:r>
        <w:rPr>
          <w:sz w:val="22"/>
          <w:szCs w:val="22"/>
        </w:rPr>
        <w:t>country_name</w:t>
      </w:r>
      <w:proofErr w:type="spellEnd"/>
      <w:r>
        <w:rPr>
          <w:sz w:val="22"/>
          <w:szCs w:val="22"/>
        </w:rPr>
        <w:t xml:space="preserve">, alpha_3_code, </w:t>
      </w:r>
      <w:proofErr w:type="spellStart"/>
      <w:r>
        <w:rPr>
          <w:sz w:val="22"/>
          <w:szCs w:val="22"/>
        </w:rPr>
        <w:t>country_code</w:t>
      </w:r>
      <w:proofErr w:type="spellEnd"/>
      <w:r>
        <w:rPr>
          <w:sz w:val="22"/>
          <w:szCs w:val="22"/>
        </w:rPr>
        <w:t xml:space="preserve">, </w:t>
      </w:r>
      <w:proofErr w:type="spellStart"/>
      <w:r>
        <w:rPr>
          <w:sz w:val="22"/>
          <w:szCs w:val="22"/>
        </w:rPr>
        <w:t>region_name</w:t>
      </w:r>
      <w:proofErr w:type="spellEnd"/>
      <w:r>
        <w:rPr>
          <w:sz w:val="22"/>
          <w:szCs w:val="22"/>
        </w:rPr>
        <w:t xml:space="preserve">, </w:t>
      </w:r>
      <w:proofErr w:type="spellStart"/>
      <w:r>
        <w:rPr>
          <w:sz w:val="22"/>
          <w:szCs w:val="22"/>
        </w:rPr>
        <w:t>region_code</w:t>
      </w:r>
      <w:proofErr w:type="spellEnd"/>
      <w:r>
        <w:rPr>
          <w:sz w:val="22"/>
          <w:szCs w:val="22"/>
        </w:rPr>
        <w:t xml:space="preserve">, </w:t>
      </w:r>
      <w:proofErr w:type="spellStart"/>
      <w:r>
        <w:rPr>
          <w:sz w:val="22"/>
          <w:szCs w:val="22"/>
        </w:rPr>
        <w:t>subregion_name</w:t>
      </w:r>
      <w:proofErr w:type="spellEnd"/>
      <w:r>
        <w:rPr>
          <w:sz w:val="22"/>
          <w:szCs w:val="22"/>
        </w:rPr>
        <w:t xml:space="preserve">, </w:t>
      </w:r>
      <w:proofErr w:type="spellStart"/>
      <w:r>
        <w:rPr>
          <w:sz w:val="22"/>
          <w:szCs w:val="22"/>
        </w:rPr>
        <w:t>subregion_code</w:t>
      </w:r>
      <w:proofErr w:type="spellEnd"/>
      <w:r>
        <w:rPr>
          <w:sz w:val="22"/>
          <w:szCs w:val="22"/>
        </w:rPr>
        <w:t xml:space="preserve">, </w:t>
      </w:r>
      <w:proofErr w:type="spellStart"/>
      <w:r>
        <w:rPr>
          <w:sz w:val="22"/>
          <w:szCs w:val="22"/>
        </w:rPr>
        <w:t>hs_code</w:t>
      </w:r>
      <w:proofErr w:type="spellEnd"/>
      <w:r>
        <w:rPr>
          <w:sz w:val="22"/>
          <w:szCs w:val="22"/>
        </w:rPr>
        <w:t xml:space="preserve">, commodity, unit, </w:t>
      </w:r>
      <w:proofErr w:type="spellStart"/>
      <w:r>
        <w:rPr>
          <w:sz w:val="22"/>
          <w:szCs w:val="22"/>
        </w:rPr>
        <w:t>value_qt</w:t>
      </w:r>
      <w:proofErr w:type="spellEnd"/>
      <w:r>
        <w:rPr>
          <w:sz w:val="22"/>
          <w:szCs w:val="22"/>
        </w:rPr>
        <w:t xml:space="preserve">, </w:t>
      </w:r>
      <w:proofErr w:type="spellStart"/>
      <w:r>
        <w:rPr>
          <w:sz w:val="22"/>
          <w:szCs w:val="22"/>
        </w:rPr>
        <w:t>value_rs</w:t>
      </w:r>
      <w:proofErr w:type="spellEnd"/>
      <w:r>
        <w:rPr>
          <w:sz w:val="22"/>
          <w:szCs w:val="22"/>
        </w:rPr>
        <w:t xml:space="preserve">, </w:t>
      </w:r>
      <w:proofErr w:type="spellStart"/>
      <w:r>
        <w:rPr>
          <w:sz w:val="22"/>
          <w:szCs w:val="22"/>
        </w:rPr>
        <w:t>value_dl</w:t>
      </w:r>
      <w:proofErr w:type="spellEnd"/>
    </w:p>
    <w:p w14:paraId="669F0BC4" w14:textId="77777777" w:rsidR="0000447A" w:rsidRDefault="00000000" w:rsidP="009E07E1">
      <w:pPr>
        <w:pStyle w:val="ListParagraph"/>
        <w:numPr>
          <w:ilvl w:val="0"/>
          <w:numId w:val="7"/>
        </w:numPr>
        <w:spacing w:after="80"/>
      </w:pPr>
      <w:r>
        <w:rPr>
          <w:b/>
          <w:bCs/>
          <w:sz w:val="22"/>
          <w:szCs w:val="22"/>
        </w:rPr>
        <w:t>Nulls found:</w:t>
      </w:r>
      <w:r>
        <w:rPr>
          <w:sz w:val="22"/>
          <w:szCs w:val="22"/>
        </w:rPr>
        <w:t xml:space="preserve"> unit (5,868), </w:t>
      </w:r>
      <w:proofErr w:type="spellStart"/>
      <w:r>
        <w:rPr>
          <w:sz w:val="22"/>
          <w:szCs w:val="22"/>
        </w:rPr>
        <w:t>value_qt</w:t>
      </w:r>
      <w:proofErr w:type="spellEnd"/>
      <w:r>
        <w:rPr>
          <w:sz w:val="22"/>
          <w:szCs w:val="22"/>
        </w:rPr>
        <w:t xml:space="preserve"> (45,289), </w:t>
      </w:r>
      <w:proofErr w:type="spellStart"/>
      <w:r>
        <w:rPr>
          <w:sz w:val="22"/>
          <w:szCs w:val="22"/>
        </w:rPr>
        <w:t>value_rs</w:t>
      </w:r>
      <w:proofErr w:type="spellEnd"/>
      <w:r>
        <w:rPr>
          <w:sz w:val="22"/>
          <w:szCs w:val="22"/>
        </w:rPr>
        <w:t xml:space="preserve"> (24), </w:t>
      </w:r>
      <w:proofErr w:type="spellStart"/>
      <w:r>
        <w:rPr>
          <w:sz w:val="22"/>
          <w:szCs w:val="22"/>
        </w:rPr>
        <w:t>value_dl</w:t>
      </w:r>
      <w:proofErr w:type="spellEnd"/>
      <w:r>
        <w:rPr>
          <w:sz w:val="22"/>
          <w:szCs w:val="22"/>
        </w:rPr>
        <w:t xml:space="preserve"> (282,888)</w:t>
      </w:r>
    </w:p>
    <w:p w14:paraId="7E933916" w14:textId="77777777" w:rsidR="0000447A" w:rsidRDefault="00000000" w:rsidP="009E07E1">
      <w:pPr>
        <w:pStyle w:val="ListParagraph"/>
        <w:numPr>
          <w:ilvl w:val="0"/>
          <w:numId w:val="7"/>
        </w:numPr>
        <w:spacing w:after="80"/>
      </w:pPr>
      <w:r>
        <w:rPr>
          <w:b/>
          <w:bCs/>
          <w:sz w:val="22"/>
          <w:szCs w:val="22"/>
        </w:rPr>
        <w:t>Duplicates:</w:t>
      </w:r>
      <w:r>
        <w:rPr>
          <w:sz w:val="22"/>
          <w:szCs w:val="22"/>
        </w:rPr>
        <w:t xml:space="preserve"> 0</w:t>
      </w:r>
    </w:p>
    <w:p w14:paraId="71020DDB" w14:textId="3E353424" w:rsidR="0000447A" w:rsidRPr="00447E5D" w:rsidRDefault="000836AF" w:rsidP="0063474F">
      <w:pPr>
        <w:pStyle w:val="Heading1"/>
        <w:pBdr>
          <w:bottom w:val="single" w:sz="8" w:space="0" w:color="1F4E79"/>
        </w:pBdr>
        <w:spacing w:before="320" w:after="160"/>
        <w:rPr>
          <w:color w:val="77206D" w:themeColor="accent5" w:themeShade="BF"/>
        </w:rPr>
      </w:pPr>
      <w:r>
        <w:rPr>
          <w:b/>
          <w:bCs/>
          <w:color w:val="77206D" w:themeColor="accent5" w:themeShade="BF"/>
          <w:sz w:val="28"/>
          <w:szCs w:val="28"/>
        </w:rPr>
        <w:t xml:space="preserve">9. </w:t>
      </w:r>
      <w:r w:rsidR="00000000" w:rsidRPr="00447E5D">
        <w:rPr>
          <w:b/>
          <w:bCs/>
          <w:color w:val="77206D" w:themeColor="accent5" w:themeShade="BF"/>
          <w:sz w:val="28"/>
          <w:szCs w:val="28"/>
        </w:rPr>
        <w:t>Data Cleaning, Transformation &amp; Feature Engineering</w:t>
      </w:r>
    </w:p>
    <w:p w14:paraId="76DA76FA" w14:textId="77777777" w:rsidR="0000447A" w:rsidRDefault="00000000" w:rsidP="009E07E1">
      <w:pPr>
        <w:pStyle w:val="ListParagraph"/>
        <w:numPr>
          <w:ilvl w:val="0"/>
          <w:numId w:val="2"/>
        </w:numPr>
        <w:spacing w:after="80"/>
      </w:pPr>
      <w:r>
        <w:rPr>
          <w:sz w:val="22"/>
          <w:szCs w:val="22"/>
        </w:rPr>
        <w:t>Standardized column names to uppercase; renamed VALUE_QT → QUANTITY, VALUE_DL → VALUE_USD</w:t>
      </w:r>
    </w:p>
    <w:p w14:paraId="36134EBB" w14:textId="77777777" w:rsidR="0000447A" w:rsidRDefault="00000000" w:rsidP="009E07E1">
      <w:pPr>
        <w:pStyle w:val="ListParagraph"/>
        <w:numPr>
          <w:ilvl w:val="0"/>
          <w:numId w:val="2"/>
        </w:numPr>
        <w:spacing w:after="80"/>
      </w:pPr>
      <w:r>
        <w:rPr>
          <w:sz w:val="22"/>
          <w:szCs w:val="22"/>
        </w:rPr>
        <w:t>Converted DATE to datetime</w:t>
      </w:r>
    </w:p>
    <w:p w14:paraId="1DC023CB" w14:textId="77777777" w:rsidR="0000447A" w:rsidRDefault="00000000" w:rsidP="009E07E1">
      <w:pPr>
        <w:pStyle w:val="ListParagraph"/>
        <w:numPr>
          <w:ilvl w:val="0"/>
          <w:numId w:val="2"/>
        </w:numPr>
        <w:spacing w:after="80"/>
      </w:pPr>
      <w:r>
        <w:rPr>
          <w:sz w:val="22"/>
          <w:szCs w:val="22"/>
        </w:rPr>
        <w:t>Cleaned inconsistent unit labels (e.g., "Kg" → "Kgs", "Cum" → "</w:t>
      </w:r>
      <w:proofErr w:type="spellStart"/>
      <w:r>
        <w:rPr>
          <w:sz w:val="22"/>
          <w:szCs w:val="22"/>
        </w:rPr>
        <w:t>Cbm</w:t>
      </w:r>
      <w:proofErr w:type="spellEnd"/>
      <w:r>
        <w:rPr>
          <w:sz w:val="22"/>
          <w:szCs w:val="22"/>
        </w:rPr>
        <w:t>")</w:t>
      </w:r>
    </w:p>
    <w:p w14:paraId="6F29DDA3" w14:textId="77777777" w:rsidR="0000447A" w:rsidRDefault="00000000" w:rsidP="009E07E1">
      <w:pPr>
        <w:pStyle w:val="ListParagraph"/>
        <w:numPr>
          <w:ilvl w:val="0"/>
          <w:numId w:val="2"/>
        </w:numPr>
        <w:spacing w:after="80"/>
      </w:pPr>
      <w:r>
        <w:rPr>
          <w:sz w:val="22"/>
          <w:szCs w:val="22"/>
        </w:rPr>
        <w:t>Cleaned messy commodity text (spacing, abbreviations like "</w:t>
      </w:r>
      <w:proofErr w:type="spellStart"/>
      <w:r>
        <w:rPr>
          <w:sz w:val="22"/>
          <w:szCs w:val="22"/>
        </w:rPr>
        <w:t>Mlk</w:t>
      </w:r>
      <w:proofErr w:type="spellEnd"/>
      <w:r>
        <w:rPr>
          <w:sz w:val="22"/>
          <w:szCs w:val="22"/>
        </w:rPr>
        <w:t>"→"Milk", "</w:t>
      </w:r>
      <w:proofErr w:type="spellStart"/>
      <w:r>
        <w:rPr>
          <w:sz w:val="22"/>
          <w:szCs w:val="22"/>
        </w:rPr>
        <w:t>Pwdr</w:t>
      </w:r>
      <w:proofErr w:type="spellEnd"/>
      <w:r>
        <w:rPr>
          <w:sz w:val="22"/>
          <w:szCs w:val="22"/>
        </w:rPr>
        <w:t>"→"Powder")</w:t>
      </w:r>
    </w:p>
    <w:p w14:paraId="3428AD94" w14:textId="77777777" w:rsidR="0000447A" w:rsidRDefault="00000000" w:rsidP="009E07E1">
      <w:pPr>
        <w:pStyle w:val="ListParagraph"/>
        <w:numPr>
          <w:ilvl w:val="0"/>
          <w:numId w:val="2"/>
        </w:numPr>
        <w:spacing w:after="80"/>
      </w:pPr>
      <w:r>
        <w:rPr>
          <w:sz w:val="22"/>
          <w:szCs w:val="22"/>
        </w:rPr>
        <w:lastRenderedPageBreak/>
        <w:t xml:space="preserve">Engineered a new </w:t>
      </w:r>
      <w:r>
        <w:rPr>
          <w:b/>
          <w:bCs/>
          <w:sz w:val="22"/>
          <w:szCs w:val="22"/>
        </w:rPr>
        <w:t>COMMODITY_CATEGORY</w:t>
      </w:r>
      <w:r>
        <w:rPr>
          <w:sz w:val="22"/>
          <w:szCs w:val="22"/>
        </w:rPr>
        <w:t xml:space="preserve"> field via regex pattern-matching into groups: Food &amp; Agriculture, Paper &amp; Paper Products, Tobacco, Rubber &amp; Tyres, Textiles &amp; Fabrics, Apparel &amp; Garments, Cosmetics &amp; Personal Care, Leather &amp; Travel Goods, Plastics, Wood &amp; Wooden Products, Packaging, Jewellery &amp; Accessories, Stationery, Pharmaceuticals, Medical &amp; Healthcare Equipment, Agriculture &amp; Plantation, Other</w:t>
      </w:r>
    </w:p>
    <w:p w14:paraId="1797C7E2" w14:textId="77777777" w:rsidR="0000447A" w:rsidRDefault="00000000" w:rsidP="009E07E1">
      <w:pPr>
        <w:pStyle w:val="ListParagraph"/>
        <w:numPr>
          <w:ilvl w:val="0"/>
          <w:numId w:val="2"/>
        </w:numPr>
        <w:spacing w:after="80"/>
      </w:pPr>
      <w:r>
        <w:rPr>
          <w:sz w:val="22"/>
          <w:szCs w:val="22"/>
        </w:rPr>
        <w:t xml:space="preserve">Missing QUANTITY and VALUE_RS imputed with </w:t>
      </w:r>
      <w:r>
        <w:rPr>
          <w:b/>
          <w:bCs/>
          <w:sz w:val="22"/>
          <w:szCs w:val="22"/>
        </w:rPr>
        <w:t>median</w:t>
      </w:r>
    </w:p>
    <w:p w14:paraId="41BC01E7" w14:textId="42F55BF4" w:rsidR="000836AF" w:rsidRDefault="00000000" w:rsidP="000836AF">
      <w:pPr>
        <w:pStyle w:val="ListParagraph"/>
        <w:numPr>
          <w:ilvl w:val="0"/>
          <w:numId w:val="2"/>
        </w:numPr>
        <w:spacing w:after="80"/>
      </w:pPr>
      <w:r>
        <w:rPr>
          <w:sz w:val="22"/>
          <w:szCs w:val="22"/>
        </w:rPr>
        <w:t>Dropped VALUE_USD, REGION_CODE, SUBREGION_CODE</w:t>
      </w:r>
    </w:p>
    <w:p w14:paraId="5EE671B9" w14:textId="77777777" w:rsidR="000836AF" w:rsidRDefault="000836AF" w:rsidP="000836AF">
      <w:pPr>
        <w:pStyle w:val="Heading1"/>
        <w:pBdr>
          <w:bottom w:val="single" w:sz="8" w:space="4" w:color="1F4E79"/>
        </w:pBdr>
        <w:spacing w:before="320" w:after="160"/>
        <w:rPr>
          <w:b/>
          <w:bCs/>
          <w:color w:val="77206D" w:themeColor="accent5" w:themeShade="BF"/>
          <w:sz w:val="28"/>
          <w:szCs w:val="28"/>
        </w:rPr>
      </w:pPr>
      <w:r>
        <w:rPr>
          <w:b/>
          <w:bCs/>
          <w:color w:val="77206D" w:themeColor="accent5" w:themeShade="BF"/>
          <w:sz w:val="28"/>
          <w:szCs w:val="28"/>
        </w:rPr>
        <w:t xml:space="preserve">10. </w:t>
      </w:r>
      <w:r w:rsidR="00000000" w:rsidRPr="00447E5D">
        <w:rPr>
          <w:b/>
          <w:bCs/>
          <w:color w:val="77206D" w:themeColor="accent5" w:themeShade="BF"/>
          <w:sz w:val="28"/>
          <w:szCs w:val="28"/>
        </w:rPr>
        <w:t>Statistical Analysis &amp; Visualizations</w:t>
      </w:r>
    </w:p>
    <w:p w14:paraId="0D9EB774" w14:textId="77777777" w:rsidR="000836AF" w:rsidRPr="00447E5D" w:rsidRDefault="000836AF" w:rsidP="000836AF">
      <w:pPr>
        <w:pStyle w:val="Heading2"/>
        <w:spacing w:before="240" w:after="120"/>
        <w:rPr>
          <w:color w:val="D86DCB" w:themeColor="accent5" w:themeTint="99"/>
        </w:rPr>
      </w:pPr>
      <w:r w:rsidRPr="00447E5D">
        <w:rPr>
          <w:b/>
          <w:bCs/>
          <w:color w:val="D86DCB" w:themeColor="accent5" w:themeTint="99"/>
          <w:sz w:val="24"/>
          <w:szCs w:val="24"/>
        </w:rPr>
        <w:t>Central Tendency &amp; Dispersion</w:t>
      </w:r>
    </w:p>
    <w:p w14:paraId="1CF090FE" w14:textId="77777777" w:rsidR="000836AF" w:rsidRDefault="000836AF" w:rsidP="000836AF">
      <w:pPr>
        <w:pStyle w:val="ListParagraph"/>
        <w:numPr>
          <w:ilvl w:val="0"/>
          <w:numId w:val="8"/>
        </w:numPr>
        <w:spacing w:after="80"/>
      </w:pPr>
      <w:r w:rsidRPr="000836AF">
        <w:rPr>
          <w:sz w:val="22"/>
          <w:szCs w:val="22"/>
        </w:rPr>
        <w:t xml:space="preserve">Quantity: Mean 54,876.85 | Median 3.00 | Mode 0.00 → </w:t>
      </w:r>
      <w:r w:rsidRPr="000836AF">
        <w:rPr>
          <w:b/>
          <w:bCs/>
          <w:sz w:val="22"/>
          <w:szCs w:val="22"/>
        </w:rPr>
        <w:t>strongly right-skewed</w:t>
      </w:r>
    </w:p>
    <w:p w14:paraId="53F72E6C" w14:textId="77777777" w:rsidR="000836AF" w:rsidRDefault="000836AF" w:rsidP="000836AF">
      <w:pPr>
        <w:pStyle w:val="ListParagraph"/>
        <w:numPr>
          <w:ilvl w:val="0"/>
          <w:numId w:val="8"/>
        </w:numPr>
        <w:spacing w:after="80"/>
      </w:pPr>
      <w:proofErr w:type="spellStart"/>
      <w:r w:rsidRPr="000836AF">
        <w:rPr>
          <w:sz w:val="22"/>
          <w:szCs w:val="22"/>
        </w:rPr>
        <w:t>Value_RS</w:t>
      </w:r>
      <w:proofErr w:type="spellEnd"/>
      <w:r w:rsidRPr="000836AF">
        <w:rPr>
          <w:sz w:val="22"/>
          <w:szCs w:val="22"/>
        </w:rPr>
        <w:t>: Mean 130.56 | Median 2.82 | Mode 0.00 → strongly right-skewed</w:t>
      </w:r>
    </w:p>
    <w:p w14:paraId="4CBCD062" w14:textId="77777777" w:rsidR="000836AF" w:rsidRDefault="000836AF" w:rsidP="000836AF">
      <w:pPr>
        <w:pStyle w:val="ListParagraph"/>
        <w:numPr>
          <w:ilvl w:val="0"/>
          <w:numId w:val="8"/>
        </w:numPr>
        <w:spacing w:after="80"/>
      </w:pPr>
      <w:r w:rsidRPr="000836AF">
        <w:rPr>
          <w:sz w:val="22"/>
          <w:szCs w:val="22"/>
        </w:rPr>
        <w:t>Quantity Std Dev: 3,926,595.81 | Variance: ~15.4 trillion</w:t>
      </w:r>
    </w:p>
    <w:p w14:paraId="02930FB4" w14:textId="77777777" w:rsidR="000836AF" w:rsidRPr="00447E5D" w:rsidRDefault="000836AF" w:rsidP="000836AF">
      <w:pPr>
        <w:pStyle w:val="ListParagraph"/>
        <w:numPr>
          <w:ilvl w:val="0"/>
          <w:numId w:val="8"/>
        </w:numPr>
        <w:spacing w:after="80"/>
      </w:pPr>
      <w:proofErr w:type="spellStart"/>
      <w:r w:rsidRPr="000836AF">
        <w:rPr>
          <w:sz w:val="22"/>
          <w:szCs w:val="22"/>
        </w:rPr>
        <w:t>Value_RS</w:t>
      </w:r>
      <w:proofErr w:type="spellEnd"/>
      <w:r w:rsidRPr="000836AF">
        <w:rPr>
          <w:sz w:val="22"/>
          <w:szCs w:val="22"/>
        </w:rPr>
        <w:t xml:space="preserve"> Std Dev: 3,051.99 | Variance: ~9.3 million</w:t>
      </w:r>
    </w:p>
    <w:p w14:paraId="09FDBDDA" w14:textId="4CE3EC20" w:rsidR="00447E5D" w:rsidRPr="000836AF" w:rsidRDefault="00447E5D" w:rsidP="000836AF">
      <w:pPr>
        <w:pStyle w:val="Heading1"/>
        <w:pBdr>
          <w:bottom w:val="single" w:sz="8" w:space="4" w:color="1F4E79"/>
        </w:pBdr>
        <w:spacing w:before="320" w:after="160"/>
        <w:rPr>
          <w:b/>
          <w:bCs/>
          <w:color w:val="77206D" w:themeColor="accent5" w:themeShade="BF"/>
          <w:sz w:val="28"/>
          <w:szCs w:val="28"/>
        </w:rPr>
      </w:pPr>
      <w:r>
        <w:rPr>
          <w:noProof/>
        </w:rPr>
        <w:drawing>
          <wp:inline distT="0" distB="0" distL="0" distR="0" wp14:anchorId="25E9451F" wp14:editId="302C7849">
            <wp:extent cx="5920740" cy="2819401"/>
            <wp:effectExtent l="0" t="0" r="3810" b="0"/>
            <wp:docPr id="15402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2637" name="Picture 154022637"/>
                    <pic:cNvPicPr/>
                  </pic:nvPicPr>
                  <pic:blipFill>
                    <a:blip r:embed="rId6">
                      <a:extLst>
                        <a:ext uri="{28A0092B-C50C-407E-A947-70E740481C1C}">
                          <a14:useLocalDpi xmlns:a14="http://schemas.microsoft.com/office/drawing/2010/main" val="0"/>
                        </a:ext>
                      </a:extLst>
                    </a:blip>
                    <a:stretch>
                      <a:fillRect/>
                    </a:stretch>
                  </pic:blipFill>
                  <pic:spPr>
                    <a:xfrm>
                      <a:off x="0" y="0"/>
                      <a:ext cx="5953851" cy="2835168"/>
                    </a:xfrm>
                    <a:prstGeom prst="rect">
                      <a:avLst/>
                    </a:prstGeom>
                  </pic:spPr>
                </pic:pic>
              </a:graphicData>
            </a:graphic>
          </wp:inline>
        </w:drawing>
      </w:r>
      <w:r>
        <w:rPr>
          <w:noProof/>
        </w:rPr>
        <w:drawing>
          <wp:inline distT="0" distB="0" distL="0" distR="0" wp14:anchorId="7BACB152" wp14:editId="7BD93687">
            <wp:extent cx="5577840" cy="2284812"/>
            <wp:effectExtent l="0" t="0" r="3810" b="1270"/>
            <wp:docPr id="1129443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43296" name="Picture 1129443296"/>
                    <pic:cNvPicPr/>
                  </pic:nvPicPr>
                  <pic:blipFill>
                    <a:blip r:embed="rId7">
                      <a:extLst>
                        <a:ext uri="{28A0092B-C50C-407E-A947-70E740481C1C}">
                          <a14:useLocalDpi xmlns:a14="http://schemas.microsoft.com/office/drawing/2010/main" val="0"/>
                        </a:ext>
                      </a:extLst>
                    </a:blip>
                    <a:stretch>
                      <a:fillRect/>
                    </a:stretch>
                  </pic:blipFill>
                  <pic:spPr>
                    <a:xfrm>
                      <a:off x="0" y="0"/>
                      <a:ext cx="5595464" cy="2292031"/>
                    </a:xfrm>
                    <a:prstGeom prst="rect">
                      <a:avLst/>
                    </a:prstGeom>
                  </pic:spPr>
                </pic:pic>
              </a:graphicData>
            </a:graphic>
          </wp:inline>
        </w:drawing>
      </w:r>
    </w:p>
    <w:p w14:paraId="2E7BDE1F" w14:textId="77777777" w:rsidR="00447E5D" w:rsidRDefault="00447E5D" w:rsidP="00447E5D">
      <w:pPr>
        <w:spacing w:after="80"/>
        <w:ind w:left="190"/>
      </w:pPr>
    </w:p>
    <w:p w14:paraId="6A79233A" w14:textId="77777777" w:rsidR="0000447A" w:rsidRPr="00447E5D" w:rsidRDefault="00000000">
      <w:pPr>
        <w:pStyle w:val="Heading2"/>
        <w:spacing w:before="240" w:after="120"/>
        <w:rPr>
          <w:color w:val="77206D" w:themeColor="accent5" w:themeShade="BF"/>
        </w:rPr>
      </w:pPr>
      <w:r w:rsidRPr="00447E5D">
        <w:rPr>
          <w:b/>
          <w:bCs/>
          <w:color w:val="77206D" w:themeColor="accent5" w:themeShade="BF"/>
          <w:sz w:val="24"/>
          <w:szCs w:val="24"/>
        </w:rPr>
        <w:lastRenderedPageBreak/>
        <w:t>Objective 1 — Monthly Seasonality (Aggregated Across All Years)</w:t>
      </w:r>
    </w:p>
    <w:p w14:paraId="4449632D" w14:textId="77777777" w:rsidR="0000447A" w:rsidRDefault="00000000" w:rsidP="000836AF">
      <w:pPr>
        <w:pStyle w:val="ListParagraph"/>
        <w:numPr>
          <w:ilvl w:val="0"/>
          <w:numId w:val="9"/>
        </w:numPr>
        <w:spacing w:after="80"/>
      </w:pPr>
      <w:r w:rsidRPr="000836AF">
        <w:rPr>
          <w:sz w:val="22"/>
          <w:szCs w:val="22"/>
        </w:rPr>
        <w:t>Peak: December (₹66,362,788) and March (₹66,156,038) — tied to fiscal year-end (March) and global holiday demand (December)</w:t>
      </w:r>
    </w:p>
    <w:p w14:paraId="4E6E9FE5" w14:textId="77777777" w:rsidR="0000447A" w:rsidRDefault="00000000" w:rsidP="000836AF">
      <w:pPr>
        <w:pStyle w:val="ListParagraph"/>
        <w:numPr>
          <w:ilvl w:val="0"/>
          <w:numId w:val="9"/>
        </w:numPr>
        <w:spacing w:after="80"/>
      </w:pPr>
      <w:r w:rsidRPr="000836AF">
        <w:rPr>
          <w:sz w:val="22"/>
          <w:szCs w:val="22"/>
        </w:rPr>
        <w:t>Lowest: April (₹55,404,467) — post-fiscal-year reset</w:t>
      </w:r>
    </w:p>
    <w:p w14:paraId="04F8F946" w14:textId="77777777" w:rsidR="0000447A" w:rsidRPr="00447E5D" w:rsidRDefault="00000000" w:rsidP="000836AF">
      <w:pPr>
        <w:pStyle w:val="ListParagraph"/>
        <w:numPr>
          <w:ilvl w:val="0"/>
          <w:numId w:val="9"/>
        </w:numPr>
        <w:spacing w:after="80"/>
      </w:pPr>
      <w:r w:rsidRPr="000836AF">
        <w:rPr>
          <w:sz w:val="22"/>
          <w:szCs w:val="22"/>
        </w:rPr>
        <w:t>Mid-year dip through June–August, rebound in September</w:t>
      </w:r>
    </w:p>
    <w:p w14:paraId="4B34221C" w14:textId="4AF6210C" w:rsidR="00447E5D" w:rsidRDefault="00447E5D" w:rsidP="00447E5D">
      <w:pPr>
        <w:spacing w:after="80"/>
      </w:pPr>
      <w:r>
        <w:rPr>
          <w:noProof/>
        </w:rPr>
        <w:drawing>
          <wp:inline distT="0" distB="0" distL="0" distR="0" wp14:anchorId="3F0F1320" wp14:editId="0A1B7DEC">
            <wp:extent cx="6111770" cy="2514818"/>
            <wp:effectExtent l="0" t="0" r="3810" b="0"/>
            <wp:docPr id="1015347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47407" name="Picture 1015347407"/>
                    <pic:cNvPicPr/>
                  </pic:nvPicPr>
                  <pic:blipFill>
                    <a:blip r:embed="rId8">
                      <a:extLst>
                        <a:ext uri="{28A0092B-C50C-407E-A947-70E740481C1C}">
                          <a14:useLocalDpi xmlns:a14="http://schemas.microsoft.com/office/drawing/2010/main" val="0"/>
                        </a:ext>
                      </a:extLst>
                    </a:blip>
                    <a:stretch>
                      <a:fillRect/>
                    </a:stretch>
                  </pic:blipFill>
                  <pic:spPr>
                    <a:xfrm>
                      <a:off x="0" y="0"/>
                      <a:ext cx="6111770" cy="2514818"/>
                    </a:xfrm>
                    <a:prstGeom prst="rect">
                      <a:avLst/>
                    </a:prstGeom>
                  </pic:spPr>
                </pic:pic>
              </a:graphicData>
            </a:graphic>
          </wp:inline>
        </w:drawing>
      </w:r>
    </w:p>
    <w:p w14:paraId="38A966B4" w14:textId="77777777" w:rsidR="00384D55" w:rsidRDefault="00384D55">
      <w:pPr>
        <w:pStyle w:val="Heading2"/>
        <w:spacing w:before="240" w:after="120"/>
        <w:rPr>
          <w:b/>
          <w:bCs/>
          <w:color w:val="77206D" w:themeColor="accent5" w:themeShade="BF"/>
          <w:sz w:val="24"/>
          <w:szCs w:val="24"/>
        </w:rPr>
      </w:pPr>
    </w:p>
    <w:p w14:paraId="5E7FA72D" w14:textId="09CDD678" w:rsidR="0000447A" w:rsidRPr="00447E5D" w:rsidRDefault="00000000">
      <w:pPr>
        <w:pStyle w:val="Heading2"/>
        <w:spacing w:before="240" w:after="120"/>
        <w:rPr>
          <w:color w:val="77206D" w:themeColor="accent5" w:themeShade="BF"/>
        </w:rPr>
      </w:pPr>
      <w:r w:rsidRPr="00447E5D">
        <w:rPr>
          <w:b/>
          <w:bCs/>
          <w:color w:val="77206D" w:themeColor="accent5" w:themeShade="BF"/>
          <w:sz w:val="24"/>
          <w:szCs w:val="24"/>
        </w:rPr>
        <w:t>Objective 2 — Top Subregions by Export Revenue</w:t>
      </w:r>
    </w:p>
    <w:p w14:paraId="623D64C1" w14:textId="77777777" w:rsidR="0000447A" w:rsidRDefault="00000000" w:rsidP="000836AF">
      <w:pPr>
        <w:pStyle w:val="ListParagraph"/>
        <w:numPr>
          <w:ilvl w:val="0"/>
          <w:numId w:val="10"/>
        </w:numPr>
        <w:spacing w:after="80"/>
      </w:pPr>
      <w:r w:rsidRPr="000836AF">
        <w:rPr>
          <w:sz w:val="22"/>
          <w:szCs w:val="22"/>
        </w:rPr>
        <w:t>Western Asia: ₹247.8M (largest, led by UAE)</w:t>
      </w:r>
    </w:p>
    <w:p w14:paraId="684F202B" w14:textId="77777777" w:rsidR="0000447A" w:rsidRDefault="00000000" w:rsidP="000836AF">
      <w:pPr>
        <w:pStyle w:val="ListParagraph"/>
        <w:numPr>
          <w:ilvl w:val="0"/>
          <w:numId w:val="10"/>
        </w:numPr>
        <w:spacing w:after="80"/>
      </w:pPr>
      <w:r w:rsidRPr="000836AF">
        <w:rPr>
          <w:sz w:val="22"/>
          <w:szCs w:val="22"/>
        </w:rPr>
        <w:t>Eastern Asia: ₹190.9M</w:t>
      </w:r>
    </w:p>
    <w:p w14:paraId="3E920C94" w14:textId="77777777" w:rsidR="0000447A" w:rsidRDefault="00000000" w:rsidP="000836AF">
      <w:pPr>
        <w:pStyle w:val="ListParagraph"/>
        <w:numPr>
          <w:ilvl w:val="0"/>
          <w:numId w:val="10"/>
        </w:numPr>
        <w:spacing w:after="80"/>
      </w:pPr>
      <w:r w:rsidRPr="000836AF">
        <w:rPr>
          <w:sz w:val="22"/>
          <w:szCs w:val="22"/>
        </w:rPr>
        <w:t>South-eastern Asia: ₹159.4M</w:t>
      </w:r>
    </w:p>
    <w:p w14:paraId="03F96662" w14:textId="77777777" w:rsidR="0000447A" w:rsidRDefault="00000000" w:rsidP="000836AF">
      <w:pPr>
        <w:pStyle w:val="ListParagraph"/>
        <w:numPr>
          <w:ilvl w:val="0"/>
          <w:numId w:val="10"/>
        </w:numPr>
        <w:spacing w:after="80"/>
      </w:pPr>
      <w:r w:rsidRPr="000836AF">
        <w:rPr>
          <w:sz w:val="22"/>
          <w:szCs w:val="22"/>
        </w:rPr>
        <w:t>Southern Asia: ₹123.2M</w:t>
      </w:r>
    </w:p>
    <w:p w14:paraId="11D95E33" w14:textId="77777777" w:rsidR="0000447A" w:rsidRPr="00447E5D" w:rsidRDefault="00000000" w:rsidP="000836AF">
      <w:pPr>
        <w:pStyle w:val="ListParagraph"/>
        <w:numPr>
          <w:ilvl w:val="0"/>
          <w:numId w:val="10"/>
        </w:numPr>
        <w:spacing w:after="80"/>
      </w:pPr>
      <w:r w:rsidRPr="000836AF">
        <w:rPr>
          <w:sz w:val="22"/>
          <w:szCs w:val="22"/>
        </w:rPr>
        <w:t>Central Asia: ₹2.3M (far smallest)</w:t>
      </w:r>
    </w:p>
    <w:p w14:paraId="0438A209" w14:textId="77777777" w:rsidR="000836AF" w:rsidRDefault="00447E5D" w:rsidP="000836AF">
      <w:pPr>
        <w:spacing w:after="80"/>
        <w:rPr>
          <w:b/>
          <w:bCs/>
          <w:color w:val="77206D" w:themeColor="accent5" w:themeShade="BF"/>
          <w:sz w:val="24"/>
          <w:szCs w:val="24"/>
        </w:rPr>
      </w:pPr>
      <w:r>
        <w:rPr>
          <w:noProof/>
        </w:rPr>
        <w:drawing>
          <wp:inline distT="0" distB="0" distL="0" distR="0" wp14:anchorId="2DBECFCE" wp14:editId="0DC7F45C">
            <wp:extent cx="6400800" cy="3310255"/>
            <wp:effectExtent l="0" t="0" r="0" b="4445"/>
            <wp:docPr id="1625114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14525" name="Picture 1625114525"/>
                    <pic:cNvPicPr/>
                  </pic:nvPicPr>
                  <pic:blipFill>
                    <a:blip r:embed="rId9">
                      <a:extLst>
                        <a:ext uri="{28A0092B-C50C-407E-A947-70E740481C1C}">
                          <a14:useLocalDpi xmlns:a14="http://schemas.microsoft.com/office/drawing/2010/main" val="0"/>
                        </a:ext>
                      </a:extLst>
                    </a:blip>
                    <a:stretch>
                      <a:fillRect/>
                    </a:stretch>
                  </pic:blipFill>
                  <pic:spPr>
                    <a:xfrm>
                      <a:off x="0" y="0"/>
                      <a:ext cx="6400800" cy="3310255"/>
                    </a:xfrm>
                    <a:prstGeom prst="rect">
                      <a:avLst/>
                    </a:prstGeom>
                  </pic:spPr>
                </pic:pic>
              </a:graphicData>
            </a:graphic>
          </wp:inline>
        </w:drawing>
      </w:r>
    </w:p>
    <w:p w14:paraId="185D89D3" w14:textId="577D1688" w:rsidR="000836AF" w:rsidRDefault="000836AF" w:rsidP="000836AF">
      <w:pPr>
        <w:spacing w:after="80"/>
        <w:rPr>
          <w:b/>
          <w:bCs/>
          <w:color w:val="77206D" w:themeColor="accent5" w:themeShade="BF"/>
          <w:sz w:val="24"/>
          <w:szCs w:val="24"/>
        </w:rPr>
      </w:pPr>
    </w:p>
    <w:p w14:paraId="5AFF7E87" w14:textId="024B2881" w:rsidR="0000447A" w:rsidRPr="000836AF" w:rsidRDefault="00000000" w:rsidP="000836AF">
      <w:pPr>
        <w:spacing w:after="80"/>
      </w:pPr>
      <w:r w:rsidRPr="00447E5D">
        <w:rPr>
          <w:b/>
          <w:bCs/>
          <w:color w:val="77206D" w:themeColor="accent5" w:themeShade="BF"/>
          <w:sz w:val="24"/>
          <w:szCs w:val="24"/>
        </w:rPr>
        <w:t>Objective 3 — Country-wise Trade Share</w:t>
      </w:r>
    </w:p>
    <w:p w14:paraId="16A5DD22" w14:textId="77777777" w:rsidR="0000447A" w:rsidRDefault="00000000" w:rsidP="000836AF">
      <w:pPr>
        <w:pStyle w:val="ListParagraph"/>
        <w:numPr>
          <w:ilvl w:val="0"/>
          <w:numId w:val="11"/>
        </w:numPr>
        <w:spacing w:after="80"/>
      </w:pPr>
      <w:r w:rsidRPr="000836AF">
        <w:rPr>
          <w:sz w:val="22"/>
          <w:szCs w:val="22"/>
        </w:rPr>
        <w:t>Top 10: UAE (26.5%), China (15.0%), Hong Kong (11.9%) lead; together &gt;53% of top-tier revenue</w:t>
      </w:r>
    </w:p>
    <w:p w14:paraId="74211DE4" w14:textId="77777777" w:rsidR="0000447A" w:rsidRPr="00384D55" w:rsidRDefault="00000000" w:rsidP="000836AF">
      <w:pPr>
        <w:pStyle w:val="ListParagraph"/>
        <w:numPr>
          <w:ilvl w:val="0"/>
          <w:numId w:val="11"/>
        </w:numPr>
        <w:spacing w:after="80"/>
      </w:pPr>
      <w:r w:rsidRPr="000836AF">
        <w:rPr>
          <w:sz w:val="22"/>
          <w:szCs w:val="22"/>
        </w:rPr>
        <w:t>Bottom 10: Armenia, North Korea, Kyrgyzstan, Lao PDR dominate the lower tier; Palestine (0.5%) and Turkmenistan (0.2%) are smallest</w:t>
      </w:r>
    </w:p>
    <w:p w14:paraId="56999039" w14:textId="77777777" w:rsidR="00384D55" w:rsidRPr="00447E5D" w:rsidRDefault="00384D55" w:rsidP="000836AF">
      <w:pPr>
        <w:spacing w:after="80"/>
        <w:ind w:left="190"/>
      </w:pPr>
    </w:p>
    <w:p w14:paraId="120BE563" w14:textId="45562A52" w:rsidR="00447E5D" w:rsidRDefault="00447E5D" w:rsidP="00447E5D">
      <w:pPr>
        <w:spacing w:after="80"/>
      </w:pPr>
      <w:r>
        <w:rPr>
          <w:noProof/>
        </w:rPr>
        <w:drawing>
          <wp:inline distT="0" distB="0" distL="0" distR="0" wp14:anchorId="15A2616F" wp14:editId="5F5EA8F7">
            <wp:extent cx="6400800" cy="2457450"/>
            <wp:effectExtent l="0" t="0" r="0" b="0"/>
            <wp:docPr id="1779194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94884" name="Picture 17791948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457450"/>
                    </a:xfrm>
                    <a:prstGeom prst="rect">
                      <a:avLst/>
                    </a:prstGeom>
                  </pic:spPr>
                </pic:pic>
              </a:graphicData>
            </a:graphic>
          </wp:inline>
        </w:drawing>
      </w:r>
    </w:p>
    <w:p w14:paraId="77838FD1" w14:textId="77777777" w:rsidR="00384D55" w:rsidRDefault="00384D55">
      <w:pPr>
        <w:pStyle w:val="Heading2"/>
        <w:spacing w:before="240" w:after="120"/>
        <w:rPr>
          <w:b/>
          <w:bCs/>
          <w:color w:val="77206D" w:themeColor="accent5" w:themeShade="BF"/>
          <w:sz w:val="24"/>
          <w:szCs w:val="24"/>
        </w:rPr>
      </w:pPr>
    </w:p>
    <w:p w14:paraId="3584AB0A" w14:textId="7728E91A" w:rsidR="0000447A" w:rsidRDefault="00384D55">
      <w:pPr>
        <w:pStyle w:val="Heading2"/>
        <w:spacing w:before="240" w:after="120"/>
      </w:pPr>
      <w:r>
        <w:rPr>
          <w:b/>
          <w:bCs/>
          <w:color w:val="77206D" w:themeColor="accent5" w:themeShade="BF"/>
          <w:sz w:val="24"/>
          <w:szCs w:val="24"/>
        </w:rPr>
        <w:t>O</w:t>
      </w:r>
      <w:r w:rsidR="00000000" w:rsidRPr="00447E5D">
        <w:rPr>
          <w:b/>
          <w:bCs/>
          <w:color w:val="77206D" w:themeColor="accent5" w:themeShade="BF"/>
          <w:sz w:val="24"/>
          <w:szCs w:val="24"/>
        </w:rPr>
        <w:t>bjective 4 — Year-by-Year Seasonality Heatmap</w:t>
      </w:r>
    </w:p>
    <w:p w14:paraId="3DA2782C" w14:textId="77777777" w:rsidR="0000447A" w:rsidRDefault="00000000" w:rsidP="000836AF">
      <w:pPr>
        <w:pStyle w:val="ListParagraph"/>
        <w:numPr>
          <w:ilvl w:val="0"/>
          <w:numId w:val="12"/>
        </w:numPr>
        <w:spacing w:after="80"/>
      </w:pPr>
      <w:r w:rsidRPr="000836AF">
        <w:rPr>
          <w:sz w:val="22"/>
          <w:szCs w:val="22"/>
        </w:rPr>
        <w:t>Confirms recurring "March surge" (notably 2017, 2019, 2021)</w:t>
      </w:r>
    </w:p>
    <w:p w14:paraId="1CE90C26" w14:textId="77777777" w:rsidR="0000447A" w:rsidRDefault="00000000" w:rsidP="000836AF">
      <w:pPr>
        <w:pStyle w:val="ListParagraph"/>
        <w:numPr>
          <w:ilvl w:val="0"/>
          <w:numId w:val="12"/>
        </w:numPr>
        <w:spacing w:after="80"/>
      </w:pPr>
      <w:r w:rsidRPr="000836AF">
        <w:rPr>
          <w:sz w:val="22"/>
          <w:szCs w:val="22"/>
        </w:rPr>
        <w:t>2021 identified as the peak year overall, with December 2021 the single highest month in the decade</w:t>
      </w:r>
    </w:p>
    <w:p w14:paraId="3383D151" w14:textId="77777777" w:rsidR="0000447A" w:rsidRDefault="00000000" w:rsidP="000836AF">
      <w:pPr>
        <w:pStyle w:val="ListParagraph"/>
        <w:numPr>
          <w:ilvl w:val="0"/>
          <w:numId w:val="12"/>
        </w:numPr>
        <w:spacing w:after="80"/>
      </w:pPr>
      <w:r w:rsidRPr="000836AF">
        <w:rPr>
          <w:sz w:val="22"/>
          <w:szCs w:val="22"/>
        </w:rPr>
        <w:t>April 2020 stands out as a sharp anomaly (COVID-19 trade shutdown)</w:t>
      </w:r>
    </w:p>
    <w:p w14:paraId="62771EB4" w14:textId="77AC2E34" w:rsidR="00384D55" w:rsidRPr="00384D55" w:rsidRDefault="00000000" w:rsidP="000836AF">
      <w:pPr>
        <w:pStyle w:val="ListParagraph"/>
        <w:numPr>
          <w:ilvl w:val="0"/>
          <w:numId w:val="12"/>
        </w:numPr>
        <w:spacing w:after="80"/>
      </w:pPr>
      <w:r w:rsidRPr="000836AF">
        <w:rPr>
          <w:sz w:val="22"/>
          <w:szCs w:val="22"/>
        </w:rPr>
        <w:t>Data thins / drops off from 2024 onward</w:t>
      </w:r>
    </w:p>
    <w:p w14:paraId="6AA78CEA" w14:textId="77777777" w:rsidR="00384D55" w:rsidRPr="00447E5D" w:rsidRDefault="00384D55" w:rsidP="00384D55">
      <w:pPr>
        <w:spacing w:after="80"/>
      </w:pPr>
    </w:p>
    <w:p w14:paraId="0E242AAF" w14:textId="580868EF" w:rsidR="00447E5D" w:rsidRDefault="00447E5D" w:rsidP="00447E5D">
      <w:pPr>
        <w:spacing w:after="80"/>
      </w:pPr>
      <w:r>
        <w:rPr>
          <w:noProof/>
        </w:rPr>
        <w:drawing>
          <wp:inline distT="0" distB="0" distL="0" distR="0" wp14:anchorId="55AE6BC5" wp14:editId="6AA8CF64">
            <wp:extent cx="6400800" cy="3208655"/>
            <wp:effectExtent l="0" t="0" r="0" b="0"/>
            <wp:docPr id="465195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95620" name="Picture 465195620"/>
                    <pic:cNvPicPr/>
                  </pic:nvPicPr>
                  <pic:blipFill>
                    <a:blip r:embed="rId11">
                      <a:extLst>
                        <a:ext uri="{28A0092B-C50C-407E-A947-70E740481C1C}">
                          <a14:useLocalDpi xmlns:a14="http://schemas.microsoft.com/office/drawing/2010/main" val="0"/>
                        </a:ext>
                      </a:extLst>
                    </a:blip>
                    <a:stretch>
                      <a:fillRect/>
                    </a:stretch>
                  </pic:blipFill>
                  <pic:spPr>
                    <a:xfrm>
                      <a:off x="0" y="0"/>
                      <a:ext cx="6400800" cy="3208655"/>
                    </a:xfrm>
                    <a:prstGeom prst="rect">
                      <a:avLst/>
                    </a:prstGeom>
                  </pic:spPr>
                </pic:pic>
              </a:graphicData>
            </a:graphic>
          </wp:inline>
        </w:drawing>
      </w:r>
    </w:p>
    <w:p w14:paraId="598DFB01" w14:textId="77777777" w:rsidR="0000447A" w:rsidRPr="00447E5D" w:rsidRDefault="00000000">
      <w:pPr>
        <w:pStyle w:val="Heading2"/>
        <w:spacing w:before="240" w:after="120"/>
        <w:rPr>
          <w:color w:val="77206D" w:themeColor="accent5" w:themeShade="BF"/>
        </w:rPr>
      </w:pPr>
      <w:r w:rsidRPr="00447E5D">
        <w:rPr>
          <w:b/>
          <w:bCs/>
          <w:color w:val="77206D" w:themeColor="accent5" w:themeShade="BF"/>
          <w:sz w:val="24"/>
          <w:szCs w:val="24"/>
        </w:rPr>
        <w:lastRenderedPageBreak/>
        <w:t>Objective 5 — Unit Price Realization by Sector</w:t>
      </w:r>
    </w:p>
    <w:p w14:paraId="36E34D66" w14:textId="77777777" w:rsidR="0000447A" w:rsidRDefault="00000000" w:rsidP="000836AF">
      <w:pPr>
        <w:pStyle w:val="ListParagraph"/>
        <w:numPr>
          <w:ilvl w:val="0"/>
          <w:numId w:val="13"/>
        </w:numPr>
        <w:spacing w:after="80"/>
      </w:pPr>
      <w:r w:rsidRPr="000836AF">
        <w:rPr>
          <w:sz w:val="22"/>
          <w:szCs w:val="22"/>
        </w:rPr>
        <w:t>Pharmaceuticals show widest price spread (up to ~₹122/unit) due to mix of generics and specialized drugs</w:t>
      </w:r>
    </w:p>
    <w:p w14:paraId="491D1B72" w14:textId="77777777" w:rsidR="0000447A" w:rsidRDefault="00000000" w:rsidP="000836AF">
      <w:pPr>
        <w:pStyle w:val="ListParagraph"/>
        <w:numPr>
          <w:ilvl w:val="0"/>
          <w:numId w:val="13"/>
        </w:numPr>
        <w:spacing w:after="80"/>
      </w:pPr>
      <w:r w:rsidRPr="000836AF">
        <w:rPr>
          <w:sz w:val="22"/>
          <w:szCs w:val="22"/>
        </w:rPr>
        <w:t>Wood &amp; Wooden Products and Medical &amp; Healthcare Equipment also show high upper-range values</w:t>
      </w:r>
    </w:p>
    <w:p w14:paraId="7CB2B2A3" w14:textId="77777777" w:rsidR="0000447A" w:rsidRDefault="00000000" w:rsidP="000836AF">
      <w:pPr>
        <w:pStyle w:val="ListParagraph"/>
        <w:numPr>
          <w:ilvl w:val="0"/>
          <w:numId w:val="13"/>
        </w:numPr>
        <w:spacing w:after="80"/>
      </w:pPr>
      <w:r w:rsidRPr="000836AF">
        <w:rPr>
          <w:sz w:val="22"/>
          <w:szCs w:val="22"/>
        </w:rPr>
        <w:t>Plastics, Packaging, Stationery, Agriculture &amp; Plantation cluster near ₹0–10/unit (bulk, low-margin goods)</w:t>
      </w:r>
    </w:p>
    <w:p w14:paraId="6E7C0954" w14:textId="77777777" w:rsidR="0000447A" w:rsidRPr="00384D55" w:rsidRDefault="00000000" w:rsidP="000836AF">
      <w:pPr>
        <w:pStyle w:val="ListParagraph"/>
        <w:numPr>
          <w:ilvl w:val="0"/>
          <w:numId w:val="13"/>
        </w:numPr>
        <w:spacing w:after="80"/>
      </w:pPr>
      <w:r w:rsidRPr="000836AF">
        <w:rPr>
          <w:sz w:val="22"/>
          <w:szCs w:val="22"/>
        </w:rPr>
        <w:t>Jewellery &amp; Accessories and Cosmetics &amp; Personal Care show moderate, stable pricing</w:t>
      </w:r>
    </w:p>
    <w:p w14:paraId="3E80AF56" w14:textId="77777777" w:rsidR="00384D55" w:rsidRPr="00447E5D" w:rsidRDefault="00384D55" w:rsidP="00384D55">
      <w:pPr>
        <w:spacing w:after="80"/>
      </w:pPr>
    </w:p>
    <w:p w14:paraId="78C1AEBE" w14:textId="2EED2ADB" w:rsidR="00447E5D" w:rsidRDefault="00447E5D" w:rsidP="00447E5D">
      <w:pPr>
        <w:spacing w:after="80"/>
      </w:pPr>
      <w:r>
        <w:rPr>
          <w:noProof/>
        </w:rPr>
        <w:drawing>
          <wp:inline distT="0" distB="0" distL="0" distR="0" wp14:anchorId="5B91D87E" wp14:editId="3CAE6D14">
            <wp:extent cx="6400800" cy="2498090"/>
            <wp:effectExtent l="0" t="0" r="0" b="0"/>
            <wp:docPr id="813021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21370" name="Picture 813021370"/>
                    <pic:cNvPicPr/>
                  </pic:nvPicPr>
                  <pic:blipFill>
                    <a:blip r:embed="rId12">
                      <a:extLst>
                        <a:ext uri="{28A0092B-C50C-407E-A947-70E740481C1C}">
                          <a14:useLocalDpi xmlns:a14="http://schemas.microsoft.com/office/drawing/2010/main" val="0"/>
                        </a:ext>
                      </a:extLst>
                    </a:blip>
                    <a:stretch>
                      <a:fillRect/>
                    </a:stretch>
                  </pic:blipFill>
                  <pic:spPr>
                    <a:xfrm>
                      <a:off x="0" y="0"/>
                      <a:ext cx="6400800" cy="2498090"/>
                    </a:xfrm>
                    <a:prstGeom prst="rect">
                      <a:avLst/>
                    </a:prstGeom>
                  </pic:spPr>
                </pic:pic>
              </a:graphicData>
            </a:graphic>
          </wp:inline>
        </w:drawing>
      </w:r>
    </w:p>
    <w:p w14:paraId="277ECDEF" w14:textId="69D3498F" w:rsidR="0000447A" w:rsidRDefault="00000000">
      <w:pPr>
        <w:pStyle w:val="Heading2"/>
        <w:spacing w:before="240" w:after="120"/>
      </w:pPr>
      <w:r w:rsidRPr="00447E5D">
        <w:rPr>
          <w:b/>
          <w:bCs/>
          <w:color w:val="77206D" w:themeColor="accent5" w:themeShade="BF"/>
          <w:sz w:val="24"/>
          <w:szCs w:val="24"/>
        </w:rPr>
        <w:t>Objective 6 — Commodity Specialization by Subregion</w:t>
      </w:r>
    </w:p>
    <w:p w14:paraId="0ACAD47B" w14:textId="22FA73C0" w:rsidR="00384D55" w:rsidRPr="000836AF" w:rsidRDefault="00384D55" w:rsidP="000836AF">
      <w:pPr>
        <w:pStyle w:val="ListParagraph"/>
        <w:numPr>
          <w:ilvl w:val="0"/>
          <w:numId w:val="15"/>
        </w:numPr>
        <w:spacing w:after="80"/>
        <w:rPr>
          <w:sz w:val="22"/>
          <w:szCs w:val="22"/>
        </w:rPr>
      </w:pPr>
      <w:r w:rsidRPr="000836AF">
        <w:rPr>
          <w:sz w:val="22"/>
          <w:szCs w:val="22"/>
        </w:rPr>
        <w:t>Cosmetics &amp; Personal Care dominates exports, contributing the majority of revenue across Eastern, South-eastern, Southern, and Western Asia.</w:t>
      </w:r>
    </w:p>
    <w:p w14:paraId="224631C6" w14:textId="0B3443B3" w:rsidR="00384D55" w:rsidRPr="000836AF" w:rsidRDefault="00384D55" w:rsidP="000836AF">
      <w:pPr>
        <w:pStyle w:val="ListParagraph"/>
        <w:numPr>
          <w:ilvl w:val="0"/>
          <w:numId w:val="15"/>
        </w:numPr>
        <w:spacing w:after="80"/>
        <w:rPr>
          <w:sz w:val="22"/>
          <w:szCs w:val="22"/>
        </w:rPr>
      </w:pPr>
      <w:r w:rsidRPr="000836AF">
        <w:rPr>
          <w:sz w:val="22"/>
          <w:szCs w:val="22"/>
        </w:rPr>
        <w:t>Western Asia is the largest overall market, with the biggest share in Cosmetics &amp; Personal Care, making it the strongest subregion-commodity pairing.</w:t>
      </w:r>
    </w:p>
    <w:p w14:paraId="79F05085" w14:textId="39A63EBF" w:rsidR="00384D55" w:rsidRPr="000836AF" w:rsidRDefault="00384D55" w:rsidP="000836AF">
      <w:pPr>
        <w:pStyle w:val="ListParagraph"/>
        <w:numPr>
          <w:ilvl w:val="0"/>
          <w:numId w:val="15"/>
        </w:numPr>
        <w:spacing w:after="80"/>
        <w:rPr>
          <w:sz w:val="22"/>
          <w:szCs w:val="22"/>
        </w:rPr>
      </w:pPr>
      <w:r w:rsidRPr="000836AF">
        <w:rPr>
          <w:sz w:val="22"/>
          <w:szCs w:val="22"/>
        </w:rPr>
        <w:t>India exports all 10 commodity categories to all 5 subregions, showing broad market presence despite revenue concentration in consumer care products.</w:t>
      </w:r>
    </w:p>
    <w:p w14:paraId="134DE51F" w14:textId="3758B196" w:rsidR="00384D55" w:rsidRPr="000836AF" w:rsidRDefault="00384D55" w:rsidP="000836AF">
      <w:pPr>
        <w:pStyle w:val="ListParagraph"/>
        <w:numPr>
          <w:ilvl w:val="0"/>
          <w:numId w:val="15"/>
        </w:numPr>
        <w:spacing w:after="80"/>
        <w:rPr>
          <w:sz w:val="22"/>
          <w:szCs w:val="22"/>
        </w:rPr>
      </w:pPr>
      <w:r w:rsidRPr="000836AF">
        <w:rPr>
          <w:sz w:val="22"/>
          <w:szCs w:val="22"/>
        </w:rPr>
        <w:t>Central Asia remains a minor market, with consistently small export volumes across all categories compared to other regions.</w:t>
      </w:r>
    </w:p>
    <w:p w14:paraId="0E3A064D" w14:textId="16AC3E1B" w:rsidR="00384D55" w:rsidRPr="00384D55" w:rsidRDefault="00384D55" w:rsidP="009E07E1">
      <w:pPr>
        <w:pStyle w:val="ListParagraph"/>
        <w:spacing w:after="80"/>
        <w:ind w:left="720"/>
        <w:rPr>
          <w:sz w:val="22"/>
          <w:szCs w:val="22"/>
        </w:rPr>
      </w:pPr>
      <w:r>
        <w:rPr>
          <w:noProof/>
        </w:rPr>
        <w:lastRenderedPageBreak/>
        <w:drawing>
          <wp:inline distT="0" distB="0" distL="0" distR="0" wp14:anchorId="68D75278" wp14:editId="441E1B12">
            <wp:extent cx="6400800" cy="3101975"/>
            <wp:effectExtent l="0" t="0" r="0" b="3175"/>
            <wp:docPr id="985449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49218" name="Picture 985449218"/>
                    <pic:cNvPicPr/>
                  </pic:nvPicPr>
                  <pic:blipFill>
                    <a:blip r:embed="rId13">
                      <a:extLst>
                        <a:ext uri="{28A0092B-C50C-407E-A947-70E740481C1C}">
                          <a14:useLocalDpi xmlns:a14="http://schemas.microsoft.com/office/drawing/2010/main" val="0"/>
                        </a:ext>
                      </a:extLst>
                    </a:blip>
                    <a:stretch>
                      <a:fillRect/>
                    </a:stretch>
                  </pic:blipFill>
                  <pic:spPr>
                    <a:xfrm>
                      <a:off x="0" y="0"/>
                      <a:ext cx="6400800" cy="3101975"/>
                    </a:xfrm>
                    <a:prstGeom prst="rect">
                      <a:avLst/>
                    </a:prstGeom>
                  </pic:spPr>
                </pic:pic>
              </a:graphicData>
            </a:graphic>
          </wp:inline>
        </w:drawing>
      </w:r>
    </w:p>
    <w:p w14:paraId="59ED14EA" w14:textId="77777777" w:rsidR="000836AF" w:rsidRDefault="000836AF" w:rsidP="000836AF">
      <w:pPr>
        <w:spacing w:after="80"/>
        <w:rPr>
          <w:b/>
          <w:bCs/>
          <w:color w:val="77206D" w:themeColor="accent5" w:themeShade="BF"/>
          <w:sz w:val="28"/>
          <w:szCs w:val="28"/>
        </w:rPr>
      </w:pPr>
    </w:p>
    <w:p w14:paraId="70E73B49" w14:textId="77777777" w:rsidR="00837BB4" w:rsidRPr="00837BB4" w:rsidRDefault="00837BB4" w:rsidP="00837BB4">
      <w:pPr>
        <w:pBdr>
          <w:bottom w:val="single" w:sz="4" w:space="1" w:color="auto"/>
        </w:pBdr>
        <w:spacing w:after="80"/>
        <w:rPr>
          <w:b/>
          <w:bCs/>
          <w:color w:val="77206D" w:themeColor="accent5" w:themeShade="BF"/>
          <w:sz w:val="28"/>
          <w:szCs w:val="28"/>
        </w:rPr>
      </w:pPr>
      <w:r w:rsidRPr="00837BB4">
        <w:rPr>
          <w:b/>
          <w:bCs/>
          <w:color w:val="77206D" w:themeColor="accent5" w:themeShade="BF"/>
          <w:sz w:val="28"/>
          <w:szCs w:val="28"/>
        </w:rPr>
        <w:t>9. Four-Layer Analytics Interpretation</w:t>
      </w:r>
    </w:p>
    <w:p w14:paraId="71DA5C46" w14:textId="77777777" w:rsidR="00837BB4" w:rsidRPr="00837BB4" w:rsidRDefault="00837BB4" w:rsidP="00837BB4">
      <w:pPr>
        <w:numPr>
          <w:ilvl w:val="0"/>
          <w:numId w:val="21"/>
        </w:numPr>
        <w:spacing w:after="80"/>
        <w:rPr>
          <w:sz w:val="22"/>
          <w:szCs w:val="22"/>
        </w:rPr>
      </w:pPr>
      <w:r w:rsidRPr="00837BB4">
        <w:rPr>
          <w:b/>
          <w:bCs/>
          <w:sz w:val="22"/>
          <w:szCs w:val="22"/>
        </w:rPr>
        <w:t xml:space="preserve">Descriptive </w:t>
      </w:r>
      <w:r w:rsidRPr="00837BB4">
        <w:rPr>
          <w:sz w:val="22"/>
          <w:szCs w:val="22"/>
        </w:rPr>
        <w:t>— What Happened: The analysis confirms that Western Asia dominates India’s export landscape, accounting for the largest share of trade revenue. Within commodities, Cosmetics &amp; Personal Care clearly leads, dwarfing other categories in both transaction count and value. This establishes the baseline picture: India’s exports are concentrated in one sector and one region.</w:t>
      </w:r>
    </w:p>
    <w:p w14:paraId="6112D3E7" w14:textId="77777777" w:rsidR="00837BB4" w:rsidRPr="00837BB4" w:rsidRDefault="00837BB4" w:rsidP="00837BB4">
      <w:pPr>
        <w:numPr>
          <w:ilvl w:val="0"/>
          <w:numId w:val="21"/>
        </w:numPr>
        <w:spacing w:after="80"/>
        <w:rPr>
          <w:sz w:val="22"/>
          <w:szCs w:val="22"/>
        </w:rPr>
      </w:pPr>
      <w:r w:rsidRPr="00837BB4">
        <w:rPr>
          <w:b/>
          <w:bCs/>
          <w:sz w:val="22"/>
          <w:szCs w:val="22"/>
        </w:rPr>
        <w:t xml:space="preserve">Diagnostic </w:t>
      </w:r>
      <w:r w:rsidRPr="00837BB4">
        <w:rPr>
          <w:sz w:val="22"/>
          <w:szCs w:val="22"/>
        </w:rPr>
        <w:t>— Why It Happened: The recurring peaks in March and December are explained by fiscal cycles (March year-end targets) and global consumer demand (December holiday season). Meanwhile, Central Asia consistently underperforms due to limited market size and weaker trade corridors. These diagnostic insights highlight structural drivers behind the observed patterns.</w:t>
      </w:r>
    </w:p>
    <w:p w14:paraId="2A58231B" w14:textId="77777777" w:rsidR="00837BB4" w:rsidRPr="00837BB4" w:rsidRDefault="00837BB4" w:rsidP="00837BB4">
      <w:pPr>
        <w:numPr>
          <w:ilvl w:val="0"/>
          <w:numId w:val="21"/>
        </w:numPr>
        <w:spacing w:after="80"/>
        <w:rPr>
          <w:sz w:val="22"/>
          <w:szCs w:val="22"/>
        </w:rPr>
      </w:pPr>
      <w:r w:rsidRPr="00837BB4">
        <w:rPr>
          <w:b/>
          <w:bCs/>
          <w:sz w:val="22"/>
          <w:szCs w:val="22"/>
        </w:rPr>
        <w:t xml:space="preserve">Predictive </w:t>
      </w:r>
      <w:r w:rsidRPr="00837BB4">
        <w:rPr>
          <w:sz w:val="22"/>
          <w:szCs w:val="22"/>
        </w:rPr>
        <w:t>— What Will Happen: Given the skewed distributions and high variance, the dataset suggests that mega-deals will continue to dominate overall revenue. A handful of large transactions will disproportionately influence averages, meaning future trade performance will remain vulnerable to fluctuations in these big-ticket deals.</w:t>
      </w:r>
    </w:p>
    <w:p w14:paraId="124782A7" w14:textId="77777777" w:rsidR="00837BB4" w:rsidRDefault="00837BB4" w:rsidP="00837BB4">
      <w:pPr>
        <w:numPr>
          <w:ilvl w:val="0"/>
          <w:numId w:val="21"/>
        </w:numPr>
        <w:spacing w:after="80"/>
        <w:rPr>
          <w:sz w:val="22"/>
          <w:szCs w:val="22"/>
        </w:rPr>
      </w:pPr>
      <w:r w:rsidRPr="00837BB4">
        <w:rPr>
          <w:b/>
          <w:bCs/>
          <w:sz w:val="22"/>
          <w:szCs w:val="22"/>
        </w:rPr>
        <w:t xml:space="preserve">Prescriptive </w:t>
      </w:r>
      <w:r w:rsidRPr="00837BB4">
        <w:rPr>
          <w:sz w:val="22"/>
          <w:szCs w:val="22"/>
        </w:rPr>
        <w:t>— What Should Be Done: To mitigate risks, India should diversify into underpenetrated subregions such as Northern and Eastern Asia. Policymakers and exporters must protect single-category corridors (e.g., cosmetics, pharmaceuticals) from supply chain shocks. Additionally, logistics segmentation should be strengthened to handle high-value, low-volume shipments differently from bulk, low-margin goods.</w:t>
      </w:r>
    </w:p>
    <w:p w14:paraId="48D29361" w14:textId="77777777" w:rsidR="00837BB4" w:rsidRPr="00837BB4" w:rsidRDefault="00837BB4" w:rsidP="00837BB4">
      <w:pPr>
        <w:pBdr>
          <w:bottom w:val="single" w:sz="4" w:space="1" w:color="auto"/>
        </w:pBdr>
        <w:spacing w:after="80"/>
        <w:rPr>
          <w:sz w:val="22"/>
          <w:szCs w:val="22"/>
        </w:rPr>
      </w:pPr>
    </w:p>
    <w:p w14:paraId="5C6BEADA" w14:textId="77777777" w:rsidR="00837BB4" w:rsidRPr="00837BB4" w:rsidRDefault="00837BB4" w:rsidP="00837BB4">
      <w:pPr>
        <w:pBdr>
          <w:bottom w:val="single" w:sz="4" w:space="1" w:color="auto"/>
        </w:pBdr>
        <w:spacing w:after="80"/>
        <w:rPr>
          <w:b/>
          <w:bCs/>
          <w:color w:val="77206D" w:themeColor="accent5" w:themeShade="BF"/>
          <w:sz w:val="28"/>
          <w:szCs w:val="28"/>
        </w:rPr>
      </w:pPr>
      <w:r w:rsidRPr="00837BB4">
        <w:rPr>
          <w:b/>
          <w:bCs/>
          <w:color w:val="77206D" w:themeColor="accent5" w:themeShade="BF"/>
          <w:sz w:val="28"/>
          <w:szCs w:val="28"/>
        </w:rPr>
        <w:t>10. Key Findings — Consolidated</w:t>
      </w:r>
    </w:p>
    <w:p w14:paraId="331D9127" w14:textId="77777777" w:rsidR="00837BB4" w:rsidRPr="00837BB4" w:rsidRDefault="00837BB4" w:rsidP="00837BB4">
      <w:pPr>
        <w:numPr>
          <w:ilvl w:val="0"/>
          <w:numId w:val="22"/>
        </w:numPr>
        <w:spacing w:after="80"/>
        <w:rPr>
          <w:sz w:val="22"/>
          <w:szCs w:val="22"/>
        </w:rPr>
      </w:pPr>
      <w:r w:rsidRPr="00837BB4">
        <w:rPr>
          <w:sz w:val="22"/>
          <w:szCs w:val="22"/>
        </w:rPr>
        <w:t>Cosmetics &amp; Personal Care is the largest category, contributing the majority of export revenue across Asia.</w:t>
      </w:r>
    </w:p>
    <w:p w14:paraId="1056447C" w14:textId="77777777" w:rsidR="00837BB4" w:rsidRPr="00837BB4" w:rsidRDefault="00837BB4" w:rsidP="00837BB4">
      <w:pPr>
        <w:numPr>
          <w:ilvl w:val="0"/>
          <w:numId w:val="22"/>
        </w:numPr>
        <w:spacing w:after="80"/>
        <w:rPr>
          <w:sz w:val="22"/>
          <w:szCs w:val="22"/>
        </w:rPr>
      </w:pPr>
      <w:r w:rsidRPr="00837BB4">
        <w:rPr>
          <w:sz w:val="22"/>
          <w:szCs w:val="22"/>
        </w:rPr>
        <w:t>Western Asia is the biggest market, while Central Asia remains negligible in trade volume and value.</w:t>
      </w:r>
    </w:p>
    <w:p w14:paraId="588E0F2E" w14:textId="77777777" w:rsidR="00837BB4" w:rsidRPr="00837BB4" w:rsidRDefault="00837BB4" w:rsidP="00837BB4">
      <w:pPr>
        <w:numPr>
          <w:ilvl w:val="0"/>
          <w:numId w:val="22"/>
        </w:numPr>
        <w:spacing w:after="80"/>
        <w:rPr>
          <w:sz w:val="22"/>
          <w:szCs w:val="22"/>
        </w:rPr>
      </w:pPr>
      <w:r w:rsidRPr="00837BB4">
        <w:rPr>
          <w:sz w:val="22"/>
          <w:szCs w:val="22"/>
        </w:rPr>
        <w:t>Seasonal peaks occur in March and December, with consistent dips in April due to fiscal resets.</w:t>
      </w:r>
    </w:p>
    <w:p w14:paraId="5CE93226" w14:textId="77777777" w:rsidR="00837BB4" w:rsidRPr="00837BB4" w:rsidRDefault="00837BB4" w:rsidP="00837BB4">
      <w:pPr>
        <w:numPr>
          <w:ilvl w:val="0"/>
          <w:numId w:val="22"/>
        </w:numPr>
        <w:spacing w:after="80"/>
        <w:rPr>
          <w:sz w:val="22"/>
          <w:szCs w:val="22"/>
        </w:rPr>
      </w:pPr>
      <w:r w:rsidRPr="00837BB4">
        <w:rPr>
          <w:sz w:val="22"/>
          <w:szCs w:val="22"/>
        </w:rPr>
        <w:t>Pharmaceuticals and healthcare equipment show high price spreads, reflecting both generic and specialized product exports.</w:t>
      </w:r>
    </w:p>
    <w:p w14:paraId="7935BEDB" w14:textId="77777777" w:rsidR="00837BB4" w:rsidRPr="00837BB4" w:rsidRDefault="00837BB4" w:rsidP="00837BB4">
      <w:pPr>
        <w:numPr>
          <w:ilvl w:val="0"/>
          <w:numId w:val="22"/>
        </w:numPr>
        <w:spacing w:after="80"/>
        <w:rPr>
          <w:sz w:val="22"/>
          <w:szCs w:val="22"/>
        </w:rPr>
      </w:pPr>
      <w:r w:rsidRPr="00837BB4">
        <w:rPr>
          <w:sz w:val="22"/>
          <w:szCs w:val="22"/>
        </w:rPr>
        <w:t>COVID-19 caused a sharp anomaly in April 2020, with exports collapsing temporarily before recovery.</w:t>
      </w:r>
    </w:p>
    <w:p w14:paraId="1DE7DCB5" w14:textId="77777777" w:rsidR="00837BB4" w:rsidRPr="00837BB4" w:rsidRDefault="00837BB4" w:rsidP="00837BB4">
      <w:pPr>
        <w:pBdr>
          <w:bottom w:val="single" w:sz="4" w:space="1" w:color="auto"/>
        </w:pBdr>
        <w:spacing w:after="80"/>
        <w:rPr>
          <w:b/>
          <w:bCs/>
          <w:color w:val="77206D" w:themeColor="accent5" w:themeShade="BF"/>
          <w:sz w:val="28"/>
          <w:szCs w:val="28"/>
        </w:rPr>
      </w:pPr>
      <w:r w:rsidRPr="00837BB4">
        <w:rPr>
          <w:b/>
          <w:bCs/>
          <w:color w:val="77206D" w:themeColor="accent5" w:themeShade="BF"/>
          <w:sz w:val="28"/>
          <w:szCs w:val="28"/>
        </w:rPr>
        <w:lastRenderedPageBreak/>
        <w:t>11. Business Recommendations</w:t>
      </w:r>
    </w:p>
    <w:p w14:paraId="630ADD0D" w14:textId="77777777" w:rsidR="00837BB4" w:rsidRPr="00837BB4" w:rsidRDefault="00837BB4" w:rsidP="00837BB4">
      <w:pPr>
        <w:numPr>
          <w:ilvl w:val="0"/>
          <w:numId w:val="23"/>
        </w:numPr>
        <w:spacing w:after="80"/>
        <w:rPr>
          <w:sz w:val="22"/>
          <w:szCs w:val="22"/>
        </w:rPr>
      </w:pPr>
      <w:r w:rsidRPr="00837BB4">
        <w:rPr>
          <w:sz w:val="22"/>
          <w:szCs w:val="22"/>
        </w:rPr>
        <w:t>Expand into Northern &amp; Eastern Asia: Reduce reliance on Western Asia by building stronger trade corridors with underpenetrated regions.</w:t>
      </w:r>
    </w:p>
    <w:p w14:paraId="32CF18A3" w14:textId="77777777" w:rsidR="00837BB4" w:rsidRPr="00837BB4" w:rsidRDefault="00837BB4" w:rsidP="00837BB4">
      <w:pPr>
        <w:numPr>
          <w:ilvl w:val="0"/>
          <w:numId w:val="23"/>
        </w:numPr>
        <w:spacing w:after="80"/>
        <w:rPr>
          <w:sz w:val="22"/>
          <w:szCs w:val="22"/>
        </w:rPr>
      </w:pPr>
      <w:r w:rsidRPr="00837BB4">
        <w:rPr>
          <w:sz w:val="22"/>
          <w:szCs w:val="22"/>
        </w:rPr>
        <w:t>Strengthen supply chain protections: Safeguard narrow corridors like cosmetics and pharmaceuticals against disruptions by diversifying suppliers and logistics routes.</w:t>
      </w:r>
    </w:p>
    <w:p w14:paraId="4DF0E1AE" w14:textId="77777777" w:rsidR="00837BB4" w:rsidRPr="00837BB4" w:rsidRDefault="00837BB4" w:rsidP="00837BB4">
      <w:pPr>
        <w:numPr>
          <w:ilvl w:val="0"/>
          <w:numId w:val="23"/>
        </w:numPr>
        <w:spacing w:after="80"/>
        <w:rPr>
          <w:sz w:val="22"/>
          <w:szCs w:val="22"/>
        </w:rPr>
      </w:pPr>
      <w:r w:rsidRPr="00837BB4">
        <w:rPr>
          <w:sz w:val="22"/>
          <w:szCs w:val="22"/>
        </w:rPr>
        <w:t>Segment logistics operations: Route high-value, low-volume shipments through premium channels, while bulk goods continue via cost-efficient freight.</w:t>
      </w:r>
    </w:p>
    <w:p w14:paraId="2D0EC074" w14:textId="77777777" w:rsidR="00837BB4" w:rsidRDefault="00837BB4" w:rsidP="00837BB4">
      <w:pPr>
        <w:numPr>
          <w:ilvl w:val="0"/>
          <w:numId w:val="23"/>
        </w:numPr>
        <w:spacing w:after="80"/>
        <w:rPr>
          <w:sz w:val="22"/>
          <w:szCs w:val="22"/>
        </w:rPr>
      </w:pPr>
      <w:r w:rsidRPr="00837BB4">
        <w:rPr>
          <w:sz w:val="22"/>
          <w:szCs w:val="22"/>
        </w:rPr>
        <w:t>Automate anomaly detection: Implement real-time monitoring systems to flag sudden shocks (like COVID-19) and enable faster response.</w:t>
      </w:r>
    </w:p>
    <w:p w14:paraId="3A937394" w14:textId="77777777" w:rsidR="00837BB4" w:rsidRPr="00837BB4" w:rsidRDefault="00837BB4" w:rsidP="00837BB4">
      <w:pPr>
        <w:spacing w:after="80"/>
        <w:rPr>
          <w:sz w:val="22"/>
          <w:szCs w:val="22"/>
        </w:rPr>
      </w:pPr>
    </w:p>
    <w:p w14:paraId="29F9FFBA" w14:textId="77777777" w:rsidR="00837BB4" w:rsidRPr="00837BB4" w:rsidRDefault="00837BB4" w:rsidP="00837BB4">
      <w:pPr>
        <w:pBdr>
          <w:bottom w:val="single" w:sz="4" w:space="1" w:color="auto"/>
        </w:pBdr>
        <w:spacing w:after="80"/>
        <w:rPr>
          <w:b/>
          <w:bCs/>
          <w:color w:val="77206D" w:themeColor="accent5" w:themeShade="BF"/>
          <w:sz w:val="28"/>
          <w:szCs w:val="28"/>
        </w:rPr>
      </w:pPr>
      <w:r w:rsidRPr="00837BB4">
        <w:rPr>
          <w:b/>
          <w:bCs/>
          <w:color w:val="77206D" w:themeColor="accent5" w:themeShade="BF"/>
          <w:sz w:val="28"/>
          <w:szCs w:val="28"/>
        </w:rPr>
        <w:t>12. Conclusion</w:t>
      </w:r>
    </w:p>
    <w:p w14:paraId="76D45763" w14:textId="77777777" w:rsidR="00837BB4" w:rsidRPr="00837BB4" w:rsidRDefault="00837BB4" w:rsidP="00837BB4">
      <w:pPr>
        <w:spacing w:after="80"/>
        <w:rPr>
          <w:sz w:val="22"/>
          <w:szCs w:val="22"/>
        </w:rPr>
      </w:pPr>
      <w:r w:rsidRPr="00837BB4">
        <w:rPr>
          <w:sz w:val="22"/>
          <w:szCs w:val="22"/>
        </w:rPr>
        <w:t>India’s exports to Asia are structurally concentrated in Cosmetics &amp; Personal Care and Western Asia, creating both opportunities and risks. While the export basket is diversified across categories, revenue is skewed by a few large transactions. This concentration makes trade performance highly sensitive to mega-deals and regional demand cycles. To ensure resilience, India must strategically diversify markets, protect vulnerable corridors, and modernize logistics and monitoring systems. Doing so will strengthen India’s position in Asia and reduce exposure to external shocks</w:t>
      </w:r>
    </w:p>
    <w:p w14:paraId="1B3ABAEF" w14:textId="6D08F413" w:rsidR="00447E5D" w:rsidRDefault="00447E5D" w:rsidP="00837BB4">
      <w:pPr>
        <w:spacing w:after="80"/>
      </w:pPr>
    </w:p>
    <w:sectPr w:rsidR="00447E5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35E"/>
    <w:multiLevelType w:val="hybridMultilevel"/>
    <w:tmpl w:val="41164DA6"/>
    <w:lvl w:ilvl="0" w:tplc="4009000F">
      <w:start w:val="1"/>
      <w:numFmt w:val="decimal"/>
      <w:lvlText w:val="%1."/>
      <w:lvlJc w:val="left"/>
      <w:pPr>
        <w:ind w:left="910" w:hanging="360"/>
      </w:p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1" w15:restartNumberingAfterBreak="0">
    <w:nsid w:val="06B46630"/>
    <w:multiLevelType w:val="hybridMultilevel"/>
    <w:tmpl w:val="CFA8E620"/>
    <w:lvl w:ilvl="0" w:tplc="7794CDFC">
      <w:start w:val="10"/>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251221"/>
    <w:multiLevelType w:val="multilevel"/>
    <w:tmpl w:val="837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C1EC6"/>
    <w:multiLevelType w:val="multilevel"/>
    <w:tmpl w:val="9024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A00FB"/>
    <w:multiLevelType w:val="hybridMultilevel"/>
    <w:tmpl w:val="8B4A1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D32ACA"/>
    <w:multiLevelType w:val="hybridMultilevel"/>
    <w:tmpl w:val="A97A53FA"/>
    <w:lvl w:ilvl="0" w:tplc="4009000F">
      <w:start w:val="1"/>
      <w:numFmt w:val="decimal"/>
      <w:lvlText w:val="%1."/>
      <w:lvlJc w:val="left"/>
      <w:pPr>
        <w:ind w:left="910" w:hanging="360"/>
      </w:p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6" w15:restartNumberingAfterBreak="0">
    <w:nsid w:val="233D18CC"/>
    <w:multiLevelType w:val="multilevel"/>
    <w:tmpl w:val="0D7E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E642E"/>
    <w:multiLevelType w:val="multilevel"/>
    <w:tmpl w:val="AF42E6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9778E"/>
    <w:multiLevelType w:val="hybridMultilevel"/>
    <w:tmpl w:val="856E300A"/>
    <w:lvl w:ilvl="0" w:tplc="4009000F">
      <w:start w:val="1"/>
      <w:numFmt w:val="decimal"/>
      <w:lvlText w:val="%1."/>
      <w:lvlJc w:val="left"/>
      <w:pPr>
        <w:ind w:left="910" w:hanging="360"/>
      </w:p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9" w15:restartNumberingAfterBreak="0">
    <w:nsid w:val="33796F80"/>
    <w:multiLevelType w:val="hybridMultilevel"/>
    <w:tmpl w:val="80687D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48343A"/>
    <w:multiLevelType w:val="multilevel"/>
    <w:tmpl w:val="AF42E6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60507"/>
    <w:multiLevelType w:val="hybridMultilevel"/>
    <w:tmpl w:val="978A36C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3703AF"/>
    <w:multiLevelType w:val="hybridMultilevel"/>
    <w:tmpl w:val="1A7082A0"/>
    <w:lvl w:ilvl="0" w:tplc="CC2C6D6E">
      <w:start w:val="1"/>
      <w:numFmt w:val="bullet"/>
      <w:lvlText w:val="●"/>
      <w:lvlJc w:val="left"/>
      <w:pPr>
        <w:ind w:left="720" w:hanging="360"/>
      </w:pPr>
    </w:lvl>
    <w:lvl w:ilvl="1" w:tplc="A968A858">
      <w:start w:val="1"/>
      <w:numFmt w:val="bullet"/>
      <w:lvlText w:val="○"/>
      <w:lvlJc w:val="left"/>
      <w:pPr>
        <w:ind w:left="1440" w:hanging="360"/>
      </w:pPr>
    </w:lvl>
    <w:lvl w:ilvl="2" w:tplc="B57E2A54">
      <w:start w:val="1"/>
      <w:numFmt w:val="bullet"/>
      <w:lvlText w:val="■"/>
      <w:lvlJc w:val="left"/>
      <w:pPr>
        <w:ind w:left="2160" w:hanging="360"/>
      </w:pPr>
    </w:lvl>
    <w:lvl w:ilvl="3" w:tplc="3D22917A">
      <w:start w:val="1"/>
      <w:numFmt w:val="bullet"/>
      <w:lvlText w:val="●"/>
      <w:lvlJc w:val="left"/>
      <w:pPr>
        <w:ind w:left="2880" w:hanging="360"/>
      </w:pPr>
    </w:lvl>
    <w:lvl w:ilvl="4" w:tplc="7DFCBFDC">
      <w:start w:val="1"/>
      <w:numFmt w:val="bullet"/>
      <w:lvlText w:val="○"/>
      <w:lvlJc w:val="left"/>
      <w:pPr>
        <w:ind w:left="3600" w:hanging="360"/>
      </w:pPr>
    </w:lvl>
    <w:lvl w:ilvl="5" w:tplc="09A8D23E">
      <w:start w:val="1"/>
      <w:numFmt w:val="bullet"/>
      <w:lvlText w:val="■"/>
      <w:lvlJc w:val="left"/>
      <w:pPr>
        <w:ind w:left="4320" w:hanging="360"/>
      </w:pPr>
    </w:lvl>
    <w:lvl w:ilvl="6" w:tplc="4CCCA318">
      <w:start w:val="1"/>
      <w:numFmt w:val="bullet"/>
      <w:lvlText w:val="●"/>
      <w:lvlJc w:val="left"/>
      <w:pPr>
        <w:ind w:left="5040" w:hanging="360"/>
      </w:pPr>
    </w:lvl>
    <w:lvl w:ilvl="7" w:tplc="7BE6C99C">
      <w:start w:val="1"/>
      <w:numFmt w:val="bullet"/>
      <w:lvlText w:val="●"/>
      <w:lvlJc w:val="left"/>
      <w:pPr>
        <w:ind w:left="5760" w:hanging="360"/>
      </w:pPr>
    </w:lvl>
    <w:lvl w:ilvl="8" w:tplc="EFAA08BA">
      <w:start w:val="1"/>
      <w:numFmt w:val="bullet"/>
      <w:lvlText w:val="●"/>
      <w:lvlJc w:val="left"/>
      <w:pPr>
        <w:ind w:left="6480" w:hanging="360"/>
      </w:pPr>
    </w:lvl>
  </w:abstractNum>
  <w:abstractNum w:abstractNumId="13" w15:restartNumberingAfterBreak="0">
    <w:nsid w:val="4E030188"/>
    <w:multiLevelType w:val="multilevel"/>
    <w:tmpl w:val="E73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602B2"/>
    <w:multiLevelType w:val="hybridMultilevel"/>
    <w:tmpl w:val="372CF3A4"/>
    <w:lvl w:ilvl="0" w:tplc="4009000F">
      <w:start w:val="1"/>
      <w:numFmt w:val="decimal"/>
      <w:lvlText w:val="%1."/>
      <w:lvlJc w:val="left"/>
      <w:pPr>
        <w:ind w:left="910" w:hanging="360"/>
      </w:p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15" w15:restartNumberingAfterBreak="0">
    <w:nsid w:val="56776C71"/>
    <w:multiLevelType w:val="hybridMultilevel"/>
    <w:tmpl w:val="F18C365E"/>
    <w:lvl w:ilvl="0" w:tplc="4009000F">
      <w:start w:val="1"/>
      <w:numFmt w:val="decimal"/>
      <w:lvlText w:val="%1."/>
      <w:lvlJc w:val="left"/>
      <w:pPr>
        <w:ind w:left="910" w:hanging="360"/>
      </w:p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16" w15:restartNumberingAfterBreak="0">
    <w:nsid w:val="586F55DD"/>
    <w:multiLevelType w:val="hybridMultilevel"/>
    <w:tmpl w:val="A52ABD7A"/>
    <w:lvl w:ilvl="0" w:tplc="4009000F">
      <w:start w:val="1"/>
      <w:numFmt w:val="decimal"/>
      <w:lvlText w:val="%1."/>
      <w:lvlJc w:val="left"/>
      <w:pPr>
        <w:ind w:left="910" w:hanging="360"/>
      </w:p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17" w15:restartNumberingAfterBreak="0">
    <w:nsid w:val="593D51E4"/>
    <w:multiLevelType w:val="multilevel"/>
    <w:tmpl w:val="D23E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1943C3"/>
    <w:multiLevelType w:val="hybridMultilevel"/>
    <w:tmpl w:val="4FB8AEEA"/>
    <w:lvl w:ilvl="0" w:tplc="4009000F">
      <w:start w:val="1"/>
      <w:numFmt w:val="decimal"/>
      <w:lvlText w:val="%1."/>
      <w:lvlJc w:val="left"/>
      <w:pPr>
        <w:ind w:left="450" w:hanging="260"/>
      </w:pPr>
    </w:lvl>
    <w:lvl w:ilvl="1" w:tplc="70A86D74">
      <w:start w:val="1"/>
      <w:numFmt w:val="bullet"/>
      <w:lvlText w:val="◦"/>
      <w:lvlJc w:val="left"/>
      <w:pPr>
        <w:ind w:left="900" w:hanging="260"/>
      </w:pPr>
    </w:lvl>
    <w:lvl w:ilvl="2" w:tplc="9A043678">
      <w:numFmt w:val="decimal"/>
      <w:lvlText w:val=""/>
      <w:lvlJc w:val="left"/>
    </w:lvl>
    <w:lvl w:ilvl="3" w:tplc="0BE25F12">
      <w:numFmt w:val="decimal"/>
      <w:lvlText w:val=""/>
      <w:lvlJc w:val="left"/>
    </w:lvl>
    <w:lvl w:ilvl="4" w:tplc="A25AEC0A">
      <w:numFmt w:val="decimal"/>
      <w:lvlText w:val=""/>
      <w:lvlJc w:val="left"/>
    </w:lvl>
    <w:lvl w:ilvl="5" w:tplc="BA9ECAFC">
      <w:numFmt w:val="decimal"/>
      <w:lvlText w:val=""/>
      <w:lvlJc w:val="left"/>
    </w:lvl>
    <w:lvl w:ilvl="6" w:tplc="BBE25824">
      <w:numFmt w:val="decimal"/>
      <w:lvlText w:val=""/>
      <w:lvlJc w:val="left"/>
    </w:lvl>
    <w:lvl w:ilvl="7" w:tplc="E12E2B36">
      <w:numFmt w:val="decimal"/>
      <w:lvlText w:val=""/>
      <w:lvlJc w:val="left"/>
    </w:lvl>
    <w:lvl w:ilvl="8" w:tplc="01C89672">
      <w:numFmt w:val="decimal"/>
      <w:lvlText w:val=""/>
      <w:lvlJc w:val="left"/>
    </w:lvl>
  </w:abstractNum>
  <w:abstractNum w:abstractNumId="19" w15:restartNumberingAfterBreak="0">
    <w:nsid w:val="6D5E0BBB"/>
    <w:multiLevelType w:val="hybridMultilevel"/>
    <w:tmpl w:val="77CA2318"/>
    <w:lvl w:ilvl="0" w:tplc="C4740D4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547C90"/>
    <w:multiLevelType w:val="multilevel"/>
    <w:tmpl w:val="AF42E6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048F4"/>
    <w:multiLevelType w:val="hybridMultilevel"/>
    <w:tmpl w:val="04162402"/>
    <w:lvl w:ilvl="0" w:tplc="4009000F">
      <w:start w:val="1"/>
      <w:numFmt w:val="decimal"/>
      <w:lvlText w:val="%1."/>
      <w:lvlJc w:val="left"/>
      <w:pPr>
        <w:ind w:left="45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63192679">
    <w:abstractNumId w:val="12"/>
    <w:lvlOverride w:ilvl="0">
      <w:startOverride w:val="1"/>
    </w:lvlOverride>
  </w:num>
  <w:num w:numId="2" w16cid:durableId="1353874129">
    <w:abstractNumId w:val="18"/>
  </w:num>
  <w:num w:numId="3" w16cid:durableId="1644696783">
    <w:abstractNumId w:val="4"/>
  </w:num>
  <w:num w:numId="4" w16cid:durableId="2054190994">
    <w:abstractNumId w:val="19"/>
  </w:num>
  <w:num w:numId="5" w16cid:durableId="1956134833">
    <w:abstractNumId w:val="13"/>
  </w:num>
  <w:num w:numId="6" w16cid:durableId="915476846">
    <w:abstractNumId w:val="18"/>
  </w:num>
  <w:num w:numId="7" w16cid:durableId="125196700">
    <w:abstractNumId w:val="21"/>
  </w:num>
  <w:num w:numId="8" w16cid:durableId="32969167">
    <w:abstractNumId w:val="16"/>
  </w:num>
  <w:num w:numId="9" w16cid:durableId="839348955">
    <w:abstractNumId w:val="0"/>
  </w:num>
  <w:num w:numId="10" w16cid:durableId="1007517606">
    <w:abstractNumId w:val="14"/>
  </w:num>
  <w:num w:numId="11" w16cid:durableId="748116638">
    <w:abstractNumId w:val="5"/>
  </w:num>
  <w:num w:numId="12" w16cid:durableId="143933401">
    <w:abstractNumId w:val="8"/>
  </w:num>
  <w:num w:numId="13" w16cid:durableId="578439805">
    <w:abstractNumId w:val="15"/>
  </w:num>
  <w:num w:numId="14" w16cid:durableId="148177307">
    <w:abstractNumId w:val="11"/>
  </w:num>
  <w:num w:numId="15" w16cid:durableId="1171406699">
    <w:abstractNumId w:val="9"/>
  </w:num>
  <w:num w:numId="16" w16cid:durableId="548229249">
    <w:abstractNumId w:val="20"/>
  </w:num>
  <w:num w:numId="17" w16cid:durableId="466825286">
    <w:abstractNumId w:val="7"/>
  </w:num>
  <w:num w:numId="18" w16cid:durableId="2065368504">
    <w:abstractNumId w:val="10"/>
  </w:num>
  <w:num w:numId="19" w16cid:durableId="2144927939">
    <w:abstractNumId w:val="2"/>
  </w:num>
  <w:num w:numId="20" w16cid:durableId="1176074242">
    <w:abstractNumId w:val="1"/>
  </w:num>
  <w:num w:numId="21" w16cid:durableId="254098292">
    <w:abstractNumId w:val="17"/>
  </w:num>
  <w:num w:numId="22" w16cid:durableId="982544795">
    <w:abstractNumId w:val="3"/>
  </w:num>
  <w:num w:numId="23" w16cid:durableId="679115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47A"/>
    <w:rsid w:val="0000447A"/>
    <w:rsid w:val="000836AF"/>
    <w:rsid w:val="001A00EC"/>
    <w:rsid w:val="00384D55"/>
    <w:rsid w:val="00447E5D"/>
    <w:rsid w:val="00456B16"/>
    <w:rsid w:val="0063474F"/>
    <w:rsid w:val="00837BB4"/>
    <w:rsid w:val="009344A0"/>
    <w:rsid w:val="00953DA5"/>
    <w:rsid w:val="009E0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671CE"/>
  <w15:docId w15:val="{4F86F0EF-53E2-46C2-A3F9-EAF9287B7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56B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01B88-251D-4FFC-AD9E-D0FB65808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8</Pages>
  <Words>1592</Words>
  <Characters>9080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minu m</cp:lastModifiedBy>
  <cp:revision>2</cp:revision>
  <dcterms:created xsi:type="dcterms:W3CDTF">2026-09-02T11:58:00Z</dcterms:created>
  <dcterms:modified xsi:type="dcterms:W3CDTF">2026-09-02T16:54:00Z</dcterms:modified>
</cp:coreProperties>
</file>