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5AEAF6C1"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 xml:space="preserve">An Agentic LLM-Powered Framework for Cholera Risk Prediction and </w:t>
      </w:r>
      <w:r w:rsidR="009530D8">
        <w:rPr>
          <w:rFonts w:ascii="Times New Roman" w:hAnsi="Times New Roman" w:cs="Times New Roman"/>
          <w:color w:val="auto"/>
          <w:sz w:val="24"/>
          <w:szCs w:val="24"/>
        </w:rPr>
        <w:t>Actionable Insights</w:t>
      </w:r>
      <w:r w:rsidRPr="00C81A4E">
        <w:rPr>
          <w:rFonts w:ascii="Times New Roman" w:hAnsi="Times New Roman" w:cs="Times New Roman"/>
          <w:color w:val="auto"/>
          <w:sz w:val="24"/>
          <w:szCs w:val="24"/>
        </w:rPr>
        <w:t xml:space="preserve"> from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 xml:space="preserve">Interpreting the complex and multifactorial risk factors driving Cholera outbreaks remains a critical challenge for public health, particularly across diverse environmental and socio-economic contexts.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(NGBoost), and TabNet—to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A LangChain-powered agent, implemented with LangGraph, is integrated into the system to interpret model outputs, analyze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Streamlit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lastRenderedPageBreak/>
        <w:t>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7A5347D7" w14:textId="6AF40078" w:rsidR="00773963" w:rsidRPr="00EB0FFD" w:rsidRDefault="00773963" w:rsidP="00EB0FFD">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How can an LLM-powered agentic framework integrate explainable machine learning and statistical reasoning to identify key risk factors for Cholera incidence across multiple regions?</w:t>
      </w:r>
    </w:p>
    <w:p w14:paraId="67F800C2" w14:textId="433346BB" w:rsidR="00773963" w:rsidRPr="00773963" w:rsidRDefault="002B4E62" w:rsidP="009C36FA">
      <w:pPr>
        <w:jc w:val="both"/>
        <w:rPr>
          <w:rFonts w:ascii="Times New Roman" w:eastAsiaTheme="majorEastAsia" w:hAnsi="Times New Roman" w:cs="Times New Roman"/>
        </w:rPr>
      </w:pPr>
      <w:r>
        <w:rPr>
          <w:rFonts w:ascii="Times New Roman" w:eastAsiaTheme="majorEastAsia" w:hAnsi="Times New Roman" w:cs="Times New Roman"/>
        </w:rPr>
        <w:t>T</w:t>
      </w:r>
      <w:r w:rsidR="00A532EE">
        <w:rPr>
          <w:rFonts w:ascii="Times New Roman" w:eastAsiaTheme="majorEastAsia" w:hAnsi="Times New Roman" w:cs="Times New Roman"/>
        </w:rPr>
        <w:t>his</w:t>
      </w:r>
      <w:r w:rsidR="00773963" w:rsidRPr="00773963">
        <w:rPr>
          <w:rFonts w:ascii="Times New Roman" w:eastAsiaTheme="majorEastAsia" w:hAnsi="Times New Roman" w:cs="Times New Roman"/>
        </w:rPr>
        <w:t xml:space="preserve"> </w:t>
      </w:r>
      <w:r w:rsidR="00EB0FFD">
        <w:rPr>
          <w:rFonts w:ascii="Times New Roman" w:eastAsiaTheme="majorEastAsia" w:hAnsi="Times New Roman" w:cs="Times New Roman"/>
        </w:rPr>
        <w:t>question</w:t>
      </w:r>
      <w:r w:rsidR="00773963" w:rsidRPr="00773963">
        <w:rPr>
          <w:rFonts w:ascii="Times New Roman" w:eastAsiaTheme="majorEastAsia" w:hAnsi="Times New Roman" w:cs="Times New Roman"/>
        </w:rPr>
        <w:t xml:space="preserve"> underpin our effort to design a transparent, interactive, and actionable framework that combines predictive </w:t>
      </w:r>
      <w:r w:rsidR="009C36FA" w:rsidRPr="00C81A4E">
        <w:rPr>
          <w:rFonts w:ascii="Times New Roman" w:eastAsiaTheme="majorEastAsia" w:hAnsi="Times New Roman" w:cs="Times New Roman"/>
        </w:rPr>
        <w:t>modelling</w:t>
      </w:r>
      <w:r w:rsidR="00773963"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(NGBoost), and TabNet to analyze Cholera risk factors.</w:t>
      </w:r>
    </w:p>
    <w:p w14:paraId="7825DD8F" w14:textId="423733C1" w:rsidR="00773963" w:rsidRPr="00EB1C43" w:rsidRDefault="00773963" w:rsidP="00EB1C43">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Integration of a LangChain-powered LLM agent that interprets model outputs and statistical analyses, enabling natural language question-answering for decision support.</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modelling,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2.1 Machine Learning for Epidemiological Modelling</w:t>
      </w:r>
    </w:p>
    <w:p w14:paraId="7F7DAA63" w14:textId="0CCC2052" w:rsidR="00882AE9" w:rsidRDefault="00882AE9" w:rsidP="00A15255">
      <w:pPr>
        <w:jc w:val="both"/>
        <w:rPr>
          <w:rFonts w:ascii="Times New Roman" w:hAnsi="Times New Roman" w:cs="Times New Roman"/>
        </w:rPr>
      </w:pPr>
      <w:r w:rsidRPr="00882AE9">
        <w:rPr>
          <w:rFonts w:ascii="Times New Roman" w:hAnsi="Times New Roman" w:cs="Times New Roman"/>
        </w:rPr>
        <w:t>ML methods have been increasingly applied to model and predict disease outbreaks by learning patterns from high-dimensional data. Supervised learning algorithms such as Random Forest, XGBoost, and Support Vector Machines have been used to predict Dengue, Malaria, and COVID-19 incidences with notable accuracy (Adnan et al., 2021; Xu et al., 2020). These models can capture complex non-linear relationships between predictors and outcomes, making them suitable for diseases influenced by a range of environmental and socio-economic factors.</w:t>
      </w:r>
      <w:r w:rsidR="00A85711">
        <w:rPr>
          <w:rFonts w:ascii="Times New Roman" w:hAnsi="Times New Roman" w:cs="Times New Roman"/>
        </w:rPr>
        <w:t xml:space="preserve"> </w:t>
      </w:r>
      <w:r w:rsidRPr="00882AE9">
        <w:rPr>
          <w:rFonts w:ascii="Times New Roman" w:hAnsi="Times New Roman" w:cs="Times New Roman"/>
        </w:rPr>
        <w:t>In Cholera research specifically, statistical models such as logistic regression and time-</w:t>
      </w:r>
      <w:r w:rsidRPr="00882AE9">
        <w:rPr>
          <w:rFonts w:ascii="Times New Roman" w:hAnsi="Times New Roman" w:cs="Times New Roman"/>
        </w:rPr>
        <w:lastRenderedPageBreak/>
        <w:t>series models have historically been used to forecast outbreaks (Mukandavire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"black-box" nature of many ML models, offering tools to understand and trust model outputs. Techniques such as SHAP (SHapley Additive exPlanations),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 in particular, are well-suited for policy-relevant domains as they provide intelligible feature-by-feature risk curves and global feature importance metrics. However, few studies incorporate multiple explainable models (e.g., EBM, NGBoost, TabNet)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2.3 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Large Language Models such as GPT-4 and PaLM have demonstrated remarkable abilities in synthesizing information, answering domain-specific questions, and summarizing complex data. Frameworks like LangChain and LangGraph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NGBoost, TabNet),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lastRenderedPageBreak/>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3.1 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modelling.</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3.2 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This section outlines the methodology adopted for analysing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t>Importantly, this data-driven analysis phase formed the foundation for the second component of this study: the development of an interactive LangChain-based LLM agent designed to synthesise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lastRenderedPageBreak/>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6A2FCE81" w:rsidR="00727319" w:rsidRPr="00727319" w:rsidRDefault="00727319" w:rsidP="00727319">
      <w:pPr>
        <w:pStyle w:val="Caption"/>
        <w:jc w:val="center"/>
        <w:rPr>
          <w:rFonts w:ascii="Times New Roman" w:hAnsi="Times New Roman" w:cs="Times New Roman"/>
        </w:rPr>
      </w:pPr>
      <w:r>
        <w:t xml:space="preserve">Figure </w:t>
      </w:r>
      <w:r w:rsidR="00D53648">
        <w:fldChar w:fldCharType="begin"/>
      </w:r>
      <w:r w:rsidR="00D53648">
        <w:instrText xml:space="preserve"> SEQ Figure \* ARABIC </w:instrText>
      </w:r>
      <w:r w:rsidR="00D53648">
        <w:fldChar w:fldCharType="separate"/>
      </w:r>
      <w:r w:rsidR="00D53648">
        <w:rPr>
          <w:noProof/>
        </w:rPr>
        <w:t>1</w:t>
      </w:r>
      <w:r w:rsidR="00D53648">
        <w:rPr>
          <w:noProof/>
        </w:rPr>
        <w:fldChar w:fldCharType="end"/>
      </w:r>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These help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On the machine learning side, models including EBM, NGBoost, TabNet, Random Forest, and XGBoost are trained on the processed dataset. Their performance is evaluated using standard regression metrics (RMSE,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We selected Explainable Boosting Machine (EBM) due to its glass-box interpretability, allowing health policymakers to understand model reasoning through intuitive plots and feature scores. NGBoost was chosen for its probabilistic forecasting capabilities, providing not just point estimates but also confidence intervals—critical for public health uncertainty. TabNet, a modern deep learning model optimized for tabular data, was included for its sparse attention-based feature selection, which enables both high performance and built-in interpretability. Random Forest and XGBoost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lastRenderedPageBreak/>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Following the interpretable machine learning and statistical analyses described in Section 4, we developed an interactive agentic system capable of responding to user queries about Cholera risk factors, model performance, and recommendations. This system is implemented using the LangChain and LangGraph frameworks and deployed via a Streamlit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drawing>
          <wp:inline distT="0" distB="0" distL="0" distR="0" wp14:anchorId="0B597BB3" wp14:editId="01DDEF4F">
            <wp:extent cx="6113290" cy="3116580"/>
            <wp:effectExtent l="0" t="0" r="1905" b="762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5365" cy="3138030"/>
                    </a:xfrm>
                    <a:prstGeom prst="rect">
                      <a:avLst/>
                    </a:prstGeom>
                  </pic:spPr>
                </pic:pic>
              </a:graphicData>
            </a:graphic>
          </wp:inline>
        </w:drawing>
      </w:r>
    </w:p>
    <w:p w14:paraId="11840455" w14:textId="7284A7D0" w:rsidR="007F7EA5" w:rsidRDefault="007F7EA5" w:rsidP="007F7EA5">
      <w:pPr>
        <w:pStyle w:val="Caption"/>
        <w:jc w:val="center"/>
        <w:rPr>
          <w:rFonts w:ascii="Times New Roman" w:hAnsi="Times New Roman" w:cs="Times New Roman"/>
        </w:rPr>
      </w:pPr>
      <w:r>
        <w:t xml:space="preserve">Figure </w:t>
      </w:r>
      <w:r w:rsidR="00D53648">
        <w:fldChar w:fldCharType="begin"/>
      </w:r>
      <w:r w:rsidR="00D53648">
        <w:instrText xml:space="preserve"> SEQ Figure \* ARABIC </w:instrText>
      </w:r>
      <w:r w:rsidR="00D53648">
        <w:fldChar w:fldCharType="separate"/>
      </w:r>
      <w:r w:rsidR="00D53648">
        <w:rPr>
          <w:noProof/>
        </w:rPr>
        <w:t>2</w:t>
      </w:r>
      <w:r w:rsidR="00D53648">
        <w:rPr>
          <w:noProof/>
        </w:rPr>
        <w:fldChar w:fldCharType="end"/>
      </w:r>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lastRenderedPageBreak/>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LangGraph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LangChain's memory and utility functions to dynamically populate a prompt template that guides the language model's reasoning. The system leverages LangChain’s structured state handling and LangGraph’s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The Streamlit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5.1 LangChain + LangGraph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LangChain's </w:t>
      </w:r>
      <w:r w:rsidRPr="00FE555E">
        <w:rPr>
          <w:rFonts w:ascii="Times New Roman" w:hAnsi="Times New Roman" w:cs="Times New Roman"/>
          <w:b/>
          <w:bCs/>
        </w:rPr>
        <w:t>LangGraph</w:t>
      </w:r>
      <w:r w:rsidRPr="00FE555E">
        <w:rPr>
          <w:rFonts w:ascii="Times New Roman" w:hAnsi="Times New Roman" w:cs="Times New Roman"/>
        </w:rPr>
        <w:t xml:space="preserve"> abstraction, which enables stateful multi-step interactions via directed graphs. A minimal LangGraph was created consisting of a single node responsible for handling question-answering, supported by structured memory and prompt-driven generation. To ensure informed and context-aware responses, the agent loads the outputs of earlier ML and statistical stages. Each file is loaded into memory and injected into a custom prompt template, enabling the LLM (Claude) to generate grounded, evidence-supported responses. The prompt includes clearly delimited sections for correlation matrices, regression coefficients, and model importance rankings, facilitating targeted answer generation. </w:t>
      </w:r>
      <w:r w:rsidRPr="00FE555E">
        <w:rPr>
          <w:rFonts w:ascii="Times New Roman" w:eastAsiaTheme="majorEastAsia" w:hAnsi="Times New Roman" w:cs="Times New Roman"/>
        </w:rPr>
        <w:t xml:space="preserve">The agent node is then registered as a step within the LangGraph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(model_claude)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The agent supports dynamic, multi-turn dialogue, with memory persistence handled via MemorySaver,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lastRenderedPageBreak/>
        <w:t>5.2 Streamlit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interactive component of the framework is deployed through a lightweight </w:t>
      </w:r>
      <w:r w:rsidRPr="00A268B3">
        <w:rPr>
          <w:rFonts w:ascii="Times New Roman" w:eastAsiaTheme="majorEastAsia" w:hAnsi="Times New Roman" w:cs="Times New Roman"/>
          <w:b/>
          <w:bCs/>
        </w:rPr>
        <w:t>Streamlit</w:t>
      </w:r>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Upon submitting a question, the user's message is added to the ongoing state, passed to the LangGraph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6F861958" w:rsidR="00C2228D" w:rsidRDefault="00D53648" w:rsidP="00D53648">
      <w:pPr>
        <w:pStyle w:val="Caption"/>
        <w:jc w:val="center"/>
        <w:rPr>
          <w:rFonts w:ascii="Times New Roman" w:eastAsiaTheme="majorEastAsia" w:hAnsi="Times New Roman" w:cs="Times New Roman"/>
          <w:b/>
          <w:bCs/>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lastRenderedPageBreak/>
        <w:t>In addition, the framework supports natural language interaction, allowing users to pose questions in an intuitive, open-ended format. Whether a 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6AE0729E" w:rsidR="00773963" w:rsidRPr="00072315" w:rsidRDefault="00773963" w:rsidP="00773963">
      <w:pPr>
        <w:pStyle w:val="Heading1"/>
        <w:rPr>
          <w:rFonts w:ascii="Times New Roman" w:hAnsi="Times New Roman" w:cs="Times New Roman"/>
          <w:b/>
          <w:bCs/>
          <w:color w:val="auto"/>
          <w:sz w:val="24"/>
          <w:szCs w:val="24"/>
        </w:rPr>
      </w:pPr>
      <w:r w:rsidRPr="00072315">
        <w:rPr>
          <w:rFonts w:ascii="Times New Roman" w:hAnsi="Times New Roman" w:cs="Times New Roman"/>
          <w:b/>
          <w:bCs/>
          <w:color w:val="auto"/>
          <w:sz w:val="24"/>
          <w:szCs w:val="24"/>
        </w:rPr>
        <w:t>Results and Insights</w:t>
      </w:r>
    </w:p>
    <w:p w14:paraId="3F69E5D7" w14:textId="77777777" w:rsidR="0026359E" w:rsidRPr="0026359E" w:rsidRDefault="0026359E" w:rsidP="0026359E">
      <w:pPr>
        <w:jc w:val="both"/>
        <w:rPr>
          <w:rFonts w:ascii="Times New Roman" w:hAnsi="Times New Roman" w:cs="Times New Roman"/>
        </w:rPr>
      </w:pPr>
      <w:r w:rsidRPr="0026359E">
        <w:rPr>
          <w:rFonts w:ascii="Times New Roman" w:hAnsi="Times New Roman" w:cs="Times New Roman"/>
        </w:rPr>
        <w:t>To complement the machine learning models and statistical correlation analysis, we conducted a Poisson regression analysis to further investigate the association between predictor variables and the incidence of Cholera. Poisson regression is particularly suitable for modeling count-based outcome variables, such as disease incidence rates, and allows for direct estimation of incidence rate ratios (IRRs) while controlling for multiple covariates simultaneously.</w:t>
      </w:r>
    </w:p>
    <w:p w14:paraId="5CA349FC" w14:textId="77777777" w:rsidR="0026359E" w:rsidRPr="0026359E" w:rsidRDefault="0026359E" w:rsidP="0026359E">
      <w:pPr>
        <w:jc w:val="both"/>
        <w:rPr>
          <w:rFonts w:ascii="Times New Roman" w:hAnsi="Times New Roman" w:cs="Times New Roman"/>
        </w:rPr>
      </w:pPr>
      <w:r w:rsidRPr="0026359E">
        <w:rPr>
          <w:rFonts w:ascii="Times New Roman" w:hAnsi="Times New Roman" w:cs="Times New Roman"/>
        </w:rPr>
        <w:t>This approach enabled us to quantify the relative contribution of key environmental, socio-economic, and infrastructural predictors to Cholera cases per 100,000 people, while accounting for potential confounding effects. The model included all relevant predictors that passed prior significance thresholds in the correlation and regression analyses. Results from the Poisson regression are presented visually through three plots:</w:t>
      </w:r>
    </w:p>
    <w:p w14:paraId="02ABD094"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 xml:space="preserve">Figure 4 presents the results of the Poisson regression analysis using three complementary visualizations, each offering key insights into the environmental and socio-economic factors associated with cholera incidence. The first plot (A), a forest plot, reveals several variables with statistically significant positive associations with cholera cases. Among the most notable are the pH level of water, contaminant level (ppm), and lead concentration (µg/L), all of which point to water quality as a critical driver of cholera risk. Diarrheal cases per 100,000 people also emerge as a strong predictor, likely indicating overlapping infrastructural vulnerabilities that facilitate both cholera and other waterborne diseases. Additionally, higher ambient </w:t>
      </w:r>
      <w:r w:rsidRPr="00072315">
        <w:rPr>
          <w:rFonts w:ascii="Times New Roman" w:hAnsi="Times New Roman" w:cs="Times New Roman"/>
        </w:rPr>
        <w:lastRenderedPageBreak/>
        <w:t>temperatures and elevated dissolved oxygen levels are associated with increased cholera incidence, aligning with the known environmental preferences of Vibrio cholerae.</w:t>
      </w:r>
    </w:p>
    <w:p w14:paraId="146D77D7"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second plot (B), displaying incidence rate ratios (IRRs), confirms that increases in factors such as pH, turbidity, contaminant level, and temperature are consistently linked to elevated cholera risk. Though the IRRs are modest in magnitude, their statistical significance underscores the public health importance of these variables. Interestingly, urbanization rate also shows a slight positive association, suggesting that rapid urban growth—often accompanied by inadequate infrastructure—may contribute to increased disease vulnerability.</w:t>
      </w:r>
    </w:p>
    <w:p w14:paraId="469B1DD1" w14:textId="77777777" w:rsidR="00072315" w:rsidRPr="00072315" w:rsidRDefault="00072315" w:rsidP="00072315">
      <w:pPr>
        <w:jc w:val="both"/>
        <w:rPr>
          <w:rFonts w:ascii="Times New Roman" w:hAnsi="Times New Roman" w:cs="Times New Roman"/>
        </w:rPr>
      </w:pPr>
      <w:r w:rsidRPr="00072315">
        <w:rPr>
          <w:rFonts w:ascii="Times New Roman" w:hAnsi="Times New Roman" w:cs="Times New Roman"/>
        </w:rPr>
        <w:t>The third plot (C), a volcano plot, compares the statistical and practical significance of each variable's effect on cholera cases. While many variables are statistically significant, their effect sizes tend to be modest, falling within a narrow practical range. This indicates that cholera risk is not driven by a single dominant factor but rather by a network of interrelated influences. No variables exhibit both high statistical and practical significance, reinforcing the multifactorial nature of cholera transmission. Overall, these findings emphasize the need for integrated, multi-dimensional public health interventions that address a broad set of environmental and infrastructural conditions to effectively mitigate cholera risk.</w:t>
      </w:r>
    </w:p>
    <w:p w14:paraId="3D4A81AE" w14:textId="77777777" w:rsidR="0026359E" w:rsidRDefault="0026359E" w:rsidP="0026359E">
      <w:pPr>
        <w:jc w:val="both"/>
        <w:rPr>
          <w:rFonts w:ascii="Times New Roman" w:hAnsi="Times New Roman" w:cs="Times New Roman"/>
        </w:rPr>
      </w:pPr>
    </w:p>
    <w:p w14:paraId="2061F7C8" w14:textId="5D459CA3" w:rsidR="0026359E" w:rsidRPr="0026359E" w:rsidRDefault="0026359E" w:rsidP="0026359E">
      <w:pPr>
        <w:jc w:val="center"/>
        <w:rPr>
          <w:rFonts w:ascii="Times New Roman" w:hAnsi="Times New Roman" w:cs="Times New Roman"/>
        </w:rPr>
      </w:pPr>
      <w:r>
        <w:rPr>
          <w:rFonts w:ascii="Times New Roman" w:hAnsi="Times New Roman" w:cs="Times New Roman"/>
          <w:noProof/>
        </w:rPr>
        <w:drawing>
          <wp:inline distT="0" distB="0" distL="0" distR="0" wp14:anchorId="5296F8E6" wp14:editId="488E7D94">
            <wp:extent cx="5731510" cy="1247140"/>
            <wp:effectExtent l="0" t="0" r="2540" b="0"/>
            <wp:docPr id="187177966" name="Picture 2"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7966" name="Picture 2" descr="A graph with red and blu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7140"/>
                    </a:xfrm>
                    <a:prstGeom prst="rect">
                      <a:avLst/>
                    </a:prstGeom>
                  </pic:spPr>
                </pic:pic>
              </a:graphicData>
            </a:graphic>
          </wp:inline>
        </w:drawing>
      </w:r>
    </w:p>
    <w:p w14:paraId="3F5C78E7" w14:textId="77777777" w:rsidR="0026359E" w:rsidRDefault="0026359E" w:rsidP="0026359E"/>
    <w:p w14:paraId="3A3D5FE5" w14:textId="1260F4F4" w:rsidR="0026359E" w:rsidRPr="0026359E" w:rsidRDefault="0026359E" w:rsidP="0026359E"/>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06BE8490" w14:textId="0609F778"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Policy Implications</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57859"/>
    <w:multiLevelType w:val="multilevel"/>
    <w:tmpl w:val="636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 w:numId="15" w16cid:durableId="1017006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53F7D"/>
    <w:rsid w:val="00072315"/>
    <w:rsid w:val="0008269C"/>
    <w:rsid w:val="000E34F4"/>
    <w:rsid w:val="00161BB7"/>
    <w:rsid w:val="001D4760"/>
    <w:rsid w:val="001F3F29"/>
    <w:rsid w:val="00202D7F"/>
    <w:rsid w:val="0026359E"/>
    <w:rsid w:val="002B4E62"/>
    <w:rsid w:val="002E4D50"/>
    <w:rsid w:val="00346A32"/>
    <w:rsid w:val="00415C6F"/>
    <w:rsid w:val="00515406"/>
    <w:rsid w:val="0059531F"/>
    <w:rsid w:val="006437F9"/>
    <w:rsid w:val="006554C1"/>
    <w:rsid w:val="00682236"/>
    <w:rsid w:val="006B7522"/>
    <w:rsid w:val="00727319"/>
    <w:rsid w:val="00773963"/>
    <w:rsid w:val="0078735F"/>
    <w:rsid w:val="007A70F5"/>
    <w:rsid w:val="007F7EA5"/>
    <w:rsid w:val="00834BE4"/>
    <w:rsid w:val="00863BB8"/>
    <w:rsid w:val="00882AE9"/>
    <w:rsid w:val="008E0FF2"/>
    <w:rsid w:val="008E483A"/>
    <w:rsid w:val="00921090"/>
    <w:rsid w:val="00921D3E"/>
    <w:rsid w:val="00944742"/>
    <w:rsid w:val="009530D8"/>
    <w:rsid w:val="009C36FA"/>
    <w:rsid w:val="00A02259"/>
    <w:rsid w:val="00A15255"/>
    <w:rsid w:val="00A268B3"/>
    <w:rsid w:val="00A532EE"/>
    <w:rsid w:val="00A61104"/>
    <w:rsid w:val="00A85711"/>
    <w:rsid w:val="00AB429D"/>
    <w:rsid w:val="00B87278"/>
    <w:rsid w:val="00C2228D"/>
    <w:rsid w:val="00C81A4E"/>
    <w:rsid w:val="00CB41C7"/>
    <w:rsid w:val="00CE2A2D"/>
    <w:rsid w:val="00D53648"/>
    <w:rsid w:val="00D6247F"/>
    <w:rsid w:val="00DB37A4"/>
    <w:rsid w:val="00E35114"/>
    <w:rsid w:val="00E60F44"/>
    <w:rsid w:val="00EB0FFD"/>
    <w:rsid w:val="00EB1C43"/>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374238749">
      <w:bodyDiv w:val="1"/>
      <w:marLeft w:val="0"/>
      <w:marRight w:val="0"/>
      <w:marTop w:val="0"/>
      <w:marBottom w:val="0"/>
      <w:divBdr>
        <w:top w:val="none" w:sz="0" w:space="0" w:color="auto"/>
        <w:left w:val="none" w:sz="0" w:space="0" w:color="auto"/>
        <w:bottom w:val="none" w:sz="0" w:space="0" w:color="auto"/>
        <w:right w:val="none" w:sz="0" w:space="0" w:color="auto"/>
      </w:divBdr>
    </w:div>
    <w:div w:id="481041794">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01223843">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4516407">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khushikyad001/water-pollution-and-diseas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6106</TotalTime>
  <Pages>10</Pages>
  <Words>3722</Words>
  <Characters>24610</Characters>
  <Application>Microsoft Office Word</Application>
  <DocSecurity>0</DocSecurity>
  <Lines>390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39</cp:revision>
  <dcterms:created xsi:type="dcterms:W3CDTF">2025-07-09T11:40:00Z</dcterms:created>
  <dcterms:modified xsi:type="dcterms:W3CDTF">2025-07-28T19:52:00Z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