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Lines="50" w:before="156" w:afterLines="50" w:after="156"/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t>主成分分析</w:t>
      </w:r>
      <w:r>
        <w:rPr>
          <w:rFonts w:eastAsia="黑体" w:hint="eastAsia"/>
          <w:sz w:val="44"/>
          <w:szCs w:val="44"/>
        </w:rPr>
        <w:t>实</w:t>
      </w:r>
      <w:r>
        <w:rPr>
          <w:rFonts w:eastAsia="黑体"/>
          <w:sz w:val="44"/>
          <w:szCs w:val="44"/>
        </w:rPr>
        <w:t>验报告</w:t>
      </w:r>
    </w:p>
    <w:p>
      <w:pPr>
        <w:spacing w:beforeLines="50" w:before="156" w:afterLines="50" w:after="156"/>
        <w:rPr>
          <w:rFonts w:eastAsia="黑体"/>
          <w:szCs w:val="21"/>
        </w:rPr>
      </w:pP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>姓名：</w:t>
      </w:r>
      <w:r>
        <w:rPr>
          <w:rFonts w:eastAsia="黑体" w:hint="eastAsia"/>
          <w:szCs w:val="21"/>
        </w:rPr>
        <w:t>██</w:t>
      </w: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 xml:space="preserve">         </w:t>
      </w:r>
      <w:r>
        <w:rPr>
          <w:rFonts w:eastAsia="黑体" w:hint="eastAsia"/>
          <w:szCs w:val="21"/>
        </w:rPr>
        <w:t xml:space="preserve">  </w:t>
      </w:r>
      <w:r>
        <w:rPr>
          <w:rFonts w:eastAsia="黑体" w:hint="eastAsia"/>
          <w:szCs w:val="21"/>
        </w:rPr>
        <w:t xml:space="preserve">      </w:t>
      </w:r>
      <w:r>
        <w:rPr>
          <w:rFonts w:eastAsia="黑体" w:hint="eastAsia"/>
          <w:szCs w:val="21"/>
        </w:rPr>
        <w:t>学号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█████████</w:t>
      </w:r>
      <w:r>
        <w:rPr>
          <w:rFonts w:eastAsia="黑体"/>
          <w:szCs w:val="21"/>
        </w:rPr>
        <w:t xml:space="preserve"> </w:t>
      </w:r>
      <w:r>
        <w:rPr>
          <w:rFonts w:eastAsia="黑体"/>
          <w:szCs w:val="21"/>
        </w:rPr>
        <w:t xml:space="preserve">  </w:t>
      </w:r>
      <w:r>
        <w:rPr>
          <w:rFonts w:eastAsia="黑体"/>
          <w:szCs w:val="21"/>
        </w:rPr>
        <w:t xml:space="preserve">   </w:t>
      </w:r>
      <w:r>
        <w:rPr>
          <w:rFonts w:eastAsia="黑体"/>
          <w:szCs w:val="21"/>
        </w:rPr>
        <w:t xml:space="preserve">              </w:t>
      </w:r>
      <w:r>
        <w:rPr>
          <w:rFonts w:eastAsia="黑体" w:hint="eastAsia"/>
          <w:szCs w:val="21"/>
        </w:rPr>
        <w:t>班级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██</w:t>
      </w:r>
    </w:p>
    <w:p>
      <w:pPr>
        <w:spacing w:beforeLines="50" w:before="156" w:afterLines="50" w:after="156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sz="4" w:space="0" w:color="auto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>
      <w:pPr>
        <w:spacing w:line="360" w:lineRule="exact"/>
        <w:rPr>
          <w:b/>
          <w:sz w:val="24"/>
        </w:rPr>
      </w:pPr>
      <w:r>
        <w:rPr>
          <w:rFonts w:hAnsi="宋体"/>
          <w:b/>
          <w:sz w:val="24"/>
        </w:rPr>
        <w:t>实验目的：</w:t>
      </w:r>
    </w:p>
    <w:p>
      <w:pPr>
        <w:numPr>
          <w:ilvl w:val="0"/>
          <w:numId w:val="13"/>
        </w:numPr>
        <w:rPr>
          <w:rFonts w:hint="eastAsia"/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SPSS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软件</w:t>
      </w:r>
      <w:r>
        <w:rPr>
          <w:rFonts w:hint="eastAsia"/>
          <w:sz w:val="24"/>
        </w:rPr>
        <w:t>进行主成分系</w:t>
      </w:r>
      <w:r>
        <w:rPr>
          <w:rFonts w:hint="eastAsia"/>
          <w:sz w:val="24"/>
        </w:rPr>
        <w:t>。</w:t>
      </w:r>
    </w:p>
    <w:p>
      <w:pPr>
        <w:ind w:firstLineChars="200" w:firstLine="480"/>
        <w:rPr>
          <w:sz w:val="24"/>
        </w:rPr>
      </w:pPr>
    </w:p>
    <w:p>
      <w:pPr>
        <w:spacing w:line="276" w:lineRule="auto"/>
        <w:rPr>
          <w:b/>
          <w:sz w:val="24"/>
        </w:rPr>
      </w:pPr>
      <w:r>
        <w:rPr>
          <w:b/>
          <w:sz w:val="24"/>
        </w:rPr>
        <w:t>实</w:t>
      </w:r>
      <w:r>
        <w:rPr>
          <w:b/>
          <w:sz w:val="24"/>
        </w:rPr>
        <w:t xml:space="preserve"> </w:t>
      </w:r>
      <w:r>
        <w:rPr>
          <w:b/>
          <w:sz w:val="24"/>
        </w:rPr>
        <w:t>验</w:t>
      </w:r>
      <w:r>
        <w:rPr>
          <w:b/>
          <w:sz w:val="24"/>
        </w:rPr>
        <w:t xml:space="preserve"> </w:t>
      </w:r>
      <w:r>
        <w:rPr>
          <w:b/>
          <w:sz w:val="24"/>
        </w:rPr>
        <w:t>环</w:t>
      </w:r>
      <w:r>
        <w:rPr>
          <w:b/>
          <w:sz w:val="24"/>
        </w:rPr>
        <w:t xml:space="preserve"> </w:t>
      </w:r>
      <w:r>
        <w:rPr>
          <w:b/>
          <w:sz w:val="24"/>
        </w:rPr>
        <w:t>境</w:t>
      </w:r>
      <w:r>
        <w:rPr>
          <w:b/>
          <w:sz w:val="24"/>
        </w:rPr>
        <w:t>: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>SPSS</w:t>
      </w:r>
    </w:p>
    <w:p>
      <w:pPr>
        <w:spacing w:line="360" w:lineRule="exact"/>
        <w:rPr>
          <w:rFonts w:hint="eastAsia"/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内容</w:t>
      </w:r>
      <w:r>
        <w:rPr>
          <w:rFonts w:hint="eastAsia"/>
          <w:b/>
          <w:sz w:val="24"/>
        </w:rPr>
        <w:t>：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数据进行</w:t>
      </w:r>
      <w:r>
        <w:rPr>
          <w:rFonts w:hint="eastAsia"/>
          <w:sz w:val="24"/>
        </w:rPr>
        <w:t>主成分分析并进行深入分析</w:t>
      </w:r>
      <w:r>
        <w:rPr>
          <w:rFonts w:hint="eastAsia"/>
          <w:sz w:val="24"/>
        </w:rPr>
        <w:t>。</w:t>
      </w:r>
    </w:p>
    <w:p>
      <w:pPr>
        <w:spacing w:line="360" w:lineRule="exact"/>
        <w:rPr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数据</w:t>
      </w:r>
      <w:r>
        <w:rPr>
          <w:b/>
          <w:sz w:val="24"/>
        </w:rPr>
        <w:t>：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文件</w:t>
      </w:r>
    </w:p>
    <w:p>
      <w:pPr>
        <w:spacing w:line="360" w:lineRule="exact"/>
        <w:rPr>
          <w:sz w:val="24"/>
        </w:rPr>
      </w:pPr>
    </w:p>
    <w:p>
      <w:pPr>
        <w:spacing w:line="36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主成分的分析主要步骤如下：</w:t>
      </w:r>
    </w:p>
    <w:p>
      <w:pPr>
        <w:spacing w:line="360" w:lineRule="exac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）分析数据、选取相应指标；</w:t>
      </w:r>
    </w:p>
    <w:p>
      <w:pPr>
        <w:spacing w:line="36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）根据问题和指标，对原始数据进行</w:t>
      </w:r>
      <w:r>
        <w:rPr>
          <w:rFonts w:hint="eastAsia"/>
          <w:sz w:val="24"/>
        </w:rPr>
        <w:t>适当</w:t>
      </w:r>
      <w:r>
        <w:rPr>
          <w:rFonts w:hint="eastAsia"/>
          <w:sz w:val="24"/>
        </w:rPr>
        <w:t>处理，如</w:t>
      </w:r>
      <w:r>
        <w:rPr>
          <w:rFonts w:hint="eastAsia"/>
          <w:sz w:val="24"/>
        </w:rPr>
        <w:t>标准化</w:t>
      </w:r>
      <w:r>
        <w:rPr>
          <w:rFonts w:hint="eastAsia"/>
          <w:sz w:val="24"/>
        </w:rPr>
        <w:t>、单位统一、斜差阵或相关系数阵等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 xml:space="preserve"> </w:t>
      </w:r>
    </w:p>
    <w:p>
      <w:pPr>
        <w:spacing w:line="36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）进行主成分分析：计算矩阵（斜差阵或相关系数阵）</w:t>
      </w:r>
      <w:r>
        <w:rPr>
          <w:rFonts w:hint="eastAsia"/>
          <w:sz w:val="24"/>
        </w:rPr>
        <w:t>特征根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相应的</w:t>
      </w:r>
      <w:r>
        <w:rPr>
          <w:rFonts w:hint="eastAsia"/>
          <w:sz w:val="24"/>
        </w:rPr>
        <w:t>单位化</w:t>
      </w:r>
      <w:r>
        <w:rPr>
          <w:rFonts w:hint="eastAsia"/>
          <w:sz w:val="24"/>
        </w:rPr>
        <w:t>特征向量</w:t>
      </w:r>
      <w:r>
        <w:rPr>
          <w:rFonts w:hint="eastAsia"/>
          <w:sz w:val="24"/>
        </w:rPr>
        <w:t>、并由</w:t>
      </w:r>
      <w:r>
        <w:rPr>
          <w:rFonts w:hint="eastAsia"/>
          <w:sz w:val="24"/>
        </w:rPr>
        <w:t>累积方差贡献率确定主成分的个</w:t>
      </w:r>
      <w:r>
        <w:rPr>
          <w:rFonts w:hint="eastAsia"/>
          <w:sz w:val="24"/>
        </w:rPr>
        <w:t>数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写出</w:t>
      </w:r>
      <w:r>
        <w:rPr>
          <w:rFonts w:hint="eastAsia"/>
          <w:sz w:val="24"/>
        </w:rPr>
        <w:t>主成分。</w:t>
      </w:r>
    </w:p>
    <w:p>
      <w:pPr>
        <w:spacing w:line="360" w:lineRule="exac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）根据主成分分析结果对</w:t>
      </w: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>进行</w:t>
      </w:r>
      <w:r>
        <w:rPr>
          <w:rFonts w:hint="eastAsia"/>
          <w:sz w:val="24"/>
        </w:rPr>
        <w:t>深入</w:t>
      </w:r>
      <w:r>
        <w:rPr>
          <w:rFonts w:hint="eastAsia"/>
          <w:sz w:val="24"/>
        </w:rPr>
        <w:t>分析。</w:t>
      </w:r>
    </w:p>
    <w:p>
      <w:pPr>
        <w:spacing w:line="360" w:lineRule="exact"/>
        <w:rPr>
          <w:sz w:val="24"/>
        </w:rPr>
      </w:pPr>
    </w:p>
    <w:p>
      <w:pPr>
        <w:spacing w:line="360" w:lineRule="exact"/>
        <w:rPr>
          <w:rFonts w:ascii="宋体" w:hAnsi="宋体"/>
        </w:rPr>
      </w:pPr>
      <w:r>
        <w:rPr>
          <w:rFonts w:ascii="宋体" w:hAnsi="宋体" w:hint="eastAsia"/>
          <w:color w:val="000000"/>
        </w:rPr>
        <w:t>表</w:t>
      </w:r>
      <w:r>
        <w:rPr>
          <w:rFonts w:ascii="宋体" w:hAnsi="宋体" w:hint="eastAsia"/>
          <w:color w:val="000000"/>
        </w:rPr>
        <w:t>中</w:t>
      </w:r>
      <w:r>
        <w:rPr>
          <w:rFonts w:ascii="宋体" w:hAnsi="宋体" w:hint="eastAsia"/>
          <w:color w:val="000000"/>
        </w:rPr>
        <w:t>数据为</w:t>
      </w:r>
      <w:r>
        <w:rPr>
          <w:rFonts w:ascii="宋体" w:hAnsi="宋体" w:hint="eastAsia"/>
          <w:szCs w:val="21"/>
        </w:rPr>
        <w:t>2003年我国省会城市和计划单列市的主要经济指标：</w:t>
      </w:r>
      <w:bookmarkStart w:id="0" w:name="_Hlk149321423"/>
      <w:r>
        <w:rPr>
          <w:rFonts w:ascii="宋体" w:hAnsi="宋体" w:hint="eastAsia"/>
          <w:szCs w:val="21"/>
        </w:rPr>
        <w:t>人均GDP</w:t>
      </w:r>
      <w:r>
        <w:rPr>
          <w:rFonts w:ascii="宋体" w:hAnsi="宋体"/>
          <w:noProof/>
          <w:position w:val="-12"/>
          <w:szCs w:val="21"/>
        </w:rPr>
        <w:object w:dxaOrig="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8" o:title=""/>
          </v:shape>
          <o:OLEObject Type="Embed" ProgID="Equation.DSMT4" ShapeID="_x0000_i1025" DrawAspect="Content" ObjectID="_1851440785" r:id="rId9"/>
        </w:object>
      </w:r>
      <w:r>
        <w:rPr>
          <w:rFonts w:ascii="宋体" w:hAnsi="宋体" w:hint="eastAsia"/>
          <w:szCs w:val="21"/>
        </w:rPr>
        <w:t>（元）、人均工业产值</w:t>
      </w:r>
      <w:r>
        <w:rPr>
          <w:rFonts w:ascii="宋体" w:hAnsi="宋体"/>
          <w:noProof/>
          <w:position w:val="-12"/>
          <w:szCs w:val="21"/>
        </w:rPr>
        <w:object w:dxaOrig="260" w:dyaOrig="360">
          <v:shape id="_x0000_i1026" type="#_x0000_t75" style="width:12pt;height:18pt" o:ole="">
            <v:imagedata r:id="rId10" o:title=""/>
          </v:shape>
          <o:OLEObject Type="Embed" ProgID="Equation.DSMT4" ShapeID="_x0000_i1026" DrawAspect="Content" ObjectID="_1851440786" r:id="rId11"/>
        </w:object>
      </w:r>
      <w:r>
        <w:rPr>
          <w:rFonts w:ascii="宋体" w:hAnsi="宋体" w:hint="eastAsia"/>
          <w:szCs w:val="21"/>
        </w:rPr>
        <w:t>（元）、</w:t>
      </w:r>
      <w:bookmarkEnd w:id="0"/>
      <w:r>
        <w:rPr>
          <w:rFonts w:ascii="宋体" w:hAnsi="宋体" w:hint="eastAsia"/>
          <w:szCs w:val="21"/>
        </w:rPr>
        <w:t>客运总量</w:t>
      </w:r>
      <w:r>
        <w:rPr>
          <w:rFonts w:ascii="宋体" w:hAnsi="宋体"/>
          <w:noProof/>
          <w:position w:val="-12"/>
          <w:szCs w:val="21"/>
        </w:rPr>
        <w:object w:dxaOrig="240" w:dyaOrig="360">
          <v:shape id="_x0000_i1027" type="#_x0000_t75" style="width:12pt;height:18pt" o:ole="">
            <v:imagedata r:id="rId12" o:title=""/>
          </v:shape>
          <o:OLEObject Type="Embed" ProgID="Equation.DSMT4" ShapeID="_x0000_i1027" DrawAspect="Content" ObjectID="_1851440787" r:id="rId13"/>
        </w:object>
      </w:r>
      <w:r>
        <w:rPr>
          <w:rFonts w:ascii="宋体" w:hAnsi="宋体" w:hint="eastAsia"/>
          <w:szCs w:val="21"/>
        </w:rPr>
        <w:t>（万人）、货运总量</w:t>
      </w:r>
      <w:r>
        <w:rPr>
          <w:rFonts w:ascii="宋体" w:hAnsi="宋体"/>
          <w:noProof/>
          <w:position w:val="-12"/>
          <w:szCs w:val="21"/>
        </w:rPr>
        <w:object w:dxaOrig="260" w:dyaOrig="360">
          <v:shape id="_x0000_i1028" type="#_x0000_t75" style="width:12pt;height:18pt" o:ole="">
            <v:imagedata r:id="rId14" o:title=""/>
          </v:shape>
          <o:OLEObject Type="Embed" ProgID="Equation.DSMT4" ShapeID="_x0000_i1028" DrawAspect="Content" ObjectID="_1851440788" r:id="rId15"/>
        </w:object>
      </w:r>
      <w:r>
        <w:rPr>
          <w:rFonts w:ascii="宋体" w:hAnsi="宋体" w:hint="eastAsia"/>
          <w:szCs w:val="21"/>
        </w:rPr>
        <w:t>（万吨）、</w:t>
      </w:r>
      <w:bookmarkStart w:id="1" w:name="_Hlk149321439"/>
      <w:r>
        <w:rPr>
          <w:rFonts w:ascii="宋体" w:hAnsi="宋体" w:hint="eastAsia"/>
          <w:szCs w:val="21"/>
        </w:rPr>
        <w:t>地方财政预算内收入</w:t>
      </w:r>
      <w:r>
        <w:rPr>
          <w:rFonts w:ascii="宋体" w:hAnsi="宋体"/>
          <w:noProof/>
          <w:position w:val="-12"/>
          <w:szCs w:val="21"/>
        </w:rPr>
        <w:object w:dxaOrig="260" w:dyaOrig="360">
          <v:shape id="_x0000_i1029" type="#_x0000_t75" style="width:12pt;height:18pt" o:ole="">
            <v:imagedata r:id="rId16" o:title=""/>
          </v:shape>
          <o:OLEObject Type="Embed" ProgID="Equation.DSMT4" ShapeID="_x0000_i1029" DrawAspect="Content" ObjectID="_1851440789" r:id="rId17"/>
        </w:object>
      </w:r>
      <w:r>
        <w:rPr>
          <w:rFonts w:ascii="宋体" w:hAnsi="宋体" w:hint="eastAsia"/>
          <w:szCs w:val="21"/>
        </w:rPr>
        <w:t>（亿元）、固定资产投资总额</w:t>
      </w:r>
      <w:r>
        <w:rPr>
          <w:rFonts w:ascii="宋体" w:hAnsi="宋体"/>
          <w:noProof/>
          <w:position w:val="-12"/>
          <w:szCs w:val="21"/>
        </w:rPr>
        <w:object w:dxaOrig="260" w:dyaOrig="360">
          <v:shape id="_x0000_i1030" type="#_x0000_t75" style="width:12pt;height:18pt" o:ole="">
            <v:imagedata r:id="rId18" o:title=""/>
          </v:shape>
          <o:OLEObject Type="Embed" ProgID="Equation.DSMT4" ShapeID="_x0000_i1030" DrawAspect="Content" ObjectID="_1851440790" r:id="rId19"/>
        </w:object>
      </w:r>
      <w:r>
        <w:rPr>
          <w:rFonts w:ascii="宋体" w:hAnsi="宋体" w:hint="eastAsia"/>
          <w:szCs w:val="21"/>
        </w:rPr>
        <w:t>（亿元）、在岗职工占总人口的比例</w:t>
      </w:r>
      <w:r>
        <w:rPr>
          <w:rFonts w:ascii="宋体" w:hAnsi="宋体"/>
          <w:noProof/>
          <w:position w:val="-12"/>
          <w:szCs w:val="21"/>
        </w:rPr>
        <w:object w:dxaOrig="260" w:dyaOrig="360">
          <v:shape id="_x0000_i1031" type="#_x0000_t75" style="width:12pt;height:18pt" o:ole="">
            <v:imagedata r:id="rId20" o:title=""/>
          </v:shape>
          <o:OLEObject Type="Embed" ProgID="Equation.DSMT4" ShapeID="_x0000_i1031" DrawAspect="Content" ObjectID="_1851440791" r:id="rId21"/>
        </w:object>
      </w:r>
      <w:r>
        <w:rPr>
          <w:rFonts w:ascii="宋体" w:hAnsi="宋体" w:hint="eastAsia"/>
          <w:szCs w:val="21"/>
        </w:rPr>
        <w:t>（％）、在岗职工人均工资额</w:t>
      </w:r>
      <w:r>
        <w:rPr>
          <w:rFonts w:ascii="宋体" w:hAnsi="宋体"/>
          <w:noProof/>
          <w:position w:val="-12"/>
          <w:szCs w:val="21"/>
        </w:rPr>
        <w:object w:dxaOrig="240" w:dyaOrig="360">
          <v:shape id="_x0000_i1032" type="#_x0000_t75" style="width:12pt;height:18pt" o:ole="">
            <v:imagedata r:id="rId22" o:title=""/>
          </v:shape>
          <o:OLEObject Type="Embed" ProgID="Equation.DSMT4" ShapeID="_x0000_i1032" DrawAspect="Content" ObjectID="_1851440792" r:id="rId23"/>
        </w:object>
      </w:r>
      <w:r>
        <w:rPr>
          <w:rFonts w:ascii="宋体" w:hAnsi="宋体" w:hint="eastAsia"/>
          <w:szCs w:val="21"/>
        </w:rPr>
        <w:t>（元）、城乡居民年底储蓄余额</w:t>
      </w:r>
      <w:r>
        <w:rPr>
          <w:rFonts w:ascii="宋体" w:hAnsi="宋体"/>
          <w:noProof/>
          <w:position w:val="-12"/>
          <w:szCs w:val="21"/>
        </w:rPr>
        <w:object w:dxaOrig="260" w:dyaOrig="360">
          <v:shape id="_x0000_i1033" type="#_x0000_t75" style="width:12pt;height:18pt" o:ole="">
            <v:imagedata r:id="rId24" o:title=""/>
          </v:shape>
          <o:OLEObject Type="Embed" ProgID="Equation.DSMT4" ShapeID="_x0000_i1033" DrawAspect="Content" ObjectID="_1851440793" r:id="rId25"/>
        </w:object>
      </w:r>
      <w:r>
        <w:rPr>
          <w:rFonts w:ascii="宋体" w:hAnsi="宋体" w:hint="eastAsia"/>
          <w:szCs w:val="21"/>
        </w:rPr>
        <w:t>（亿元）</w:t>
      </w:r>
      <w:bookmarkEnd w:id="1"/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</w:rPr>
        <w:t>试</w:t>
      </w:r>
      <w:r>
        <w:rPr>
          <w:rFonts w:ascii="宋体" w:hAnsi="宋体" w:hint="eastAsia"/>
        </w:rPr>
        <w:t>选取合适的指标对这些城市进行主成分分析</w:t>
      </w:r>
      <w:r>
        <w:rPr>
          <w:rFonts w:ascii="宋体" w:hAnsi="宋体" w:hint="eastAsia"/>
        </w:rPr>
        <w:t>。</w:t>
      </w:r>
    </w:p>
    <w:p>
      <w:pPr>
        <w:spacing w:line="360" w:lineRule="exact"/>
        <w:rPr>
          <w:rFonts w:ascii="宋体" w:hAnsi="宋体"/>
        </w:rPr>
      </w:pPr>
    </w:p>
    <w:p>
      <w:pPr>
        <w:numPr>
          <w:ilvl w:val="0"/>
          <w:numId w:val="46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目的：为了研究城市的*</w:t>
      </w:r>
      <w:r>
        <w:rPr>
          <w:rFonts w:ascii="宋体" w:hAnsi="宋体"/>
        </w:rPr>
        <w:t>**</w:t>
      </w:r>
      <w:r>
        <w:rPr>
          <w:rFonts w:ascii="宋体" w:hAnsi="宋体" w:hint="eastAsia"/>
        </w:rPr>
        <w:t>的经济问题，选取指标为：（考虑是否对指标进行标准化或者统一单位等处理。）</w:t>
      </w:r>
    </w:p>
    <w:p>
      <w:pPr>
        <w:spacing w:line="360" w:lineRule="exact"/>
        <w:ind w:left="720"/>
        <w:rPr>
          <w:rFonts w:ascii="宋体" w:hAnsi="宋体" w:hint="eastAsia"/>
        </w:rPr>
      </w:pPr>
    </w:p>
    <w:p>
      <w:pPr>
        <w:numPr>
          <w:ilvl w:val="0"/>
          <w:numId w:val="46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模型：</w:t>
      </w:r>
      <w:r>
        <w:rPr>
          <w:rFonts w:ascii="宋体" w:hAnsi="宋体" w:hint="eastAsia"/>
          <w:b/>
          <w:bCs/>
        </w:rPr>
        <w:t>从</w:t>
      </w:r>
      <w:r>
        <w:rPr>
          <w:rFonts w:hint="eastAsia"/>
          <w:b/>
          <w:bCs/>
          <w:sz w:val="24"/>
        </w:rPr>
        <w:t>斜差阵</w:t>
      </w:r>
      <w:r>
        <w:rPr>
          <w:rFonts w:hint="eastAsia"/>
          <w:b/>
          <w:bCs/>
          <w:sz w:val="24"/>
        </w:rPr>
        <w:t>/</w:t>
      </w:r>
      <w:r>
        <w:rPr>
          <w:rFonts w:hint="eastAsia"/>
          <w:b/>
          <w:bCs/>
          <w:sz w:val="24"/>
        </w:rPr>
        <w:t>相关系数阵</w:t>
      </w:r>
      <w:r>
        <w:rPr>
          <w:rFonts w:hint="eastAsia"/>
          <w:szCs w:val="21"/>
        </w:rPr>
        <w:t>出发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</w:rPr>
        <w:t>主成分分析结果如下</w:t>
      </w:r>
      <w:r>
        <w:rPr>
          <w:rFonts w:ascii="宋体" w:hAnsi="宋体" w:hint="eastAsia"/>
        </w:rPr>
        <w:t>：</w:t>
      </w:r>
    </w:p>
    <w:p>
      <w:pPr>
        <w:spacing w:line="360" w:lineRule="exact"/>
        <w:ind w:left="720"/>
        <w:rPr>
          <w:rFonts w:ascii="宋体" w:hAnsi="宋体" w:hint="eastAsia"/>
        </w:rPr>
      </w:pPr>
    </w:p>
    <w:p>
      <w:pPr>
        <w:numPr>
          <w:ilvl w:val="0"/>
          <w:numId w:val="46"/>
        </w:numPr>
        <w:spacing w:line="360" w:lineRule="exact"/>
        <w:rPr>
          <w:rFonts w:ascii="宋体" w:hAnsi="宋体" w:hint="eastAsia"/>
        </w:rPr>
      </w:pPr>
      <w:r>
        <w:rPr>
          <w:rFonts w:ascii="宋体" w:hAnsi="宋体" w:hint="eastAsia"/>
        </w:rPr>
        <w:t>根据主成分以及方差贡献率，</w:t>
      </w:r>
      <w:r>
        <w:rPr>
          <w:rFonts w:ascii="宋体" w:hAnsi="宋体" w:hint="eastAsia"/>
        </w:rPr>
        <w:t>进行深入</w:t>
      </w:r>
      <w:r>
        <w:rPr>
          <w:rFonts w:ascii="宋体" w:hAnsi="宋体" w:hint="eastAsia"/>
        </w:rPr>
        <w:t>分析</w: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选做一个即可</w:t>
      </w:r>
      <w:r>
        <w:rPr>
          <w:rFonts w:ascii="宋体" w:hAnsi="宋体" w:hint="eastAsia"/>
        </w:rPr>
        <w:t>）：</w:t>
      </w:r>
    </w:p>
    <w:p>
      <w:pPr>
        <w:spacing w:line="360" w:lineRule="exact"/>
        <w:ind w:left="720"/>
        <w:rPr>
          <w:rFonts w:ascii="宋体" w:hAnsi="宋体"/>
        </w:rPr>
      </w:pPr>
      <w:r>
        <w:rPr>
          <w:rFonts w:ascii="宋体" w:hAnsi="宋体" w:hint="eastAsia"/>
        </w:rPr>
        <w:t>（A）进行城市综合评价</w:t>
      </w:r>
      <w:r>
        <w:rPr>
          <w:rFonts w:ascii="宋体" w:hAnsi="宋体" w:hint="eastAsia"/>
        </w:rPr>
        <w:t>（可使用主成分进行加权评分）。</w:t>
      </w:r>
    </w:p>
    <w:p>
      <w:pPr>
        <w:spacing w:line="360" w:lineRule="exact"/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（B）</w:t>
      </w:r>
      <w:r>
        <w:rPr>
          <w:rFonts w:ascii="宋体" w:hAnsi="宋体" w:hint="eastAsia"/>
        </w:rPr>
        <w:t>对主成分进行分析归纳（根据主成分表达式以及因子载荷量分析“不可直接检测量”）。</w:t>
      </w:r>
    </w:p>
    <w:p>
      <w:pPr>
        <w:spacing w:line="360" w:lineRule="exact"/>
        <w:rPr>
          <w:rFonts w:ascii="宋体" w:hAnsi="宋体" w:hint="eastAsia"/>
          <w:color w:val="000000"/>
        </w:rPr>
      </w:pPr>
    </w:p>
    <w:p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>
      <w:pPr>
        <w:numPr>
          <w:ilvl w:val="0"/>
          <w:numId w:val="47"/>
        </w:numPr>
        <w:spacing w:line="360" w:lineRule="exact"/>
        <w:rPr>
          <w:bCs/>
          <w:sz w:val="24"/>
        </w:rPr>
      </w:pPr>
      <w:r>
        <w:rPr>
          <w:rFonts w:hint="eastAsia"/>
          <w:bCs/>
          <w:sz w:val="24"/>
        </w:rPr>
        <w:t>为了研究城市</w:t>
      </w:r>
      <w:r>
        <w:rPr>
          <w:rFonts w:hint="eastAsia"/>
          <w:bCs/>
          <w:sz w:val="24"/>
        </w:rPr>
        <w:t>投资与经济发展方面的经济问题，选取的指标为：</w:t>
      </w:r>
      <w:r>
        <w:rPr>
          <w:rFonts w:hint="eastAsia"/>
          <w:bCs/>
          <w:sz w:val="24"/>
        </w:rPr>
        <w:t>人均</w:t>
      </w:r>
      <w:r>
        <w:rPr>
          <w:bCs/>
          <w:sz w:val="24"/>
        </w:rPr>
        <w:t>GDP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（元）、人均工业产值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（元）、地方财政预算内收入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（亿元）、固定资产投资总额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（亿元）、在岗职工占总人口的比例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（％）、在岗职工人均工资额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（元）、城乡居民年底储蓄余额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（亿元）</w:t>
      </w:r>
      <w:r>
        <w:rPr>
          <w:rFonts w:hint="eastAsia"/>
          <w:bCs/>
          <w:sz w:val="24"/>
        </w:rPr>
        <w:t>。</w:t>
      </w:r>
    </w:p>
    <w:p>
      <w:pPr>
        <w:numPr>
          <w:ilvl w:val="0"/>
          <w:numId w:val="47"/>
        </w:numPr>
        <w:spacing w:line="36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lastRenderedPageBreak/>
        <w:t>计算选取的七个指标的相关系数阵并绘制热力图</w:t>
      </w:r>
      <w:r>
        <w:rPr>
          <w:rFonts w:hint="eastAsia"/>
          <w:bCs/>
          <w:sz w:val="24"/>
        </w:rPr>
        <w:t>（图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</w:rPr>
        <w:t>结果如下：</w:t>
      </w:r>
    </w:p>
    <w:tbl>
      <w:tblPr>
        <w:tblW w:w="0" w:type="auto"/>
        <w:jc w:val="center"/>
        <w:tblBorders>
          <w:top w:val="single" w:sz="8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8"/>
        <w:gridCol w:w="999"/>
        <w:gridCol w:w="998"/>
        <w:gridCol w:w="999"/>
        <w:gridCol w:w="998"/>
        <w:gridCol w:w="998"/>
        <w:gridCol w:w="999"/>
        <w:gridCol w:w="998"/>
      </w:tblGrid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x1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x2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x5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x6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x7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x8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x9</w:t>
            </w:r>
          </w:p>
        </w:tc>
      </w:tr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x1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1.0000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0.9915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0.3434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0.2754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0.8399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0.6899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0.2707</w:t>
            </w:r>
          </w:p>
        </w:tc>
      </w:tr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x2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0.9915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1.0000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0.3248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0.2518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0.8189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0.6645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0.2278</w:t>
            </w:r>
          </w:p>
        </w:tc>
      </w:tr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x5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0.3434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0.3248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1.0000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0.9506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0.4400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0.7276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0.9485</w:t>
            </w:r>
          </w:p>
        </w:tc>
      </w:tr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x6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0.2754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0.2518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0.9506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1.0000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0.3703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0.6873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0.9612</w:t>
            </w:r>
          </w:p>
        </w:tc>
      </w:tr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x7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0.8399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0.8189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0.4400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0.3703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1.0000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0.6333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0.4395</w:t>
            </w:r>
          </w:p>
        </w:tc>
      </w:tr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x8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0.6899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0.6645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0.7276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0.6873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0.6333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1.0000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0.6918</w:t>
            </w:r>
          </w:p>
        </w:tc>
      </w:tr>
      <w:tr>
        <w:trPr>
          <w:trHeight w:val="250"/>
          <w:jc w:val="center"/>
        </w:trPr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x9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0.2707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0.2278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0.9485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0.9612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0.4395</w:t>
            </w:r>
          </w:p>
        </w:tc>
        <w:tc>
          <w:tcPr>
            <w:tcW w:w="99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0.6918</w:t>
            </w:r>
          </w:p>
        </w:tc>
        <w:tc>
          <w:tcPr>
            <w:tcW w:w="99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</w:rPr>
              <w:t>1.0000</w:t>
            </w:r>
          </w:p>
        </w:tc>
      </w:tr>
    </w:tbl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Lucida Console" w:hAnsi="Lucida Console" w:cs="宋体"/>
          <w:color w:val="000000"/>
          <w:kern w:val="0"/>
          <w:sz w:val="20"/>
          <w:szCs w:val="20"/>
        </w:rPr>
      </w:pPr>
    </w:p>
    <w:p>
      <w:pPr>
        <w:widowControl/>
        <w:shd w:val="clear" w:color="auto" w:fill="FFFFFF"/>
        <w:tabs>
          <w:tab w:val="left" w:pos="6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4"/>
        </w:rPr>
      </w:pPr>
      <w:r>
        <w:rPr>
          <w:bCs/>
          <w:sz w:val="24"/>
        </w:rPr>
        <w:tab/>
      </w:r>
      <w:r>
        <w:rPr>
          <w:rFonts w:hint="eastAsia"/>
          <w:bCs/>
          <w:sz w:val="24"/>
        </w:rPr>
        <w:t>由相关系数可知，相关性较高的产业有两组，分别是人均</w:t>
      </w:r>
      <w:r>
        <w:rPr>
          <w:bCs/>
          <w:sz w:val="24"/>
        </w:rPr>
        <w:t>GDP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和人均工业产值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地方财政预算内收入、固定资产投资总额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城乡居民年底储蓄余额</w:t>
      </w:r>
      <w:r>
        <w:rPr>
          <w:rFonts w:hint="eastAsia"/>
          <w:bCs/>
          <w:sz w:val="24"/>
        </w:rPr>
        <w:t>。</w:t>
      </w:r>
      <w:r>
        <w:rPr>
          <w:rFonts w:hint="eastAsia"/>
          <w:bCs/>
          <w:sz w:val="24"/>
        </w:rPr>
        <w:t>指标间相关程度高意味着指标主成分分析时会产生较少的主成分，因为大部分的方差可以由这些较少的主成分表示。</w:t>
      </w:r>
    </w:p>
    <w:p>
      <w:pPr>
        <w:widowControl/>
        <w:shd w:val="clear" w:color="auto" w:fill="FFFFFF"/>
        <w:tabs>
          <w:tab w:val="left" w:pos="6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bCs/>
          <w:sz w:val="24"/>
        </w:rPr>
      </w:pPr>
      <w:r>
        <w:rPr>
          <w:bCs/>
          <w:sz w:val="24"/>
        </w:rPr>
        <w:tab/>
      </w:r>
      <w:r>
        <w:rPr>
          <w:rFonts w:hint="eastAsia"/>
          <w:bCs/>
          <w:sz w:val="24"/>
        </w:rPr>
        <w:t>用</w:t>
      </w:r>
      <w:r>
        <w:rPr>
          <w:rFonts w:hint="eastAsia"/>
          <w:bCs/>
          <w:sz w:val="24"/>
        </w:rPr>
        <w:t>R</w:t>
      </w:r>
      <w:r>
        <w:rPr>
          <w:rFonts w:hint="eastAsia"/>
          <w:bCs/>
          <w:sz w:val="24"/>
        </w:rPr>
        <w:t>语言对数据进行主成分分析，对数据进行标准化处理后绘制碎石图</w:t>
      </w:r>
      <w:r>
        <w:rPr>
          <w:rFonts w:hint="eastAsia"/>
          <w:bCs/>
          <w:sz w:val="24"/>
        </w:rPr>
        <w:t>（图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>
        <w:trPr>
          <w:jc w:val="center"/>
        </w:trPr>
        <w:tc>
          <w:tcPr>
            <w:tcW w:w="9854" w:type="dxa"/>
            <w:vAlign w:val="center"/>
          </w:tcPr>
          <w:p>
            <w:pPr>
              <w:widowControl/>
              <w:tabs>
                <w:tab w:val="left" w:pos="6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/>
                <w:bCs/>
                <w:sz w:val="24"/>
              </w:rPr>
            </w:pPr>
            <w:r>
              <w:rPr>
                <w:rFonts w:ascii="等线" w:eastAsia="等线" w:hAnsi="等线" w:hint="eastAsia"/>
                <w:bCs/>
                <w:sz w:val="24"/>
              </w:rPr>
              <w:pict>
                <v:shape id="_x0000_i1034" type="#_x0000_t75" style="width:272.25pt;height:220.15pt">
                  <v:imagedata r:id="rId26" o:title="Rplot01"/>
                </v:shape>
              </w:pict>
            </w:r>
          </w:p>
          <w:p>
            <w:pPr>
              <w:widowControl/>
              <w:tabs>
                <w:tab w:val="left" w:pos="6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 w:hint="eastAsia"/>
                <w:bCs/>
                <w:szCs w:val="21"/>
              </w:rPr>
            </w:pPr>
            <w:r>
              <w:rPr>
                <w:rFonts w:ascii="等线" w:eastAsia="等线" w:hAnsi="等线" w:hint="eastAsia"/>
                <w:bCs/>
                <w:szCs w:val="21"/>
              </w:rPr>
              <w:t>图1</w:t>
            </w:r>
          </w:p>
        </w:tc>
      </w:tr>
      <w:tr>
        <w:trPr>
          <w:jc w:val="center"/>
        </w:trPr>
        <w:tc>
          <w:tcPr>
            <w:tcW w:w="9854" w:type="dxa"/>
            <w:vAlign w:val="center"/>
          </w:tcPr>
          <w:p>
            <w:pPr>
              <w:widowControl/>
              <w:tabs>
                <w:tab w:val="left" w:pos="6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/>
                <w:bCs/>
                <w:sz w:val="24"/>
              </w:rPr>
            </w:pPr>
            <w:r>
              <w:rPr>
                <w:rFonts w:ascii="等线" w:eastAsia="等线" w:hAnsi="等线" w:hint="eastAsia"/>
                <w:bCs/>
                <w:sz w:val="24"/>
              </w:rPr>
              <w:pict>
                <v:shape id="_x0000_i1035" type="#_x0000_t75" style="width:261.4pt;height:211.5pt">
                  <v:imagedata r:id="rId27" o:title="Rplot02"/>
                </v:shape>
              </w:pict>
            </w:r>
          </w:p>
          <w:p>
            <w:pPr>
              <w:widowControl/>
              <w:tabs>
                <w:tab w:val="left" w:pos="6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 w:hint="eastAsia"/>
                <w:bCs/>
                <w:szCs w:val="21"/>
              </w:rPr>
            </w:pPr>
            <w:r>
              <w:rPr>
                <w:rFonts w:ascii="等线" w:eastAsia="等线" w:hAnsi="等线" w:hint="eastAsia"/>
                <w:bCs/>
                <w:szCs w:val="21"/>
              </w:rPr>
              <w:t>图2</w:t>
            </w:r>
          </w:p>
        </w:tc>
      </w:tr>
    </w:tbl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4"/>
        </w:rPr>
      </w:pPr>
      <w:r>
        <w:rPr>
          <w:bCs/>
          <w:sz w:val="24"/>
        </w:rPr>
        <w:lastRenderedPageBreak/>
        <w:tab/>
      </w:r>
      <w:r>
        <w:rPr>
          <w:rFonts w:hint="eastAsia"/>
          <w:bCs/>
          <w:sz w:val="24"/>
        </w:rPr>
        <w:t>由碎石图可知，主成分数目超过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后，实际数据的主成分特征根小于模拟数据和随机采样数据的特征根，因此选取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个主成分。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4"/>
        </w:rPr>
      </w:pPr>
      <w:r>
        <w:rPr>
          <w:bCs/>
          <w:sz w:val="24"/>
        </w:rPr>
        <w:tab/>
      </w:r>
      <w:r>
        <w:rPr>
          <w:rFonts w:hint="eastAsia"/>
          <w:bCs/>
          <w:sz w:val="24"/>
        </w:rPr>
        <w:t>主成分分析后各指标特征值和方差贡献率如下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表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</w:rPr>
        <w:t>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表</w:t>
      </w:r>
      <w:r>
        <w:rPr>
          <w:rFonts w:ascii="宋体" w:hAnsi="宋体" w:hint="eastAsia"/>
          <w:bCs/>
          <w:szCs w:val="21"/>
        </w:rPr>
        <w:t>1</w:t>
      </w:r>
    </w:p>
    <w:tbl>
      <w:tblPr>
        <w:tblW w:w="4189" w:type="dxa"/>
        <w:jc w:val="center"/>
        <w:tblBorders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280"/>
        <w:gridCol w:w="1280"/>
        <w:gridCol w:w="1629"/>
      </w:tblGrid>
      <w:tr>
        <w:trPr>
          <w:divId w:val="1430541586"/>
          <w:trHeight w:val="370"/>
          <w:jc w:val="center"/>
        </w:trPr>
        <w:tc>
          <w:tcPr>
            <w:tcW w:w="12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noWrap/>
            <w:vAlign w:val="center"/>
          </w:tcPr>
          <w:p>
            <w:pPr>
              <w:widowControl/>
              <w:jc w:val="center"/>
              <w:rPr>
                <w:rFonts w:ascii="黑体" w:eastAsia="黑体" w:hAnsi="黑体" w:cs="宋体" w:hint="eastAsia"/>
                <w:kern w:val="0"/>
                <w:sz w:val="24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</w:rPr>
              <w:t>指标</w:t>
            </w:r>
          </w:p>
        </w:tc>
        <w:tc>
          <w:tcPr>
            <w:tcW w:w="12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noWrap/>
            <w:vAlign w:val="center"/>
          </w:tcPr>
          <w:p>
            <w:pPr>
              <w:widowControl/>
              <w:jc w:val="center"/>
              <w:rPr>
                <w:rFonts w:ascii="黑体" w:eastAsia="黑体" w:hAnsi="黑体" w:cs="宋体" w:hint="eastAsia"/>
                <w:kern w:val="0"/>
                <w:sz w:val="24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</w:rPr>
              <w:t>特征根</w:t>
            </w:r>
          </w:p>
        </w:tc>
        <w:tc>
          <w:tcPr>
            <w:tcW w:w="162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noWrap/>
            <w:vAlign w:val="center"/>
          </w:tcPr>
          <w:p>
            <w:pPr>
              <w:widowControl/>
              <w:jc w:val="center"/>
              <w:rPr>
                <w:rFonts w:ascii="黑体" w:eastAsia="黑体" w:hAnsi="黑体" w:cs="宋体" w:hint="eastAsia"/>
                <w:kern w:val="0"/>
                <w:sz w:val="24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</w:rPr>
              <w:t>方差贡献率</w:t>
            </w:r>
          </w:p>
        </w:tc>
      </w:tr>
      <w:tr>
        <w:trPr>
          <w:divId w:val="1430541586"/>
          <w:trHeight w:val="370"/>
          <w:jc w:val="center"/>
        </w:trPr>
        <w:tc>
          <w:tcPr>
            <w:tcW w:w="1280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x1</w:t>
            </w:r>
          </w:p>
        </w:tc>
        <w:tc>
          <w:tcPr>
            <w:tcW w:w="1280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4.5999</w:t>
            </w:r>
          </w:p>
        </w:tc>
        <w:tc>
          <w:tcPr>
            <w:tcW w:w="1629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65.71%</w:t>
            </w:r>
          </w:p>
        </w:tc>
      </w:tr>
      <w:tr>
        <w:trPr>
          <w:divId w:val="1430541586"/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x2</w:t>
            </w:r>
          </w:p>
        </w:tc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1.8772</w:t>
            </w:r>
          </w:p>
        </w:tc>
        <w:tc>
          <w:tcPr>
            <w:tcW w:w="1629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26.82%</w:t>
            </w:r>
          </w:p>
        </w:tc>
      </w:tr>
      <w:tr>
        <w:trPr>
          <w:divId w:val="1430541586"/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x3</w:t>
            </w:r>
          </w:p>
        </w:tc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0.2871</w:t>
            </w:r>
          </w:p>
        </w:tc>
        <w:tc>
          <w:tcPr>
            <w:tcW w:w="1629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4.10%</w:t>
            </w:r>
          </w:p>
        </w:tc>
      </w:tr>
      <w:tr>
        <w:trPr>
          <w:divId w:val="1430541586"/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x4</w:t>
            </w:r>
          </w:p>
        </w:tc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0.1574</w:t>
            </w:r>
          </w:p>
        </w:tc>
        <w:tc>
          <w:tcPr>
            <w:tcW w:w="1629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2.25%</w:t>
            </w:r>
          </w:p>
        </w:tc>
      </w:tr>
      <w:tr>
        <w:trPr>
          <w:divId w:val="1430541586"/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x5</w:t>
            </w:r>
          </w:p>
        </w:tc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0.0492</w:t>
            </w:r>
          </w:p>
        </w:tc>
        <w:tc>
          <w:tcPr>
            <w:tcW w:w="1629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0.70%</w:t>
            </w:r>
          </w:p>
        </w:tc>
      </w:tr>
      <w:tr>
        <w:trPr>
          <w:divId w:val="1430541586"/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x6</w:t>
            </w:r>
          </w:p>
        </w:tc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0.0253</w:t>
            </w:r>
          </w:p>
        </w:tc>
        <w:tc>
          <w:tcPr>
            <w:tcW w:w="1629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0.36%</w:t>
            </w:r>
          </w:p>
        </w:tc>
      </w:tr>
      <w:tr>
        <w:trPr>
          <w:divId w:val="1430541586"/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x7</w:t>
            </w:r>
          </w:p>
        </w:tc>
        <w:tc>
          <w:tcPr>
            <w:tcW w:w="0" w:type="auto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0.0037</w:t>
            </w:r>
          </w:p>
        </w:tc>
        <w:tc>
          <w:tcPr>
            <w:tcW w:w="1629" w:type="dxa"/>
            <w:noWrap/>
            <w:vAlign w:val="center"/>
            <w:hideMark/>
          </w:tcPr>
          <w:p>
            <w:pPr>
              <w:widowControl/>
              <w:jc w:val="center"/>
              <w:rPr>
                <w:rFonts w:ascii="宋体" w:eastAsia="等线" w:hAnsi="宋体" w:cs="宋体" w:hint="eastAsia"/>
                <w:kern w:val="0"/>
                <w:sz w:val="24"/>
              </w:rPr>
            </w:pPr>
            <w:r>
              <w:rPr>
                <w:rFonts w:ascii="宋体" w:eastAsia="等线" w:hAnsi="宋体" w:cs="宋体" w:hint="eastAsia"/>
                <w:kern w:val="0"/>
                <w:sz w:val="24"/>
              </w:rPr>
              <w:t>0.05%</w:t>
            </w:r>
          </w:p>
        </w:tc>
      </w:tr>
    </w:tbl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4"/>
        </w:rPr>
      </w:pPr>
      <w:r>
        <w:rPr>
          <w:bCs/>
          <w:sz w:val="24"/>
        </w:rPr>
        <w:tab/>
      </w:r>
      <w:r>
        <w:rPr>
          <w:rFonts w:hint="eastAsia"/>
          <w:bCs/>
          <w:sz w:val="24"/>
        </w:rPr>
        <w:t>选取两个主成分后，方差总贡献率达到</w:t>
      </w:r>
      <w:r>
        <w:rPr>
          <w:rFonts w:hint="eastAsia"/>
          <w:bCs/>
          <w:sz w:val="24"/>
        </w:rPr>
        <w:t>9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.</w:t>
      </w:r>
      <w:r>
        <w:rPr>
          <w:bCs/>
          <w:sz w:val="24"/>
        </w:rPr>
        <w:t>53</w:t>
      </w:r>
      <w:r>
        <w:rPr>
          <w:rFonts w:hint="eastAsia"/>
          <w:bCs/>
          <w:sz w:val="24"/>
        </w:rPr>
        <w:t>%</w:t>
      </w:r>
      <w:r>
        <w:rPr>
          <w:rFonts w:hint="eastAsia"/>
          <w:bCs/>
          <w:sz w:val="24"/>
        </w:rPr>
        <w:t>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bCs/>
          <w:sz w:val="24"/>
        </w:rPr>
      </w:pP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4"/>
        </w:rPr>
      </w:pPr>
    </w:p>
    <w:p>
      <w:pPr>
        <w:widowControl/>
        <w:numPr>
          <w:ilvl w:val="0"/>
          <w:numId w:val="4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4"/>
        </w:rPr>
      </w:pPr>
      <w:r>
        <w:rPr>
          <w:rFonts w:hint="eastAsia"/>
          <w:bCs/>
          <w:sz w:val="24"/>
        </w:rPr>
        <w:t>主成分载荷矩阵</w:t>
      </w:r>
      <w:r>
        <w:rPr>
          <w:rFonts w:hint="eastAsia"/>
          <w:bCs/>
          <w:sz w:val="24"/>
        </w:rPr>
        <w:t>（表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）和主成分得分矩阵（表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</w:rPr>
        <w:t>如下</w:t>
      </w:r>
      <w:r>
        <w:rPr>
          <w:rFonts w:hint="eastAsia"/>
          <w:bCs/>
          <w:sz w:val="24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7"/>
        <w:gridCol w:w="4567"/>
      </w:tblGrid>
      <w:tr>
        <w:trPr>
          <w:jc w:val="center"/>
        </w:trPr>
        <w:tc>
          <w:tcPr>
            <w:tcW w:w="9134" w:type="dxa"/>
            <w:gridSpan w:val="2"/>
            <w:vAlign w:val="center"/>
          </w:tcPr>
          <w:p>
            <w:pPr>
              <w:widowControl/>
              <w:tabs>
                <w:tab w:val="left" w:pos="6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 w:hint="eastAsia"/>
                <w:bCs/>
                <w:szCs w:val="21"/>
              </w:rPr>
            </w:pPr>
            <w:r>
              <w:rPr>
                <w:rFonts w:ascii="等线" w:eastAsia="等线" w:hAnsi="等线" w:hint="eastAsia"/>
                <w:bCs/>
                <w:szCs w:val="21"/>
              </w:rPr>
              <w:t>表2</w:t>
            </w:r>
          </w:p>
          <w:tbl>
            <w:tblPr>
              <w:tblW w:w="3840" w:type="dxa"/>
              <w:jc w:val="center"/>
              <w:tblBorders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280"/>
              <w:gridCol w:w="1280"/>
              <w:gridCol w:w="1280"/>
            </w:tblGrid>
            <w:tr>
              <w:trPr>
                <w:trHeight w:val="300"/>
                <w:jc w:val="center"/>
              </w:trPr>
              <w:tc>
                <w:tcPr>
                  <w:tcW w:w="128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PC1</w:t>
                  </w:r>
                </w:p>
              </w:tc>
              <w:tc>
                <w:tcPr>
                  <w:tcW w:w="128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PC2</w:t>
                  </w:r>
                </w:p>
              </w:tc>
            </w:tr>
            <w:tr>
              <w:trPr>
                <w:trHeight w:val="30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x1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0.765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0.625</w:t>
                  </w:r>
                </w:p>
              </w:tc>
            </w:tr>
            <w:tr>
              <w:trPr>
                <w:trHeight w:val="30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x2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0.742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0.645</w:t>
                  </w:r>
                </w:p>
              </w:tc>
            </w:tr>
            <w:tr>
              <w:trPr>
                <w:trHeight w:val="30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x5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0.846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-0.493</w:t>
                  </w:r>
                </w:p>
              </w:tc>
            </w:tr>
            <w:tr>
              <w:trPr>
                <w:trHeight w:val="30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x6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0.804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-0.564</w:t>
                  </w:r>
                </w:p>
              </w:tc>
            </w:tr>
            <w:tr>
              <w:trPr>
                <w:trHeight w:val="30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x7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0.791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0.447</w:t>
                  </w:r>
                </w:p>
              </w:tc>
            </w:tr>
            <w:tr>
              <w:trPr>
                <w:trHeight w:val="30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x8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0.903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NULL</w:t>
                  </w:r>
                </w:p>
              </w:tc>
            </w:tr>
            <w:tr>
              <w:trPr>
                <w:trHeight w:val="30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x9</w:t>
                  </w:r>
                </w:p>
              </w:tc>
              <w:tc>
                <w:tcPr>
                  <w:tcW w:w="128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24"/>
                    </w:rPr>
                    <w:t>0.812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eastAsia="等线" w:hAnsi="宋体" w:cs="宋体" w:hint="eastAsia"/>
                      <w:kern w:val="0"/>
                      <w:sz w:val="24"/>
                    </w:rPr>
                    <w:t>-0.556</w:t>
                  </w:r>
                </w:p>
              </w:tc>
            </w:tr>
          </w:tbl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 w:hint="eastAsia"/>
                <w:bCs/>
                <w:sz w:val="24"/>
              </w:rPr>
            </w:pPr>
          </w:p>
        </w:tc>
      </w:tr>
      <w:tr>
        <w:trPr>
          <w:jc w:val="center"/>
        </w:trPr>
        <w:tc>
          <w:tcPr>
            <w:tcW w:w="9134" w:type="dxa"/>
            <w:gridSpan w:val="2"/>
            <w:vAlign w:val="center"/>
          </w:tcPr>
          <w:p>
            <w:pPr>
              <w:widowControl/>
              <w:tabs>
                <w:tab w:val="left" w:pos="6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 w:hint="eastAsia"/>
                <w:bCs/>
                <w:szCs w:val="21"/>
              </w:rPr>
            </w:pPr>
            <w:r>
              <w:rPr>
                <w:rFonts w:ascii="等线" w:eastAsia="等线" w:hAnsi="等线" w:hint="eastAsia"/>
                <w:bCs/>
                <w:szCs w:val="21"/>
              </w:rPr>
              <w:t>表3</w:t>
            </w:r>
          </w:p>
        </w:tc>
      </w:tr>
      <w:tr>
        <w:trPr>
          <w:jc w:val="center"/>
        </w:trPr>
        <w:tc>
          <w:tcPr>
            <w:tcW w:w="4567" w:type="dxa"/>
            <w:vAlign w:val="center"/>
          </w:tcPr>
          <w:tbl>
            <w:tblPr>
              <w:tblW w:w="3120" w:type="dxa"/>
              <w:jc w:val="center"/>
              <w:tblBorders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040"/>
              <w:gridCol w:w="1040"/>
              <w:gridCol w:w="1040"/>
            </w:tblGrid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城市</w:t>
                  </w:r>
                </w:p>
              </w:tc>
              <w:tc>
                <w:tcPr>
                  <w:tcW w:w="104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PC1</w:t>
                  </w:r>
                </w:p>
              </w:tc>
              <w:tc>
                <w:tcPr>
                  <w:tcW w:w="104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PC2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北京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2.0797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-1.8797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天津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0.3137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-0.2826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石家庄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-0.6207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-0.1369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太原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-0.5292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0.3727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呼和浩特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-0.6675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0.2933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沈阳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-0.2717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-0.1150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大连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-0.1396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0.0879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长春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-0.5417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0.1244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哈尔滨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-0.4713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-0.0693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上海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2.4635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-2.3051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南京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0.2151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-0.0316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杭州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0.3260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-0.0456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宁波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0.1616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0.1024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合肥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-0.7504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0.0216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福州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-0.4338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0.0700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厦门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0.3932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1.5625 </w:t>
                  </w:r>
                </w:p>
              </w:tc>
            </w:tr>
            <w:tr>
              <w:trPr>
                <w:divId w:val="80369887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南昌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-0.7003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0.1053 </w:t>
                  </w:r>
                </w:p>
              </w:tc>
            </w:tr>
            <w:tr>
              <w:trPr>
                <w:divId w:val="80369887"/>
                <w:trHeight w:val="29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lastRenderedPageBreak/>
                    <w:t>济南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-0.3484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0.1058 </w:t>
                  </w:r>
                </w:p>
              </w:tc>
            </w:tr>
            <w:tr>
              <w:trPr>
                <w:divId w:val="80369887"/>
                <w:trHeight w:val="29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青岛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-0.2177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0.0607 </w:t>
                  </w:r>
                </w:p>
              </w:tc>
            </w:tr>
          </w:tbl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等线" w:eastAsia="等线" w:hAnsi="等线" w:hint="eastAsia"/>
                <w:bCs/>
                <w:sz w:val="24"/>
              </w:rPr>
            </w:pPr>
          </w:p>
        </w:tc>
        <w:tc>
          <w:tcPr>
            <w:tcW w:w="4567" w:type="dxa"/>
            <w:vAlign w:val="center"/>
          </w:tcPr>
          <w:tbl>
            <w:tblPr>
              <w:tblW w:w="3120" w:type="dxa"/>
              <w:jc w:val="center"/>
              <w:tblBorders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040"/>
              <w:gridCol w:w="1040"/>
              <w:gridCol w:w="1040"/>
            </w:tblGrid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lastRenderedPageBreak/>
                    <w:t>城市</w:t>
                  </w:r>
                </w:p>
              </w:tc>
              <w:tc>
                <w:tcPr>
                  <w:tcW w:w="104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PC1</w:t>
                  </w:r>
                </w:p>
              </w:tc>
              <w:tc>
                <w:tcPr>
                  <w:tcW w:w="104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PC2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郑州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-0.5129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-0.0484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武汉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-0.2808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-0.0866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长沙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-0.4668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-0.1064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广州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1.2713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-0.3615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深圳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3.4141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4.2821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南宁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-0.8297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-0.0315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海口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-0.6344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0.4009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重庆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-0.2700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-1.0830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成都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-0.2575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-0.4255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贵阳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-0.7089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0.1730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昆明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-0.5202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0.0593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西安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-0.4605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-0.1228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兰州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-0.6034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0.3184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西宁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-0.8364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0.1508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银川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-0.6393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0.4328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乌鲁木齐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-0.3185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0.5701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南宁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2.0797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-1.8797 </w:t>
                  </w:r>
                </w:p>
              </w:tc>
            </w:tr>
            <w:tr>
              <w:trPr>
                <w:divId w:val="1859155596"/>
                <w:trHeight w:val="280"/>
                <w:jc w:val="center"/>
              </w:trPr>
              <w:tc>
                <w:tcPr>
                  <w:tcW w:w="1040" w:type="dxa"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eastAsia="等线" w:hAnsi="宋体" w:cs="宋体" w:hint="eastAsia"/>
                      <w:color w:val="000000"/>
                      <w:kern w:val="0"/>
                      <w:sz w:val="18"/>
                      <w:szCs w:val="18"/>
                    </w:rPr>
                    <w:lastRenderedPageBreak/>
                    <w:t>海口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0.3137 </w:t>
                  </w:r>
                </w:p>
              </w:tc>
              <w:tc>
                <w:tcPr>
                  <w:tcW w:w="1040" w:type="dxa"/>
                  <w:noWrap/>
                  <w:vAlign w:val="center"/>
                  <w:hideMark/>
                </w:tcPr>
                <w:p>
                  <w:pPr>
                    <w:widowControl/>
                    <w:jc w:val="righ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-0.2826 </w:t>
                  </w:r>
                </w:p>
              </w:tc>
            </w:tr>
          </w:tbl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等线" w:eastAsia="等线" w:hAnsi="等线" w:hint="eastAsia"/>
                <w:bCs/>
                <w:sz w:val="24"/>
              </w:rPr>
            </w:pPr>
          </w:p>
        </w:tc>
      </w:tr>
    </w:tbl>
    <w:p>
      <w:pPr>
        <w:widowControl/>
        <w:shd w:val="clear" w:color="auto" w:fill="FFFFFF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firstLineChars="400" w:firstLine="96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lastRenderedPageBreak/>
        <w:t>可以看出，第一个主成分中</w:t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8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系数绝对值相对较大，第二主成分中</w:t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系数绝对值相对较大。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center"/>
        <w:rPr>
          <w:bCs/>
          <w:sz w:val="24"/>
        </w:rPr>
      </w:pPr>
      <w:r>
        <w:rPr>
          <w:rFonts w:hint="eastAsia"/>
          <w:bCs/>
          <w:sz w:val="24"/>
        </w:rPr>
        <w:t>进行城市综合评价，主成分中特征根占比为权重系数，构造综合评价函数</w:t>
      </w:r>
      <w:r>
        <w:rPr>
          <w:rFonts w:hint="eastAsia"/>
          <w:bCs/>
          <w:sz w:val="24"/>
        </w:rPr>
        <w:t>为</w:t>
      </w:r>
      <w:r>
        <w:rPr>
          <w:bCs/>
          <w:position w:val="-12"/>
          <w:sz w:val="24"/>
        </w:rPr>
        <w:object w:dxaOrig="2691" w:dyaOrig="358">
          <v:shape id="_x0000_i1036" type="#_x0000_t75" style="width:134.65pt;height:18pt" o:ole="">
            <v:imagedata r:id="rId28" o:title=""/>
          </v:shape>
          <o:OLEObject Type="Embed" ProgID="Equation.AxMath" ShapeID="_x0000_i1036" DrawAspect="Content" ObjectID="_1851440794" r:id="rId29"/>
        </w:objec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center"/>
        <w:rPr>
          <w:bCs/>
          <w:sz w:val="24"/>
        </w:rPr>
      </w:pPr>
      <w:r>
        <w:rPr>
          <w:rFonts w:hint="eastAsia"/>
          <w:bCs/>
          <w:sz w:val="24"/>
        </w:rPr>
        <w:t>其中，</w:t>
      </w:r>
      <w:r>
        <w:rPr>
          <w:bCs/>
          <w:position w:val="-27"/>
          <w:sz w:val="24"/>
        </w:rPr>
        <w:object w:dxaOrig="3122" w:dyaOrig="663">
          <v:shape id="_x0000_i1037" type="#_x0000_t75" style="width:156pt;height:33pt" o:ole="">
            <v:imagedata r:id="rId30" o:title=""/>
          </v:shape>
          <o:OLEObject Type="Embed" ProgID="Equation.AxMath" ShapeID="_x0000_i1037" DrawAspect="Content" ObjectID="_1851440795" r:id="rId31"/>
        </w:object>
      </w:r>
      <w:r>
        <w:rPr>
          <w:rFonts w:hint="eastAsia"/>
          <w:bCs/>
          <w:sz w:val="24"/>
        </w:rPr>
        <w:t>.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="720"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>对</w:t>
      </w:r>
      <w:r>
        <w:rPr>
          <w:rFonts w:hint="eastAsia"/>
          <w:bCs/>
          <w:sz w:val="24"/>
        </w:rPr>
        <w:t>各城市</w:t>
      </w:r>
      <w:r>
        <w:rPr>
          <w:rFonts w:hint="eastAsia"/>
          <w:bCs/>
          <w:sz w:val="24"/>
        </w:rPr>
        <w:t>进行</w:t>
      </w:r>
      <w:r>
        <w:rPr>
          <w:rFonts w:hint="eastAsia"/>
          <w:bCs/>
          <w:sz w:val="24"/>
        </w:rPr>
        <w:t>综合评价</w:t>
      </w:r>
      <w:r>
        <w:rPr>
          <w:rFonts w:hint="eastAsia"/>
          <w:bCs/>
          <w:sz w:val="24"/>
        </w:rPr>
        <w:t>得分</w:t>
      </w:r>
      <w:r>
        <w:rPr>
          <w:rFonts w:hint="eastAsia"/>
          <w:bCs/>
          <w:sz w:val="24"/>
        </w:rPr>
        <w:t>由高到低排序（表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</w:rPr>
        <w:t>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7"/>
        <w:gridCol w:w="4567"/>
      </w:tblGrid>
      <w:tr>
        <w:trPr>
          <w:jc w:val="center"/>
        </w:trPr>
        <w:tc>
          <w:tcPr>
            <w:tcW w:w="9134" w:type="dxa"/>
            <w:gridSpan w:val="2"/>
            <w:vAlign w:val="center"/>
          </w:tcPr>
          <w:p>
            <w:pPr>
              <w:widowControl/>
              <w:tabs>
                <w:tab w:val="left" w:pos="6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等线" w:eastAsia="等线" w:hAnsi="等线" w:hint="eastAsia"/>
                <w:bCs/>
                <w:szCs w:val="21"/>
              </w:rPr>
            </w:pPr>
            <w:r>
              <w:rPr>
                <w:rFonts w:ascii="等线" w:eastAsia="等线" w:hAnsi="等线" w:hint="eastAsia"/>
                <w:bCs/>
                <w:szCs w:val="21"/>
              </w:rPr>
              <w:t>表4</w:t>
            </w:r>
          </w:p>
        </w:tc>
      </w:tr>
      <w:tr>
        <w:trPr>
          <w:jc w:val="center"/>
        </w:trPr>
        <w:tc>
          <w:tcPr>
            <w:tcW w:w="4567" w:type="dxa"/>
            <w:vAlign w:val="center"/>
          </w:tcPr>
          <w:tbl>
            <w:tblPr>
              <w:tblW w:w="2755" w:type="dxa"/>
              <w:jc w:val="center"/>
              <w:tblBorders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390"/>
              <w:gridCol w:w="1365"/>
            </w:tblGrid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城市</w:t>
                  </w:r>
                </w:p>
              </w:tc>
              <w:tc>
                <w:tcPr>
                  <w:tcW w:w="1365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综合得分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深圳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3.6656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上海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1.0815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北京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0.9321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南宁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0.9321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广州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0.7981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厦门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0.7321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南宁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-0.5984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西宁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-0.5503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合肥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-0.5267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重庆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-0.5056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石家庄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-0.4805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南昌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-0.4668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贵阳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-0.4533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呼和浩特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-0.3890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郑州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-0.3783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西安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-0.3626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长沙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-0.3624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哈尔滨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-0.3548 </w:t>
                  </w:r>
                </w:p>
              </w:tc>
            </w:tr>
            <w:tr>
              <w:trPr>
                <w:divId w:val="1499154487"/>
                <w:trHeight w:val="280"/>
                <w:jc w:val="center"/>
              </w:trPr>
              <w:tc>
                <w:tcPr>
                  <w:tcW w:w="1390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昆明</w:t>
                  </w:r>
                </w:p>
              </w:tc>
              <w:tc>
                <w:tcPr>
                  <w:tcW w:w="1365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-0.3522 </w:t>
                  </w:r>
                </w:p>
              </w:tc>
            </w:tr>
          </w:tbl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等线" w:eastAsia="等线" w:hAnsi="等线" w:hint="eastAsia"/>
                <w:bCs/>
                <w:sz w:val="24"/>
              </w:rPr>
            </w:pPr>
          </w:p>
        </w:tc>
        <w:tc>
          <w:tcPr>
            <w:tcW w:w="4567" w:type="dxa"/>
            <w:vAlign w:val="center"/>
          </w:tcPr>
          <w:tbl>
            <w:tblPr>
              <w:tblW w:w="2456" w:type="dxa"/>
              <w:jc w:val="center"/>
              <w:tblBorders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207"/>
              <w:gridCol w:w="1249"/>
            </w:tblGrid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城市</w:t>
                  </w:r>
                </w:p>
              </w:tc>
              <w:tc>
                <w:tcPr>
                  <w:tcW w:w="1249" w:type="dxa"/>
                  <w:tcBorders>
                    <w:top w:val="single" w:sz="12" w:space="0" w:color="auto"/>
                    <w:left w:val="nil"/>
                    <w:bottom w:val="single" w:sz="6" w:space="0" w:color="auto"/>
                    <w:right w:val="nil"/>
                    <w:tl2br w:val="nil"/>
                    <w:tr2bl w:val="nil"/>
                  </w:tcBorders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综合得分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长春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-0.3487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兰州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-0.3362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海口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-0.3344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银川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-0.3286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成都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-0.3062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福州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-0.2878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太原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-0.2678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沈阳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-0.2263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武汉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-0.2245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杭州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0.2183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济南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-0.2168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宁波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0.1445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南京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0.1436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天津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0.1409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海口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0.1409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青岛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-0.1370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大连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-0.0737 </w:t>
                  </w:r>
                </w:p>
              </w:tc>
            </w:tr>
            <w:tr>
              <w:trPr>
                <w:divId w:val="1452482224"/>
                <w:trHeight w:val="280"/>
                <w:jc w:val="center"/>
              </w:trPr>
              <w:tc>
                <w:tcPr>
                  <w:tcW w:w="1207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乌鲁木齐</w:t>
                  </w:r>
                </w:p>
              </w:tc>
              <w:tc>
                <w:tcPr>
                  <w:tcW w:w="1249" w:type="dxa"/>
                  <w:noWrap/>
                  <w:vAlign w:val="center"/>
                  <w:hideMark/>
                </w:tcPr>
                <w:p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 xml:space="preserve">-0.0609 </w:t>
                  </w:r>
                </w:p>
              </w:tc>
            </w:tr>
          </w:tbl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等线" w:eastAsia="等线" w:hAnsi="等线" w:hint="eastAsia"/>
                <w:bCs/>
                <w:sz w:val="24"/>
              </w:rPr>
            </w:pPr>
          </w:p>
        </w:tc>
      </w:tr>
    </w:tbl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="720" w:firstLineChars="100" w:firstLine="240"/>
        <w:rPr>
          <w:bCs/>
          <w:sz w:val="24"/>
        </w:rPr>
      </w:pPr>
    </w:p>
    <w:p>
      <w:pPr>
        <w:widowControl/>
        <w:shd w:val="clear" w:color="auto" w:fill="FFFFFF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="720"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从城市综合评价表可以看出，排名前三的分别是深圳、上海、北京，均为城市投资大、经济发展迅猛的大都市，与所研究经济问题预期结果一致，即主成分分析及其综合评价效果良好。</w:t>
      </w:r>
    </w:p>
    <w:p>
      <w:pPr>
        <w:widowControl/>
        <w:shd w:val="clear" w:color="auto" w:fill="FFFFFF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ind w:left="720" w:firstLineChars="200" w:firstLine="48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对城市进行主成分分析后综合评价有利于对城市发展状况作出预估，及时调整城市发展策略，对未来城市规划发展也具有参考意义。</w:t>
      </w:r>
    </w:p>
    <w:sectPr>
      <w:footerReference w:type="even" r:id="rId32"/>
      <w:footerReference w:type="default" r:id="rId33"/>
      <w:pgSz w:w="11906" w:h="16838" w:code="9"/>
      <w:pgMar w:top="1247" w:right="1134" w:bottom="936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3</w:t>
    </w:r>
    <w:r>
      <w:rPr>
        <w:rStyle w:val="a7"/>
      </w:rPr>
      <w:fldChar w:fldCharType="end"/>
    </w:r>
  </w:p>
  <w:p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D0C94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C089B"/>
    <w:multiLevelType w:val="hybridMultilevel"/>
    <w:tmpl w:val="776CF2B6"/>
    <w:lvl w:ilvl="0" w:tplc="5DCA8C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6E1977"/>
    <w:multiLevelType w:val="multilevel"/>
    <w:tmpl w:val="E142241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%1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236A547B"/>
    <w:multiLevelType w:val="hybridMultilevel"/>
    <w:tmpl w:val="8DDE23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5D92372"/>
    <w:multiLevelType w:val="hybridMultilevel"/>
    <w:tmpl w:val="199CF8B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5" w15:restartNumberingAfterBreak="0">
    <w:nsid w:val="2AEB4689"/>
    <w:multiLevelType w:val="hybridMultilevel"/>
    <w:tmpl w:val="7FF8E16A"/>
    <w:lvl w:ilvl="0" w:tplc="EC76FC3A">
      <w:start w:val="1"/>
      <w:numFmt w:val="japaneseCounting"/>
      <w:lvlText w:val="%1、"/>
      <w:lvlJc w:val="left"/>
      <w:pPr>
        <w:ind w:left="680" w:hanging="26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6" w15:restartNumberingAfterBreak="0">
    <w:nsid w:val="2B7C7300"/>
    <w:multiLevelType w:val="hybridMultilevel"/>
    <w:tmpl w:val="18A0F89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7" w15:restartNumberingAfterBreak="0">
    <w:nsid w:val="2DA302B2"/>
    <w:multiLevelType w:val="hybridMultilevel"/>
    <w:tmpl w:val="F27AC9DC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9CE8D5C2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0D21DC7"/>
    <w:multiLevelType w:val="hybridMultilevel"/>
    <w:tmpl w:val="02804B8A"/>
    <w:lvl w:ilvl="0" w:tplc="04090019">
      <w:start w:val="1"/>
      <w:numFmt w:val="lowerLetter"/>
      <w:lvlText w:val="%1)"/>
      <w:lvlJc w:val="left"/>
      <w:pPr>
        <w:ind w:left="610" w:hanging="42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9" w15:restartNumberingAfterBreak="0">
    <w:nsid w:val="312A44A7"/>
    <w:multiLevelType w:val="hybridMultilevel"/>
    <w:tmpl w:val="EB22FB0E"/>
    <w:lvl w:ilvl="0" w:tplc="E03273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7022A7"/>
    <w:multiLevelType w:val="hybridMultilevel"/>
    <w:tmpl w:val="38A0A8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C7E1DEC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359116C"/>
    <w:multiLevelType w:val="hybridMultilevel"/>
    <w:tmpl w:val="D250FBE6"/>
    <w:lvl w:ilvl="0" w:tplc="0256031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DF0798"/>
    <w:multiLevelType w:val="hybridMultilevel"/>
    <w:tmpl w:val="45D2E3A8"/>
    <w:lvl w:ilvl="0" w:tplc="31EA50D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7755C4"/>
    <w:multiLevelType w:val="hybridMultilevel"/>
    <w:tmpl w:val="F31E6B7A"/>
    <w:lvl w:ilvl="0" w:tplc="8E68D7F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4" w15:restartNumberingAfterBreak="0">
    <w:nsid w:val="36297530"/>
    <w:multiLevelType w:val="hybridMultilevel"/>
    <w:tmpl w:val="61709E8C"/>
    <w:lvl w:ilvl="0" w:tplc="26EEDF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8240214"/>
    <w:multiLevelType w:val="hybridMultilevel"/>
    <w:tmpl w:val="9AD8B5B2"/>
    <w:lvl w:ilvl="0" w:tplc="3D02FB26">
      <w:start w:val="1"/>
      <w:numFmt w:val="decimal"/>
      <w:lvlText w:val="(%1)"/>
      <w:lvlJc w:val="left"/>
      <w:pPr>
        <w:ind w:left="851" w:hanging="431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893171F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AF043F9"/>
    <w:multiLevelType w:val="hybridMultilevel"/>
    <w:tmpl w:val="21DC4322"/>
    <w:lvl w:ilvl="0" w:tplc="88A6F10C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18" w15:restartNumberingAfterBreak="0">
    <w:nsid w:val="3B277AB5"/>
    <w:multiLevelType w:val="hybridMultilevel"/>
    <w:tmpl w:val="6A84CE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C5D7DC8"/>
    <w:multiLevelType w:val="hybridMultilevel"/>
    <w:tmpl w:val="50DEAE3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BCC0BD16">
      <w:start w:val="2"/>
      <w:numFmt w:val="japaneseCounting"/>
      <w:lvlText w:val="%2、"/>
      <w:lvlJc w:val="left"/>
      <w:pPr>
        <w:tabs>
          <w:tab w:val="num" w:pos="792"/>
        </w:tabs>
        <w:ind w:left="79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1757245"/>
    <w:multiLevelType w:val="hybridMultilevel"/>
    <w:tmpl w:val="1DAC95F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21" w15:restartNumberingAfterBreak="0">
    <w:nsid w:val="44E55046"/>
    <w:multiLevelType w:val="hybridMultilevel"/>
    <w:tmpl w:val="E132C470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79B6A6AC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7F54F05"/>
    <w:multiLevelType w:val="hybridMultilevel"/>
    <w:tmpl w:val="4DC057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BFD7EEB"/>
    <w:multiLevelType w:val="hybridMultilevel"/>
    <w:tmpl w:val="91AA956E"/>
    <w:lvl w:ilvl="0" w:tplc="B4AA78F6">
      <w:start w:val="1"/>
      <w:numFmt w:val="decimal"/>
      <w:lvlText w:val="(%1)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C7E485A"/>
    <w:multiLevelType w:val="hybridMultilevel"/>
    <w:tmpl w:val="E7F43DF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E566EAB"/>
    <w:multiLevelType w:val="hybridMultilevel"/>
    <w:tmpl w:val="45D2F1CA"/>
    <w:lvl w:ilvl="0" w:tplc="5268E170">
      <w:start w:val="2"/>
      <w:numFmt w:val="japaneseCounting"/>
      <w:lvlText w:val="%1、"/>
      <w:lvlJc w:val="left"/>
      <w:pPr>
        <w:ind w:left="52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FA82B5C"/>
    <w:multiLevelType w:val="hybridMultilevel"/>
    <w:tmpl w:val="327049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E28FE76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FF663AD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9E78CDBA" w:tentative="1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28" w15:restartNumberingAfterBreak="0">
    <w:nsid w:val="53C16990"/>
    <w:multiLevelType w:val="hybridMultilevel"/>
    <w:tmpl w:val="841C9948"/>
    <w:lvl w:ilvl="0" w:tplc="BDF4B2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53D43DA9"/>
    <w:multiLevelType w:val="hybridMultilevel"/>
    <w:tmpl w:val="20388612"/>
    <w:lvl w:ilvl="0" w:tplc="9FCE119E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50D1DA3"/>
    <w:multiLevelType w:val="hybridMultilevel"/>
    <w:tmpl w:val="1568745E"/>
    <w:lvl w:ilvl="0" w:tplc="7EF86B7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1" w15:restartNumberingAfterBreak="0">
    <w:nsid w:val="558F1308"/>
    <w:multiLevelType w:val="hybridMultilevel"/>
    <w:tmpl w:val="FD6A95E2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AACCC7C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9BC4BBA"/>
    <w:multiLevelType w:val="hybridMultilevel"/>
    <w:tmpl w:val="6BC017D8"/>
    <w:lvl w:ilvl="0" w:tplc="6ECE56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F26915"/>
    <w:multiLevelType w:val="hybridMultilevel"/>
    <w:tmpl w:val="13D2DD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E68179A"/>
    <w:multiLevelType w:val="hybridMultilevel"/>
    <w:tmpl w:val="5EB4B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0782C62"/>
    <w:multiLevelType w:val="hybridMultilevel"/>
    <w:tmpl w:val="646864EA"/>
    <w:lvl w:ilvl="0" w:tplc="CAC2FBD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F8D6B4F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952482A"/>
    <w:multiLevelType w:val="hybridMultilevel"/>
    <w:tmpl w:val="91C49D0A"/>
    <w:lvl w:ilvl="0" w:tplc="05248598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96B0E70"/>
    <w:multiLevelType w:val="hybridMultilevel"/>
    <w:tmpl w:val="A99E8210"/>
    <w:lvl w:ilvl="0" w:tplc="535C4D3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8" w15:restartNumberingAfterBreak="0">
    <w:nsid w:val="6A8E04FC"/>
    <w:multiLevelType w:val="hybridMultilevel"/>
    <w:tmpl w:val="A894E44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FCC23B8"/>
    <w:multiLevelType w:val="hybridMultilevel"/>
    <w:tmpl w:val="966C3FCC"/>
    <w:lvl w:ilvl="0" w:tplc="2ADC9BEE">
      <w:start w:val="5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FFE43A4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2266470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42" w15:restartNumberingAfterBreak="0">
    <w:nsid w:val="743B545F"/>
    <w:multiLevelType w:val="hybridMultilevel"/>
    <w:tmpl w:val="809697C4"/>
    <w:lvl w:ilvl="0" w:tplc="5B4E1624">
      <w:start w:val="1"/>
      <w:numFmt w:val="bullet"/>
      <w:lvlText w:val=""/>
      <w:lvlJc w:val="left"/>
      <w:pPr>
        <w:tabs>
          <w:tab w:val="num" w:pos="420"/>
        </w:tabs>
        <w:ind w:left="420" w:hanging="420"/>
      </w:pPr>
      <w:rPr>
        <w:rFonts w:ascii="Wingdings" w:eastAsia="宋体" w:hAnsi="Wingdings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B082183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5A4CA06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46A46D4"/>
    <w:multiLevelType w:val="hybridMultilevel"/>
    <w:tmpl w:val="AB324CD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59384F60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77A9567C"/>
    <w:multiLevelType w:val="hybridMultilevel"/>
    <w:tmpl w:val="5BBCC91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7AA55594"/>
    <w:multiLevelType w:val="hybridMultilevel"/>
    <w:tmpl w:val="98C433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7AD227A5"/>
    <w:multiLevelType w:val="multilevel"/>
    <w:tmpl w:val="E5B6383C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365910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421025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8208303">
    <w:abstractNumId w:val="43"/>
  </w:num>
  <w:num w:numId="4" w16cid:durableId="1877153356">
    <w:abstractNumId w:val="10"/>
  </w:num>
  <w:num w:numId="5" w16cid:durableId="496924752">
    <w:abstractNumId w:val="37"/>
  </w:num>
  <w:num w:numId="6" w16cid:durableId="15420100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260061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19891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43569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37203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45545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5198423">
    <w:abstractNumId w:val="28"/>
  </w:num>
  <w:num w:numId="13" w16cid:durableId="2013794120">
    <w:abstractNumId w:val="22"/>
  </w:num>
  <w:num w:numId="14" w16cid:durableId="1596357344">
    <w:abstractNumId w:val="36"/>
  </w:num>
  <w:num w:numId="15" w16cid:durableId="992683667">
    <w:abstractNumId w:val="12"/>
  </w:num>
  <w:num w:numId="16" w16cid:durableId="515047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67231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2147865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54944458">
    <w:abstractNumId w:val="46"/>
  </w:num>
  <w:num w:numId="20" w16cid:durableId="11754559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50828443">
    <w:abstractNumId w:val="1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980522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6709623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8502757">
    <w:abstractNumId w:val="25"/>
  </w:num>
  <w:num w:numId="25" w16cid:durableId="10629446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98802259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360597843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181160671">
    <w:abstractNumId w:val="39"/>
  </w:num>
  <w:num w:numId="29" w16cid:durableId="1902130778">
    <w:abstractNumId w:val="7"/>
  </w:num>
  <w:num w:numId="30" w16cid:durableId="1459759166">
    <w:abstractNumId w:val="31"/>
  </w:num>
  <w:num w:numId="31" w16cid:durableId="2048799979">
    <w:abstractNumId w:val="30"/>
  </w:num>
  <w:num w:numId="32" w16cid:durableId="1658806067">
    <w:abstractNumId w:val="29"/>
  </w:num>
  <w:num w:numId="33" w16cid:durableId="1870874472">
    <w:abstractNumId w:val="42"/>
  </w:num>
  <w:num w:numId="34" w16cid:durableId="721445523">
    <w:abstractNumId w:val="35"/>
  </w:num>
  <w:num w:numId="35" w16cid:durableId="1912692560">
    <w:abstractNumId w:val="13"/>
  </w:num>
  <w:num w:numId="36" w16cid:durableId="1328824832">
    <w:abstractNumId w:val="16"/>
  </w:num>
  <w:num w:numId="37" w16cid:durableId="1072656463">
    <w:abstractNumId w:val="34"/>
  </w:num>
  <w:num w:numId="38" w16cid:durableId="1455562173">
    <w:abstractNumId w:val="27"/>
  </w:num>
  <w:num w:numId="39" w16cid:durableId="228804235">
    <w:abstractNumId w:val="41"/>
  </w:num>
  <w:num w:numId="40" w16cid:durableId="1977366626">
    <w:abstractNumId w:val="40"/>
  </w:num>
  <w:num w:numId="41" w16cid:durableId="1388844326">
    <w:abstractNumId w:val="3"/>
  </w:num>
  <w:num w:numId="42" w16cid:durableId="101149839">
    <w:abstractNumId w:val="11"/>
  </w:num>
  <w:num w:numId="43" w16cid:durableId="2039617357">
    <w:abstractNumId w:val="0"/>
  </w:num>
  <w:num w:numId="44" w16cid:durableId="289362418">
    <w:abstractNumId w:val="32"/>
  </w:num>
  <w:num w:numId="45" w16cid:durableId="140122766">
    <w:abstractNumId w:val="14"/>
  </w:num>
  <w:num w:numId="46" w16cid:durableId="2060282168">
    <w:abstractNumId w:val="9"/>
  </w:num>
  <w:num w:numId="47" w16cid:durableId="131387444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744"/>
    <w:rsid w:val="00002744"/>
    <w:rsid w:val="00020E9E"/>
    <w:rsid w:val="00021B52"/>
    <w:rsid w:val="000277C6"/>
    <w:rsid w:val="00030FAB"/>
    <w:rsid w:val="0003316C"/>
    <w:rsid w:val="0004390D"/>
    <w:rsid w:val="0004541E"/>
    <w:rsid w:val="00045AD8"/>
    <w:rsid w:val="00050E01"/>
    <w:rsid w:val="00077C22"/>
    <w:rsid w:val="00085B57"/>
    <w:rsid w:val="000903B1"/>
    <w:rsid w:val="00090610"/>
    <w:rsid w:val="000B319D"/>
    <w:rsid w:val="000C42A5"/>
    <w:rsid w:val="000D01CB"/>
    <w:rsid w:val="000D3D20"/>
    <w:rsid w:val="000D4A7F"/>
    <w:rsid w:val="000E622F"/>
    <w:rsid w:val="001037FE"/>
    <w:rsid w:val="001070E3"/>
    <w:rsid w:val="001238FA"/>
    <w:rsid w:val="00152819"/>
    <w:rsid w:val="00153022"/>
    <w:rsid w:val="001634CC"/>
    <w:rsid w:val="00164130"/>
    <w:rsid w:val="0016718D"/>
    <w:rsid w:val="00172610"/>
    <w:rsid w:val="001767B5"/>
    <w:rsid w:val="001847DA"/>
    <w:rsid w:val="0018730D"/>
    <w:rsid w:val="0018763E"/>
    <w:rsid w:val="0019525D"/>
    <w:rsid w:val="001973FA"/>
    <w:rsid w:val="001A1739"/>
    <w:rsid w:val="001A4773"/>
    <w:rsid w:val="001A6081"/>
    <w:rsid w:val="001C44F7"/>
    <w:rsid w:val="001C5C49"/>
    <w:rsid w:val="001D0711"/>
    <w:rsid w:val="001D2527"/>
    <w:rsid w:val="001E54FF"/>
    <w:rsid w:val="001E6D65"/>
    <w:rsid w:val="001F282C"/>
    <w:rsid w:val="001F732E"/>
    <w:rsid w:val="002018C5"/>
    <w:rsid w:val="00203649"/>
    <w:rsid w:val="00243D8D"/>
    <w:rsid w:val="002533E8"/>
    <w:rsid w:val="0026377A"/>
    <w:rsid w:val="00271886"/>
    <w:rsid w:val="00273B42"/>
    <w:rsid w:val="002748D5"/>
    <w:rsid w:val="00276175"/>
    <w:rsid w:val="0028536E"/>
    <w:rsid w:val="00295B5A"/>
    <w:rsid w:val="002A0E99"/>
    <w:rsid w:val="002A4E86"/>
    <w:rsid w:val="002A7D5D"/>
    <w:rsid w:val="002B201E"/>
    <w:rsid w:val="002B31FF"/>
    <w:rsid w:val="002B5A26"/>
    <w:rsid w:val="002C44A3"/>
    <w:rsid w:val="002C4DFA"/>
    <w:rsid w:val="002C6ED3"/>
    <w:rsid w:val="002E0C07"/>
    <w:rsid w:val="002E7B04"/>
    <w:rsid w:val="002F4168"/>
    <w:rsid w:val="003225A1"/>
    <w:rsid w:val="0032320F"/>
    <w:rsid w:val="003310BA"/>
    <w:rsid w:val="003334BB"/>
    <w:rsid w:val="003470E0"/>
    <w:rsid w:val="003500C1"/>
    <w:rsid w:val="00353FD0"/>
    <w:rsid w:val="00361A91"/>
    <w:rsid w:val="00395D4D"/>
    <w:rsid w:val="003A204D"/>
    <w:rsid w:val="003A214E"/>
    <w:rsid w:val="003A7806"/>
    <w:rsid w:val="003D2869"/>
    <w:rsid w:val="003D2DC8"/>
    <w:rsid w:val="003D356F"/>
    <w:rsid w:val="003F4178"/>
    <w:rsid w:val="00403E9C"/>
    <w:rsid w:val="00405A6F"/>
    <w:rsid w:val="0042778B"/>
    <w:rsid w:val="00433E3C"/>
    <w:rsid w:val="00441B6F"/>
    <w:rsid w:val="004568DF"/>
    <w:rsid w:val="0047275D"/>
    <w:rsid w:val="004760BD"/>
    <w:rsid w:val="00484B86"/>
    <w:rsid w:val="004965EF"/>
    <w:rsid w:val="004C3506"/>
    <w:rsid w:val="004D25FE"/>
    <w:rsid w:val="004D3A36"/>
    <w:rsid w:val="004D5A69"/>
    <w:rsid w:val="004E21EF"/>
    <w:rsid w:val="004F646A"/>
    <w:rsid w:val="00506363"/>
    <w:rsid w:val="00511FB6"/>
    <w:rsid w:val="00524B8F"/>
    <w:rsid w:val="00533DE8"/>
    <w:rsid w:val="00540A2E"/>
    <w:rsid w:val="00553DC2"/>
    <w:rsid w:val="00580C78"/>
    <w:rsid w:val="00586CB3"/>
    <w:rsid w:val="005B1FCC"/>
    <w:rsid w:val="005B3C4C"/>
    <w:rsid w:val="005C10D8"/>
    <w:rsid w:val="005D73FD"/>
    <w:rsid w:val="005E1299"/>
    <w:rsid w:val="0060067E"/>
    <w:rsid w:val="00623477"/>
    <w:rsid w:val="00637D8F"/>
    <w:rsid w:val="006406DF"/>
    <w:rsid w:val="00644640"/>
    <w:rsid w:val="00650A21"/>
    <w:rsid w:val="00653504"/>
    <w:rsid w:val="006746AA"/>
    <w:rsid w:val="00684C0E"/>
    <w:rsid w:val="00687E43"/>
    <w:rsid w:val="00690506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6F6B09"/>
    <w:rsid w:val="006F7070"/>
    <w:rsid w:val="007132A2"/>
    <w:rsid w:val="0071342D"/>
    <w:rsid w:val="007204A3"/>
    <w:rsid w:val="00720A0E"/>
    <w:rsid w:val="007212CD"/>
    <w:rsid w:val="00735FA5"/>
    <w:rsid w:val="00740BCE"/>
    <w:rsid w:val="00750CC7"/>
    <w:rsid w:val="0076063B"/>
    <w:rsid w:val="007804D0"/>
    <w:rsid w:val="00787607"/>
    <w:rsid w:val="00797691"/>
    <w:rsid w:val="007B0DB2"/>
    <w:rsid w:val="007C1899"/>
    <w:rsid w:val="007D2A30"/>
    <w:rsid w:val="008058FE"/>
    <w:rsid w:val="00812574"/>
    <w:rsid w:val="00812737"/>
    <w:rsid w:val="0082140E"/>
    <w:rsid w:val="00831C28"/>
    <w:rsid w:val="008407CC"/>
    <w:rsid w:val="00842D3E"/>
    <w:rsid w:val="00855598"/>
    <w:rsid w:val="00866D6A"/>
    <w:rsid w:val="00887D79"/>
    <w:rsid w:val="00890B3A"/>
    <w:rsid w:val="008A0663"/>
    <w:rsid w:val="008A733B"/>
    <w:rsid w:val="008C39E2"/>
    <w:rsid w:val="008E067E"/>
    <w:rsid w:val="008E633A"/>
    <w:rsid w:val="008F31D9"/>
    <w:rsid w:val="009022CE"/>
    <w:rsid w:val="00911B0A"/>
    <w:rsid w:val="00916DC4"/>
    <w:rsid w:val="00943591"/>
    <w:rsid w:val="0094739E"/>
    <w:rsid w:val="009521DE"/>
    <w:rsid w:val="009600DA"/>
    <w:rsid w:val="0096317B"/>
    <w:rsid w:val="00963247"/>
    <w:rsid w:val="009666FC"/>
    <w:rsid w:val="00972CA5"/>
    <w:rsid w:val="00985254"/>
    <w:rsid w:val="00985435"/>
    <w:rsid w:val="00993206"/>
    <w:rsid w:val="009A4215"/>
    <w:rsid w:val="009B0F01"/>
    <w:rsid w:val="009C2278"/>
    <w:rsid w:val="009C3073"/>
    <w:rsid w:val="009D0418"/>
    <w:rsid w:val="009E1961"/>
    <w:rsid w:val="009E425D"/>
    <w:rsid w:val="009E7859"/>
    <w:rsid w:val="00A11171"/>
    <w:rsid w:val="00A17426"/>
    <w:rsid w:val="00A21D6B"/>
    <w:rsid w:val="00A23DEA"/>
    <w:rsid w:val="00A25B8A"/>
    <w:rsid w:val="00A2765C"/>
    <w:rsid w:val="00A32353"/>
    <w:rsid w:val="00A401B2"/>
    <w:rsid w:val="00A43A88"/>
    <w:rsid w:val="00A56715"/>
    <w:rsid w:val="00A6682C"/>
    <w:rsid w:val="00A80F6F"/>
    <w:rsid w:val="00A86D68"/>
    <w:rsid w:val="00A945CD"/>
    <w:rsid w:val="00AA358F"/>
    <w:rsid w:val="00AB0C28"/>
    <w:rsid w:val="00AB23CF"/>
    <w:rsid w:val="00AC754E"/>
    <w:rsid w:val="00AD3910"/>
    <w:rsid w:val="00AE64F1"/>
    <w:rsid w:val="00B10160"/>
    <w:rsid w:val="00B26836"/>
    <w:rsid w:val="00B30419"/>
    <w:rsid w:val="00B337BB"/>
    <w:rsid w:val="00B4686A"/>
    <w:rsid w:val="00B53782"/>
    <w:rsid w:val="00B804BE"/>
    <w:rsid w:val="00B862F5"/>
    <w:rsid w:val="00BB3460"/>
    <w:rsid w:val="00BB36B7"/>
    <w:rsid w:val="00BC307A"/>
    <w:rsid w:val="00BD2010"/>
    <w:rsid w:val="00BD6635"/>
    <w:rsid w:val="00BD6DB9"/>
    <w:rsid w:val="00BE2FF0"/>
    <w:rsid w:val="00BE33E4"/>
    <w:rsid w:val="00BF362B"/>
    <w:rsid w:val="00BF5430"/>
    <w:rsid w:val="00BF67F6"/>
    <w:rsid w:val="00C160B6"/>
    <w:rsid w:val="00C165E7"/>
    <w:rsid w:val="00C20DB0"/>
    <w:rsid w:val="00C325BA"/>
    <w:rsid w:val="00C42A99"/>
    <w:rsid w:val="00C61F00"/>
    <w:rsid w:val="00C74882"/>
    <w:rsid w:val="00C80A38"/>
    <w:rsid w:val="00C84265"/>
    <w:rsid w:val="00C84537"/>
    <w:rsid w:val="00C84AE4"/>
    <w:rsid w:val="00C92BC0"/>
    <w:rsid w:val="00CB3EE7"/>
    <w:rsid w:val="00CD026B"/>
    <w:rsid w:val="00CD35FA"/>
    <w:rsid w:val="00CE4AF2"/>
    <w:rsid w:val="00CE6AF2"/>
    <w:rsid w:val="00CF3B42"/>
    <w:rsid w:val="00D26091"/>
    <w:rsid w:val="00D35DAE"/>
    <w:rsid w:val="00D85D10"/>
    <w:rsid w:val="00D8689A"/>
    <w:rsid w:val="00DA101E"/>
    <w:rsid w:val="00DA5041"/>
    <w:rsid w:val="00DB09BB"/>
    <w:rsid w:val="00DB3A5E"/>
    <w:rsid w:val="00DC53D9"/>
    <w:rsid w:val="00E00067"/>
    <w:rsid w:val="00E11832"/>
    <w:rsid w:val="00E12049"/>
    <w:rsid w:val="00E1408A"/>
    <w:rsid w:val="00E16FD3"/>
    <w:rsid w:val="00E26C96"/>
    <w:rsid w:val="00E26C9C"/>
    <w:rsid w:val="00E34945"/>
    <w:rsid w:val="00E43339"/>
    <w:rsid w:val="00E47F0E"/>
    <w:rsid w:val="00E52A16"/>
    <w:rsid w:val="00E70AB7"/>
    <w:rsid w:val="00E976A2"/>
    <w:rsid w:val="00EA02DD"/>
    <w:rsid w:val="00EA3D4E"/>
    <w:rsid w:val="00EB646B"/>
    <w:rsid w:val="00ED0337"/>
    <w:rsid w:val="00ED1D81"/>
    <w:rsid w:val="00ED6732"/>
    <w:rsid w:val="00F047B9"/>
    <w:rsid w:val="00F11449"/>
    <w:rsid w:val="00F32DB6"/>
    <w:rsid w:val="00F573BA"/>
    <w:rsid w:val="00F7725B"/>
    <w:rsid w:val="00F80F29"/>
    <w:rsid w:val="00F838C6"/>
    <w:rsid w:val="00FA2642"/>
    <w:rsid w:val="00FB6F40"/>
    <w:rsid w:val="00FC3792"/>
    <w:rsid w:val="00FE0A91"/>
    <w:rsid w:val="00FF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5BC82DD-33F3-4B66-9008-F394B895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99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BF362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002744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rsid w:val="00002744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a5">
    <w:name w:val="footer"/>
    <w:basedOn w:val="a"/>
    <w:link w:val="a6"/>
    <w:rsid w:val="00693AE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7">
    <w:name w:val="page number"/>
    <w:basedOn w:val="a0"/>
    <w:rsid w:val="00693AEC"/>
  </w:style>
  <w:style w:type="paragraph" w:styleId="a8">
    <w:name w:val="header"/>
    <w:basedOn w:val="a"/>
    <w:link w:val="a9"/>
    <w:rsid w:val="00693A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styleId="aa">
    <w:name w:val="Strong"/>
    <w:uiPriority w:val="99"/>
    <w:qFormat/>
    <w:rsid w:val="004E21EF"/>
    <w:rPr>
      <w:b/>
      <w:bCs/>
    </w:rPr>
  </w:style>
  <w:style w:type="character" w:customStyle="1" w:styleId="a9">
    <w:name w:val="页眉 字符"/>
    <w:link w:val="a8"/>
    <w:locked/>
    <w:rsid w:val="00E26C96"/>
    <w:rPr>
      <w:kern w:val="2"/>
      <w:sz w:val="18"/>
      <w:szCs w:val="18"/>
    </w:rPr>
  </w:style>
  <w:style w:type="character" w:customStyle="1" w:styleId="a6">
    <w:name w:val="页脚 字符"/>
    <w:link w:val="a5"/>
    <w:locked/>
    <w:rsid w:val="00E26C96"/>
    <w:rPr>
      <w:kern w:val="2"/>
      <w:sz w:val="18"/>
      <w:szCs w:val="18"/>
    </w:rPr>
  </w:style>
  <w:style w:type="paragraph" w:styleId="ab">
    <w:name w:val="caption"/>
    <w:basedOn w:val="a"/>
    <w:next w:val="a"/>
    <w:qFormat/>
    <w:rsid w:val="00C84AE4"/>
    <w:pPr>
      <w:widowControl/>
      <w:jc w:val="left"/>
    </w:pPr>
    <w:rPr>
      <w:rFonts w:ascii="Cambria" w:eastAsia="黑体" w:hAnsi="Cambria"/>
      <w:sz w:val="20"/>
      <w:szCs w:val="20"/>
    </w:rPr>
  </w:style>
  <w:style w:type="paragraph" w:customStyle="1" w:styleId="msolistparagraph0">
    <w:name w:val="msolistparagraph"/>
    <w:basedOn w:val="a"/>
    <w:rsid w:val="00FE0A91"/>
    <w:pPr>
      <w:widowControl/>
      <w:ind w:firstLineChars="200" w:firstLine="420"/>
      <w:jc w:val="left"/>
    </w:pPr>
  </w:style>
  <w:style w:type="character" w:customStyle="1" w:styleId="ac">
    <w:name w:val="副标题 字符"/>
    <w:link w:val="ad"/>
    <w:locked/>
    <w:rsid w:val="00943591"/>
    <w:rPr>
      <w:rFonts w:ascii="Cambria" w:hAnsi="Cambria"/>
      <w:b/>
      <w:bCs/>
      <w:kern w:val="28"/>
      <w:sz w:val="32"/>
      <w:szCs w:val="32"/>
    </w:rPr>
  </w:style>
  <w:style w:type="paragraph" w:styleId="ad">
    <w:name w:val="Subtitle"/>
    <w:basedOn w:val="a"/>
    <w:next w:val="a"/>
    <w:link w:val="ac"/>
    <w:qFormat/>
    <w:rsid w:val="00943591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Char1">
    <w:name w:val="副标题 Char1"/>
    <w:rsid w:val="00943591"/>
    <w:rPr>
      <w:rFonts w:ascii="Cambria" w:hAnsi="Cambria" w:cs="Times New Roman"/>
      <w:b/>
      <w:bCs/>
      <w:kern w:val="28"/>
      <w:sz w:val="32"/>
      <w:szCs w:val="32"/>
    </w:rPr>
  </w:style>
  <w:style w:type="paragraph" w:styleId="ae">
    <w:name w:val="Balloon Text"/>
    <w:basedOn w:val="a"/>
    <w:link w:val="af"/>
    <w:rsid w:val="00DB09BB"/>
    <w:rPr>
      <w:rFonts w:ascii="宋体"/>
      <w:sz w:val="18"/>
      <w:szCs w:val="18"/>
    </w:rPr>
  </w:style>
  <w:style w:type="character" w:customStyle="1" w:styleId="af">
    <w:name w:val="批注框文本 字符"/>
    <w:link w:val="ae"/>
    <w:rsid w:val="00DB09BB"/>
    <w:rPr>
      <w:rFonts w:ascii="宋体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164130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395D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rsid w:val="00395D4D"/>
    <w:rPr>
      <w:rFonts w:ascii="宋体" w:hAnsi="宋体" w:cs="宋体"/>
      <w:sz w:val="24"/>
      <w:szCs w:val="24"/>
    </w:rPr>
  </w:style>
  <w:style w:type="character" w:customStyle="1" w:styleId="gnd-iwgdh3b">
    <w:name w:val="gnd-iwgdh3b"/>
    <w:basedOn w:val="a0"/>
    <w:rsid w:val="00395D4D"/>
  </w:style>
  <w:style w:type="table" w:styleId="af1">
    <w:name w:val="Table Theme"/>
    <w:basedOn w:val="a1"/>
    <w:rsid w:val="00395D4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3D effects 1"/>
    <w:basedOn w:val="a1"/>
    <w:rsid w:val="00395D4D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">
    <w:name w:val="Table 3D effects 2"/>
    <w:basedOn w:val="a1"/>
    <w:rsid w:val="00395D4D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">
    <w:name w:val="Table 3D effects 3"/>
    <w:basedOn w:val="a1"/>
    <w:rsid w:val="00395D4D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2">
    <w:name w:val="三线表"/>
    <w:basedOn w:val="a1"/>
    <w:uiPriority w:val="99"/>
    <w:rsid w:val="000B319D"/>
    <w:pPr>
      <w:jc w:val="center"/>
    </w:pPr>
    <w:rPr>
      <w:rFonts w:ascii="等线" w:eastAsia="等线" w:hAnsi="等线"/>
      <w:kern w:val="2"/>
      <w:sz w:val="21"/>
      <w:szCs w:val="22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png"/><Relationship Id="rId30" Type="http://schemas.openxmlformats.org/officeDocument/2006/relationships/image" Target="media/image13.wmf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17FEF-B784-5341-B956-8391F5B3C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1440</Words>
  <Characters>2364</Characters>
  <Application>Microsoft Office Word</Application>
  <DocSecurity>4</DocSecurity>
  <Lines>337</Lines>
  <Paragraphs>475</Paragraphs>
  <ScaleCrop>false</ScaleCrop>
  <Company>微软中国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电子信息工程系实验报告（计算机专业）</dc:title>
  <dc:subject/>
  <dc:creator/>
  <cp:keywords/>
  <cp:lastModifiedBy/>
  <cp:revision>2</cp:revision>
  <cp:lastPrinted>2007-12-06T14:56:00Z</cp:lastPrinted>
  <dcterms:created xsi:type="dcterms:W3CDTF">2026-09-20T18:20:00Z</dcterms:created>
  <dcterms:modified xsi:type="dcterms:W3CDTF">2026-09-20T18:20:00Z</dcterms:modified>
</cp:coreProperties>
</file>