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1A1A2E"/>
          <w:sz w:val="72"/>
          <w:szCs w:val="72"/>
        </w:rPr>
        <w:t xml:space="preserve">Slate</w:t>
      </w:r>
    </w:p>
    <w:p>
      <w:pPr>
        <w:spacing w:after="80" w:before="0"/>
      </w:pPr>
      <w:r>
        <w:rPr>
          <w:rFonts w:ascii="Arial" w:cs="Arial" w:eastAsia="Arial" w:hAnsi="Arial"/>
          <w:color w:val="185FA5"/>
          <w:sz w:val="32"/>
          <w:szCs w:val="32"/>
        </w:rPr>
        <w:t xml:space="preserve">Private Wealth Platform</w:t>
      </w:r>
    </w:p>
    <w:p>
      <w:pPr>
        <w:spacing w:after="480" w:before="0"/>
      </w:pPr>
      <w:r>
        <w:rPr>
          <w:rFonts w:ascii="Arial" w:cs="Arial" w:eastAsia="Arial" w:hAnsi="Arial"/>
          <w:i/>
          <w:iCs/>
          <w:color w:val="666666"/>
          <w:sz w:val="24"/>
          <w:szCs w:val="24"/>
        </w:rPr>
        <w:t xml:space="preserve">Cursor build plan — UX, copy &amp; hierarchy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Prepared for</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Cursor / engineering team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Version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1.0 — May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Scope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All screens + sub-screens: Dashboard, Clients, Client workspace (Pulse · Portfolio · Alts &amp; Structured), Product builder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Out of scope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Visual design tokens, component library specifics, API contracts</w:t>
            </w:r>
          </w:p>
        </w:tc>
      </w:tr>
    </w:tbl>
    <w:p>
      <w:pPr>
        <w:spacing w:after="240" w:before="0"/>
      </w:pPr>
      <w:r>
        <w:t xml:space="preserve"/>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How to read this document</w:t>
      </w:r>
    </w:p>
    <w:p>
      <w:pPr>
        <w:spacing w:after="120" w:before="0"/>
      </w:pPr>
      <w:r>
        <w:rPr>
          <w:rFonts w:ascii="Arial" w:cs="Arial" w:eastAsia="Arial" w:hAnsi="Arial"/>
          <w:color w:val="333333"/>
          <w:sz w:val="22"/>
          <w:szCs w:val="22"/>
        </w:rPr>
        <w:t xml:space="preserve">This plan specifies the UX intent, information hierarchy, and copy rules for every screen in Slate. It is not a visual design spec — colours, spacing and component choices are handled separately. Cursor should treat this as the source of truth for what goes where, what it says, and what the advisor should feel when using it.</w:t>
      </w:r>
    </w:p>
    <w:p>
      <w:pPr>
        <w:spacing w:after="80" w:before="0"/>
      </w:pPr>
      <w:r>
        <w:t xml:space="preserve"/>
      </w:r>
    </w:p>
    <w:p>
      <w:pPr>
        <w:pStyle w:val="Heading3"/>
        <w:spacing w:after="80" w:before="280"/>
      </w:pPr>
      <w:r>
        <w:rPr>
          <w:rFonts w:ascii="Arial" w:cs="Arial" w:eastAsia="Arial" w:hAnsi="Arial"/>
          <w:b/>
          <w:bCs/>
          <w:color w:val="185FA5"/>
          <w:sz w:val="22"/>
          <w:szCs w:val="22"/>
        </w:rPr>
        <w:t xml:space="preserve">Three questions every screen must answer</w:t>
      </w:r>
    </w:p>
    <w:p>
      <w:pPr>
        <w:pStyle w:val="ListParagraph"/>
        <w:numPr>
          <w:ilvl w:val="0"/>
          <w:numId w:val="2"/>
        </w:numPr>
        <w:spacing w:after="80" w:before="0"/>
      </w:pPr>
      <w:r>
        <w:rPr>
          <w:rFonts w:ascii="Arial" w:cs="Arial" w:eastAsia="Arial" w:hAnsi="Arial"/>
          <w:color w:val="333333"/>
          <w:sz w:val="22"/>
          <w:szCs w:val="22"/>
        </w:rPr>
        <w:t xml:space="preserve">What is the most urgent thing right now?</w:t>
      </w:r>
      <w:r>
        <w:rPr>
          <w:rFonts w:ascii="Arial" w:cs="Arial" w:eastAsia="Arial" w:hAnsi="Arial"/>
          <w:color w:val="666666"/>
          <w:sz w:val="20"/>
          <w:szCs w:val="20"/>
        </w:rPr>
        <w:t xml:space="preserve">  — surfaces in the first visible element</w:t>
      </w:r>
    </w:p>
    <w:p>
      <w:pPr>
        <w:pStyle w:val="ListParagraph"/>
        <w:numPr>
          <w:ilvl w:val="0"/>
          <w:numId w:val="2"/>
        </w:numPr>
        <w:spacing w:after="80" w:before="0"/>
      </w:pPr>
      <w:r>
        <w:rPr>
          <w:rFonts w:ascii="Arial" w:cs="Arial" w:eastAsia="Arial" w:hAnsi="Arial"/>
          <w:color w:val="333333"/>
          <w:sz w:val="22"/>
          <w:szCs w:val="22"/>
        </w:rPr>
        <w:t xml:space="preserve">What is the current state of this client / book?</w:t>
      </w:r>
      <w:r>
        <w:rPr>
          <w:rFonts w:ascii="Arial" w:cs="Arial" w:eastAsia="Arial" w:hAnsi="Arial"/>
          <w:color w:val="666666"/>
          <w:sz w:val="20"/>
          <w:szCs w:val="20"/>
        </w:rPr>
        <w:t xml:space="preserve">  — the primary content area</w:t>
      </w:r>
    </w:p>
    <w:p>
      <w:pPr>
        <w:pStyle w:val="ListParagraph"/>
        <w:numPr>
          <w:ilvl w:val="0"/>
          <w:numId w:val="2"/>
        </w:numPr>
        <w:spacing w:after="80" w:before="0"/>
      </w:pPr>
      <w:r>
        <w:rPr>
          <w:rFonts w:ascii="Arial" w:cs="Arial" w:eastAsia="Arial" w:hAnsi="Arial"/>
          <w:color w:val="333333"/>
          <w:sz w:val="22"/>
          <w:szCs w:val="22"/>
        </w:rPr>
        <w:t xml:space="preserve">What should I do next?</w:t>
      </w:r>
      <w:r>
        <w:rPr>
          <w:rFonts w:ascii="Arial" w:cs="Arial" w:eastAsia="Arial" w:hAnsi="Arial"/>
          <w:color w:val="666666"/>
          <w:sz w:val="20"/>
          <w:szCs w:val="20"/>
        </w:rPr>
        <w:t xml:space="preserve">  — every section ends with an actionable CTA or link</w:t>
      </w:r>
    </w:p>
    <w:p>
      <w:pPr>
        <w:spacing w:after="120" w:before="0"/>
      </w:pPr>
      <w:r>
        <w:t xml:space="preserve"/>
      </w:r>
    </w:p>
    <w:p>
      <w:pPr>
        <w:pStyle w:val="Heading3"/>
        <w:spacing w:after="80" w:before="280"/>
      </w:pPr>
      <w:r>
        <w:rPr>
          <w:rFonts w:ascii="Arial" w:cs="Arial" w:eastAsia="Arial" w:hAnsi="Arial"/>
          <w:b/>
          <w:bCs/>
          <w:color w:val="185FA5"/>
          <w:sz w:val="22"/>
          <w:szCs w:val="22"/>
        </w:rPr>
        <w:t xml:space="preserve">Advisor mental model</w:t>
      </w:r>
    </w:p>
    <w:p>
      <w:pPr>
        <w:spacing w:after="120" w:before="0"/>
      </w:pPr>
      <w:r>
        <w:rPr>
          <w:rFonts w:ascii="Arial" w:cs="Arial" w:eastAsia="Arial" w:hAnsi="Arial"/>
          <w:color w:val="333333"/>
          <w:sz w:val="22"/>
          <w:szCs w:val="22"/>
        </w:rPr>
        <w:t xml:space="preserve">Christine (the wealth manager) manages 5 households across $214M AUM. She opens the app 2–3 times a day: once in the morning to triage, once before a client call, once to log activity. The dashboard is her morning triage. The client workspace is her pre-call brief. The alts/structured screen is her deal flow tool.</w:t>
      </w:r>
    </w:p>
    <w:p>
      <w:pPr>
        <w:spacing w:after="80" w:before="0"/>
      </w:pPr>
      <w:r>
        <w:t xml:space="preserve"/>
      </w:r>
    </w:p>
    <w:p>
      <w:pPr>
        <w:spacing w:after="120" w:before="0"/>
      </w:pPr>
      <w:r>
        <w:rPr>
          <w:rFonts w:ascii="Arial" w:cs="Arial" w:eastAsia="Arial" w:hAnsi="Arial"/>
          <w:color w:val="333333"/>
          <w:sz w:val="22"/>
          <w:szCs w:val="22"/>
        </w:rPr>
        <w:t xml:space="preserve">Every screen should work for these three use cases without her having to navigate sideways.</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Global copy rules</w:t>
      </w:r>
    </w:p>
    <w:p>
      <w:pPr>
        <w:spacing w:after="120" w:before="0"/>
      </w:pPr>
      <w:r>
        <w:rPr>
          <w:rFonts w:ascii="Arial" w:cs="Arial" w:eastAsia="Arial" w:hAnsi="Arial"/>
          <w:color w:val="333333"/>
          <w:sz w:val="22"/>
          <w:szCs w:val="22"/>
        </w:rPr>
        <w:t xml:space="preserve">These rules apply to every string in the product — labels, descriptions, button text, empty states, alerts, and tooltips.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Principle</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Do</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Avoid</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Hierarchy first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Lead with the most urgent fact: client name, number of days, dollar amount.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Generic openers like "Please note" or "Overview of..."</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Named, specific</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"Marchetti · US equity +9pp above target" not "drift detected"</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Vague alerts: "1 item needs attention"</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Sentence case always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"Net new assets", "Ask Slate", "Schedule review"</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Title Case Everywhere, ALL CAPS on labels</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Numerics first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"$68.70M · +3.27% YTD" before prose explanation</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Burying the number after a long label</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Actionable suffix</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End action items with a verb: "Propose rebalance →", "Send opt-in →"</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Dead-end labels: "Drift" with no next step</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Short descriptions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Section subtitles ≤ 12 words. One clause, present tense.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Full sentences with subordinate clauses</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No filler words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"Flows and value-add vs benchmark — 1Y"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"This section shows you the flows and value-add compared to benchmark over the past year"</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Muted for meta</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Timestamps, custodians, entity names in tertiary color, smaller size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All metadata at the same visual weight as content</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Empty states earn space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"No drift — all sleeves within IPS tolerance"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Blank space or hidden rows with no explanation</w:t>
            </w:r>
          </w:p>
        </w:tc>
      </w:tr>
    </w:tbl>
    <w:p>
      <w:pPr>
        <w:spacing w:after="240" w:before="0"/>
      </w:pPr>
      <w:r>
        <w:t xml:space="preserve"/>
      </w:r>
    </w:p>
    <w:p>
      <w:pPr>
        <w:pStyle w:val="Heading3"/>
        <w:spacing w:after="80" w:before="280"/>
      </w:pPr>
      <w:r>
        <w:rPr>
          <w:rFonts w:ascii="Arial" w:cs="Arial" w:eastAsia="Arial" w:hAnsi="Arial"/>
          <w:b/>
          <w:bCs/>
          <w:color w:val="185FA5"/>
          <w:sz w:val="22"/>
          <w:szCs w:val="22"/>
        </w:rPr>
        <w:t xml:space="preserve">Tone</w:t>
      </w:r>
    </w:p>
    <w:p>
      <w:pPr>
        <w:pStyle w:val="ListParagraph"/>
        <w:numPr>
          <w:ilvl w:val="0"/>
          <w:numId w:val="2"/>
        </w:numPr>
        <w:spacing w:after="80" w:before="0"/>
      </w:pPr>
      <w:r>
        <w:rPr>
          <w:rFonts w:ascii="Arial" w:cs="Arial" w:eastAsia="Arial" w:hAnsi="Arial"/>
          <w:color w:val="333333"/>
          <w:sz w:val="22"/>
          <w:szCs w:val="22"/>
        </w:rPr>
        <w:t xml:space="preserve">Professional but direct — written for someone who manages nine-figure books</w:t>
      </w:r>
    </w:p>
    <w:p>
      <w:pPr>
        <w:pStyle w:val="ListParagraph"/>
        <w:numPr>
          <w:ilvl w:val="0"/>
          <w:numId w:val="2"/>
        </w:numPr>
        <w:spacing w:after="80" w:before="0"/>
      </w:pPr>
      <w:r>
        <w:rPr>
          <w:rFonts w:ascii="Arial" w:cs="Arial" w:eastAsia="Arial" w:hAnsi="Arial"/>
          <w:color w:val="333333"/>
          <w:sz w:val="22"/>
          <w:szCs w:val="22"/>
        </w:rPr>
        <w:t xml:space="preserve">Zero filler — no "Welcome to", no "Please be advised", no "In order to"</w:t>
      </w:r>
    </w:p>
    <w:p>
      <w:pPr>
        <w:pStyle w:val="ListParagraph"/>
        <w:numPr>
          <w:ilvl w:val="0"/>
          <w:numId w:val="2"/>
        </w:numPr>
        <w:spacing w:after="80" w:before="0"/>
      </w:pPr>
      <w:r>
        <w:rPr>
          <w:rFonts w:ascii="Arial" w:cs="Arial" w:eastAsia="Arial" w:hAnsi="Arial"/>
          <w:color w:val="333333"/>
          <w:sz w:val="22"/>
          <w:szCs w:val="22"/>
        </w:rPr>
        <w:t xml:space="preserve">Present tense — "Review is overdue", not "Review was due"</w:t>
      </w:r>
    </w:p>
    <w:p>
      <w:pPr>
        <w:pStyle w:val="ListParagraph"/>
        <w:numPr>
          <w:ilvl w:val="0"/>
          <w:numId w:val="2"/>
        </w:numPr>
        <w:spacing w:after="80" w:before="0"/>
      </w:pPr>
      <w:r>
        <w:rPr>
          <w:rFonts w:ascii="Arial" w:cs="Arial" w:eastAsia="Arial" w:hAnsi="Arial"/>
          <w:color w:val="333333"/>
          <w:sz w:val="22"/>
          <w:szCs w:val="22"/>
        </w:rPr>
        <w:t xml:space="preserve">Active voice — "Propose rebalance", not "A rebalance is recommended"</w:t>
      </w:r>
    </w:p>
    <w:p>
      <w:pPr>
        <w:spacing w:after="120" w:before="0"/>
      </w:pPr>
      <w:r>
        <w:t xml:space="preserve"/>
      </w:r>
    </w:p>
    <w:p>
      <w:pPr>
        <w:pStyle w:val="Heading3"/>
        <w:spacing w:after="80" w:before="280"/>
      </w:pPr>
      <w:r>
        <w:rPr>
          <w:rFonts w:ascii="Arial" w:cs="Arial" w:eastAsia="Arial" w:hAnsi="Arial"/>
          <w:b/>
          <w:bCs/>
          <w:color w:val="185FA5"/>
          <w:sz w:val="22"/>
          <w:szCs w:val="22"/>
        </w:rPr>
        <w:t xml:space="preserve">Numbers and currency</w:t>
      </w:r>
    </w:p>
    <w:p>
      <w:pPr>
        <w:pStyle w:val="ListParagraph"/>
        <w:numPr>
          <w:ilvl w:val="0"/>
          <w:numId w:val="2"/>
        </w:numPr>
        <w:spacing w:after="80" w:before="0"/>
      </w:pPr>
      <w:r>
        <w:rPr>
          <w:rFonts w:ascii="Arial" w:cs="Arial" w:eastAsia="Arial" w:hAnsi="Arial"/>
          <w:color w:val="333333"/>
          <w:sz w:val="22"/>
          <w:szCs w:val="22"/>
        </w:rPr>
        <w:t xml:space="preserve">Always display currency symbol before the number: $68.70M not 68.70M USD</w:t>
      </w:r>
    </w:p>
    <w:p>
      <w:pPr>
        <w:pStyle w:val="ListParagraph"/>
        <w:numPr>
          <w:ilvl w:val="0"/>
          <w:numId w:val="2"/>
        </w:numPr>
        <w:spacing w:after="80" w:before="0"/>
      </w:pPr>
      <w:r>
        <w:rPr>
          <w:rFonts w:ascii="Arial" w:cs="Arial" w:eastAsia="Arial" w:hAnsi="Arial"/>
          <w:color w:val="333333"/>
          <w:sz w:val="22"/>
          <w:szCs w:val="22"/>
        </w:rPr>
        <w:t xml:space="preserve">Use M for millions, K for thousands: $2.4M, $900K — never $2,400,000</w:t>
      </w:r>
    </w:p>
    <w:p>
      <w:pPr>
        <w:pStyle w:val="ListParagraph"/>
        <w:numPr>
          <w:ilvl w:val="0"/>
          <w:numId w:val="2"/>
        </w:numPr>
        <w:spacing w:after="80" w:before="0"/>
      </w:pPr>
      <w:r>
        <w:rPr>
          <w:rFonts w:ascii="Arial" w:cs="Arial" w:eastAsia="Arial" w:hAnsi="Arial"/>
          <w:color w:val="333333"/>
          <w:sz w:val="22"/>
          <w:szCs w:val="22"/>
        </w:rPr>
        <w:t xml:space="preserve">Percentages: show sign always — +3.27%, -0.8%, never 3.27%</w:t>
      </w:r>
    </w:p>
    <w:p>
      <w:pPr>
        <w:pStyle w:val="ListParagraph"/>
        <w:numPr>
          <w:ilvl w:val="0"/>
          <w:numId w:val="2"/>
        </w:numPr>
        <w:spacing w:after="80" w:before="0"/>
      </w:pPr>
      <w:r>
        <w:rPr>
          <w:rFonts w:ascii="Arial" w:cs="Arial" w:eastAsia="Arial" w:hAnsi="Arial"/>
          <w:color w:val="333333"/>
          <w:sz w:val="22"/>
          <w:szCs w:val="22"/>
        </w:rPr>
        <w:t xml:space="preserve">Basis points: +71 bps not +0.71%</w:t>
      </w:r>
    </w:p>
    <w:p>
      <w:pPr>
        <w:pStyle w:val="ListParagraph"/>
        <w:numPr>
          <w:ilvl w:val="0"/>
          <w:numId w:val="2"/>
        </w:numPr>
        <w:spacing w:after="80" w:before="0"/>
      </w:pPr>
      <w:r>
        <w:rPr>
          <w:rFonts w:ascii="Arial" w:cs="Arial" w:eastAsia="Arial" w:hAnsi="Arial"/>
          <w:color w:val="333333"/>
          <w:sz w:val="22"/>
          <w:szCs w:val="22"/>
        </w:rPr>
        <w:t xml:space="preserve">Dates: May 11 (no year in-context), full date only in tables and statements</w:t>
      </w:r>
    </w:p>
    <w:p>
      <w:pPr>
        <w:pStyle w:val="ListParagraph"/>
        <w:numPr>
          <w:ilvl w:val="0"/>
          <w:numId w:val="2"/>
        </w:numPr>
        <w:spacing w:after="80" w:before="0"/>
      </w:pPr>
      <w:r>
        <w:rPr>
          <w:rFonts w:ascii="Arial" w:cs="Arial" w:eastAsia="Arial" w:hAnsi="Arial"/>
          <w:color w:val="333333"/>
          <w:sz w:val="22"/>
          <w:szCs w:val="22"/>
        </w:rPr>
        <w:t xml:space="preserve">Days countdown: 7d, 14d, 60d — not "7 days", not "1 week"</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Typography scale</w:t>
      </w:r>
    </w:p>
    <w:p>
      <w:pPr>
        <w:spacing w:after="120" w:before="0"/>
      </w:pPr>
      <w:r>
        <w:rPr>
          <w:rFonts w:ascii="Arial" w:cs="Arial" w:eastAsia="Arial" w:hAnsi="Arial"/>
          <w:color w:val="333333"/>
          <w:sz w:val="22"/>
          <w:szCs w:val="22"/>
        </w:rPr>
        <w:t xml:space="preserve">Two weights only across the entire product: regular (400) and medium (500). Never use bold (600+) inside body copy or table cells — it looks heavy against the clean surfaces. Bold is reserved for page titles and section headings only.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40"/>
        <w:gridCol w:w="1080"/>
        <w:gridCol w:w="1200"/>
        <w:gridCol w:w="4680"/>
      </w:tblGrid>
      <w:tr>
        <w:trPr>
          <w:tblHeader/>
        </w:trPr>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Size</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Weight</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Color</w:t>
            </w:r>
          </w:p>
        </w:tc>
        <w:tc>
          <w:tcPr>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Usage</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Page title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28–32pt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Bold</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Brand navy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One per screen, top of hierarchy</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Screen subtitle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12–13pt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Muted gray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Context line below page title</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Section label</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9–10pt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UPPERCASE, muted</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Caps + letter-spacing, e.g. TRAILING · 1Y</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Section heading</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15–16pt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Medium (500)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Primary text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Names a content block</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Card label</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9–10pt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UPPERCASE, tertiary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Above metric values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Metric value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20–24pt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Medium (500)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Primary text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Key numbers, never bold</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Body / description</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12–13pt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Secondary text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Explanatory copy, row values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Helper / sub-label</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10–11pt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Tertiary / muted</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Contextual detail, timestamps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Badge / tag</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9–10pt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Medium (500)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Ramp-matched text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Type labels, status chips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Action link</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11pt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Info blue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Inline CTAs, deep-dive links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Alert copy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11–12pt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 (strong)</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Semantic color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Named clients, urgency detail</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Table header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9–10pt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UPPERCASE, tertiary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Column labels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Table cell</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12–13pt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Regular or 500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Primary / secondary</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500 for names, regular for values</w:t>
            </w:r>
          </w:p>
        </w:tc>
      </w:tr>
      <w:tr>
        <w:trPr>
          <w:tblHeader w:val="false"/>
        </w:trP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8"/>
                <w:szCs w:val="18"/>
              </w:rPr>
              <w:t xml:space="preserve">Button label</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11–12pt</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Medium (500)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Varies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Sentence case, never ALL CAPS</w:t>
            </w:r>
          </w:p>
        </w:tc>
      </w:tr>
    </w:tbl>
    <w:p>
      <w:pPr>
        <w:spacing w:after="240" w:before="0"/>
      </w:pPr>
      <w:r>
        <w:t xml:space="preserve"/>
      </w:r>
    </w:p>
    <w:p>
      <w:pPr>
        <w:pStyle w:val="Heading3"/>
        <w:spacing w:after="80" w:before="280"/>
      </w:pPr>
      <w:r>
        <w:rPr>
          <w:rFonts w:ascii="Arial" w:cs="Arial" w:eastAsia="Arial" w:hAnsi="Arial"/>
          <w:b/>
          <w:bCs/>
          <w:color w:val="185FA5"/>
          <w:sz w:val="22"/>
          <w:szCs w:val="22"/>
        </w:rPr>
        <w:t xml:space="preserve">Key sizing rules</w:t>
      </w:r>
    </w:p>
    <w:p>
      <w:pPr>
        <w:pStyle w:val="ListParagraph"/>
        <w:numPr>
          <w:ilvl w:val="0"/>
          <w:numId w:val="2"/>
        </w:numPr>
        <w:spacing w:after="80" w:before="0"/>
      </w:pPr>
      <w:r>
        <w:rPr>
          <w:rFonts w:ascii="Arial" w:cs="Arial" w:eastAsia="Arial" w:hAnsi="Arial"/>
          <w:color w:val="333333"/>
          <w:sz w:val="22"/>
          <w:szCs w:val="22"/>
        </w:rPr>
        <w:t xml:space="preserve">Page titles: 28–32pt bold. One per screen. Never reuse a page title size mid-page.</w:t>
      </w:r>
    </w:p>
    <w:p>
      <w:pPr>
        <w:pStyle w:val="ListParagraph"/>
        <w:numPr>
          <w:ilvl w:val="0"/>
          <w:numId w:val="2"/>
        </w:numPr>
        <w:spacing w:after="80" w:before="0"/>
      </w:pPr>
      <w:r>
        <w:rPr>
          <w:rFonts w:ascii="Arial" w:cs="Arial" w:eastAsia="Arial" w:hAnsi="Arial"/>
          <w:color w:val="333333"/>
          <w:sz w:val="22"/>
          <w:szCs w:val="22"/>
        </w:rPr>
        <w:t xml:space="preserve">Section labels: 9–10pt, ALL CAPS, letter-spacing 0.07–0.10em. Used for metadata like TRAILING · 1Y, ANNUAL PLAN · YTD, CLIENT WORKSPACE. Never use all-caps on any other element.</w:t>
      </w:r>
    </w:p>
    <w:p>
      <w:pPr>
        <w:pStyle w:val="ListParagraph"/>
        <w:numPr>
          <w:ilvl w:val="0"/>
          <w:numId w:val="2"/>
        </w:numPr>
        <w:spacing w:after="80" w:before="0"/>
      </w:pPr>
      <w:r>
        <w:rPr>
          <w:rFonts w:ascii="Arial" w:cs="Arial" w:eastAsia="Arial" w:hAnsi="Arial"/>
          <w:color w:val="333333"/>
          <w:sz w:val="22"/>
          <w:szCs w:val="22"/>
        </w:rPr>
        <w:t xml:space="preserve">Metric values: 20–24pt medium. Used for KPIs only. No other content at this size.</w:t>
      </w:r>
    </w:p>
    <w:p>
      <w:pPr>
        <w:pStyle w:val="ListParagraph"/>
        <w:numPr>
          <w:ilvl w:val="0"/>
          <w:numId w:val="2"/>
        </w:numPr>
        <w:spacing w:after="80" w:before="0"/>
      </w:pPr>
      <w:r>
        <w:rPr>
          <w:rFonts w:ascii="Arial" w:cs="Arial" w:eastAsia="Arial" w:hAnsi="Arial"/>
          <w:color w:val="333333"/>
          <w:sz w:val="22"/>
          <w:szCs w:val="22"/>
        </w:rPr>
        <w:t xml:space="preserve">Body copy: 12–13pt regular. Line-height 1.6–1.7. Maximum width ~680px.</w:t>
      </w:r>
    </w:p>
    <w:p>
      <w:pPr>
        <w:pStyle w:val="ListParagraph"/>
        <w:numPr>
          <w:ilvl w:val="0"/>
          <w:numId w:val="2"/>
        </w:numPr>
        <w:spacing w:after="80" w:before="0"/>
      </w:pPr>
      <w:r>
        <w:rPr>
          <w:rFonts w:ascii="Arial" w:cs="Arial" w:eastAsia="Arial" w:hAnsi="Arial"/>
          <w:color w:val="333333"/>
          <w:sz w:val="22"/>
          <w:szCs w:val="22"/>
        </w:rPr>
        <w:t xml:space="preserve">Helper text: 10–11pt. Everything that annotates — timestamps, custodian names, entity names, footnotes.</w:t>
      </w:r>
    </w:p>
    <w:p>
      <w:pPr>
        <w:pStyle w:val="ListParagraph"/>
        <w:numPr>
          <w:ilvl w:val="0"/>
          <w:numId w:val="2"/>
        </w:numPr>
        <w:spacing w:after="80" w:before="0"/>
      </w:pPr>
      <w:r>
        <w:rPr>
          <w:rFonts w:ascii="Arial" w:cs="Arial" w:eastAsia="Arial" w:hAnsi="Arial"/>
          <w:color w:val="333333"/>
          <w:sz w:val="22"/>
          <w:szCs w:val="22"/>
        </w:rPr>
        <w:t xml:space="preserve">Minimum size anywhere: 10pt / ~13px. Below this, reduce the information, not the font.</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Screen specifications</w:t>
      </w:r>
    </w:p>
    <w:p>
      <w:pPr>
        <w:spacing w:after="240" w:before="0"/>
      </w:pPr>
      <w:r>
        <w:t xml:space="preserve"/>
      </w:r>
    </w:p>
    <w:p>
      <w:pPr>
        <w:shd w:fill="EEF2FF" w:val="clear"/>
        <w:spacing w:after="80" w:before="0"/>
      </w:pPr>
      <w:r>
        <w:rPr>
          <w:rFonts w:ascii="Arial" w:cs="Arial" w:eastAsia="Arial" w:hAnsi="Arial"/>
          <w:b/>
          <w:bCs/>
          <w:color w:val="1A1A2E"/>
          <w:sz w:val="32"/>
          <w:szCs w:val="32"/>
        </w:rPr>
        <w:t xml:space="preserve">Screen 1 — Dashboard</w:t>
      </w:r>
    </w:p>
    <w:p>
      <w:pPr>
        <w:spacing w:after="160" w:before="0"/>
      </w:pPr>
      <w:r>
        <w:rPr>
          <w:rFonts w:ascii="Arial" w:cs="Arial" w:eastAsia="Arial" w:hAnsi="Arial"/>
          <w:i/>
          <w:iCs/>
          <w:color w:val="666666"/>
          <w:sz w:val="20"/>
          <w:szCs w:val="20"/>
        </w:rPr>
        <w:t xml:space="preserve">Morning triage view. Christine lands here first. She needs to know what is urgent before she opens a single client record.</w:t>
      </w:r>
    </w:p>
    <w:p>
      <w:pPr>
        <w:pStyle w:val="Heading3"/>
        <w:spacing w:after="80" w:before="280"/>
      </w:pPr>
      <w:r>
        <w:rPr>
          <w:rFonts w:ascii="Arial" w:cs="Arial" w:eastAsia="Arial" w:hAnsi="Arial"/>
          <w:b/>
          <w:bCs/>
          <w:color w:val="185FA5"/>
          <w:sz w:val="22"/>
          <w:szCs w:val="22"/>
        </w:rPr>
        <w:t xml:space="preserve">Page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1 — Greeting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"Good morning, Christine" — 28–32pt bold. Date + BOOK OVERVIEW label above in 9pt caps. This is the only personalised copy in the product.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2 — Alert strip</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Amber band below greeting. Named, specific: lists the 3 most urgent items by client name and issue. 11–12pt. Appears only when there are items. Hidden when book is clean.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3 — Pulse row</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Four stat tiles: Reviews overdue, Drift watches, Structured RFQs, Households. Each tile shows a count + a one-line context string. Urgent tiles (overdue, active drift) use semantic colour on the count.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4 — Content sections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Three stacked sections: Momentum, Growth goals, Trajectory. Each has a section label (9pt caps), a section heading (15–16pt), and a 1–2 line description.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5 — Sidebar</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Persistent right rail: 4 KPI cards + segment mix + command jumps. Smaller type, sparklines, never the primary reading path.</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Alert strip — copy spec</w:t>
      </w:r>
    </w:p>
    <w:p>
      <w:pPr>
        <w:spacing w:after="120" w:before="0"/>
      </w:pPr>
      <w:r>
        <w:rPr>
          <w:rFonts w:ascii="Arial" w:cs="Arial" w:eastAsia="Arial" w:hAnsi="Arial"/>
          <w:color w:val="333333"/>
          <w:sz w:val="22"/>
          <w:szCs w:val="22"/>
        </w:rPr>
        <w:t xml:space="preserve">Format: [Client name] [issue in plain English] · [Client name] [issue] · [Client name] [issue]</w:t>
      </w:r>
    </w:p>
    <w:p>
      <w:pPr>
        <w:spacing w:after="120" w:before="0"/>
      </w:pPr>
      <w:r>
        <w:rPr>
          <w:rFonts w:ascii="Arial" w:cs="Arial" w:eastAsia="Arial" w:hAnsi="Arial"/>
          <w:color w:val="333333"/>
          <w:sz w:val="22"/>
          <w:szCs w:val="22"/>
        </w:rPr>
        <w:t xml:space="preserve">Example: "Marchetti review overdue (12d) · NTRL IPO in 2 days — 3 clients eligible · Henderson sleeve B drift +4.1% equity"</w:t>
      </w:r>
    </w:p>
    <w:p>
      <w:pPr>
        <w:spacing w:after="120" w:before="0"/>
      </w:pPr>
      <w:r>
        <w:rPr>
          <w:rFonts w:ascii="Arial" w:cs="Arial" w:eastAsia="Arial" w:hAnsi="Arial"/>
          <w:color w:val="666666"/>
          <w:sz w:val="22"/>
          <w:szCs w:val="22"/>
        </w:rPr>
        <w:t xml:space="preserve">Rules:</w:t>
      </w:r>
    </w:p>
    <w:p>
      <w:pPr>
        <w:pStyle w:val="ListParagraph"/>
        <w:numPr>
          <w:ilvl w:val="0"/>
          <w:numId w:val="2"/>
        </w:numPr>
        <w:spacing w:after="80" w:before="0"/>
      </w:pPr>
      <w:r>
        <w:rPr>
          <w:rFonts w:ascii="Arial" w:cs="Arial" w:eastAsia="Arial" w:hAnsi="Arial"/>
          <w:color w:val="333333"/>
          <w:sz w:val="22"/>
          <w:szCs w:val="22"/>
        </w:rPr>
        <w:t xml:space="preserve">Maximum 3 items. If more exist, show top 3 by severity and add "+ N more" link.</w:t>
      </w:r>
    </w:p>
    <w:p>
      <w:pPr>
        <w:pStyle w:val="ListParagraph"/>
        <w:numPr>
          <w:ilvl w:val="0"/>
          <w:numId w:val="2"/>
        </w:numPr>
        <w:spacing w:after="80" w:before="0"/>
      </w:pPr>
      <w:r>
        <w:rPr>
          <w:rFonts w:ascii="Arial" w:cs="Arial" w:eastAsia="Arial" w:hAnsi="Arial"/>
          <w:color w:val="333333"/>
          <w:sz w:val="22"/>
          <w:szCs w:val="22"/>
        </w:rPr>
        <w:t xml:space="preserve">Always name the client first. Never lead with the issue type.</w:t>
      </w:r>
    </w:p>
    <w:p>
      <w:pPr>
        <w:pStyle w:val="ListParagraph"/>
        <w:numPr>
          <w:ilvl w:val="0"/>
          <w:numId w:val="2"/>
        </w:numPr>
        <w:spacing w:after="80" w:before="0"/>
      </w:pPr>
      <w:r>
        <w:rPr>
          <w:rFonts w:ascii="Arial" w:cs="Arial" w:eastAsia="Arial" w:hAnsi="Arial"/>
          <w:color w:val="333333"/>
          <w:sz w:val="22"/>
          <w:szCs w:val="22"/>
        </w:rPr>
        <w:t xml:space="preserve">Severity order: overdue reviews &gt; regulatory/compliance &gt; drift &gt; opportunity (IPO, issuance).</w:t>
      </w:r>
    </w:p>
    <w:p>
      <w:pPr>
        <w:spacing w:after="120" w:before="0"/>
      </w:pPr>
      <w:r>
        <w:t xml:space="preserve"/>
      </w:r>
    </w:p>
    <w:p>
      <w:pPr>
        <w:pStyle w:val="Heading3"/>
        <w:spacing w:after="80" w:before="280"/>
      </w:pPr>
      <w:r>
        <w:rPr>
          <w:rFonts w:ascii="Arial" w:cs="Arial" w:eastAsia="Arial" w:hAnsi="Arial"/>
          <w:b/>
          <w:bCs/>
          <w:color w:val="185FA5"/>
          <w:sz w:val="22"/>
          <w:szCs w:val="22"/>
        </w:rPr>
        <w:t xml:space="preserve">Pulse row tiles — copy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Reviews overdue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REVIEWS OVERDUE (9pt caps). Value: count in large type. Sub-label: client name + segment if count is 1; "prioritise diary" if count &gt; 1. Colour: red if overdue, amber if due within 7 days.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Drift watches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DRIFT WATCHES. Value: count. Sub-label: most drifted sleeve name if count is 1; "N sleeves flagged" if more. Colour: amber. Shows only sleeves outside IPS tolerance.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Structured RFQs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STRUCTURED RFQS. Value: count. Sub-label: "desk · live" — never changes. Colour: neutral unless &gt; 5.</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Households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HOUSEHOLDS. Value: count. Sub-label: segment breakdown, e.g. "2 UHNW · 2 FO · 1 HNW". Colour: always neutral.</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Momentum section — copy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TRAILING · 1Y (or whichever window is selected)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Momentum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Description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"Flows and value-add vs benchmark — [window] trailing window" — updates dynamically with window toggle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Chart legend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Two items: coloured square + label. "Net flows" and "Value-add vs benchmark". Never more than 2 series visible simultaneously.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Empty state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flows recorded in this window" — shown if data is unavailable</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Growth goals section — copy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ANNUAL PLAN · YTD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Growth goals vs plan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Description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"Flows and onboarding progress — economics and pacing sit beside the glide path below"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Progress strip — label 1</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"Net new money vs annual goal" — left side. Value: $37.20M / $48.00M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Progress strip — label 2</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"New funded households vs target" — right side. Value: 5 / 8</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Empty state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annual plan set — add targets in settings"</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Sidebar KPIs — copy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Total AUM</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TOTAL AUM (9pt caps). Value: $214.00M (20–24pt). Delta: triangle + percentage vs start of window. Sparkline below.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Net new assets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NET NEW ASSETS. Value: $37.00M. Sub: "Funding &amp; transfers net of outflows · 1Y". Sparkline.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New funded relationships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NEW FUNDED RELATIONSHIPS. Value: count. Sub: "Households first funded in [window]". Sparkline.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Book vs 60/40</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BOOK VS 60/40. Value: +71 bps (in green) or -N bps (in red). Sub: "Household-weighted excess return (bps)". Green sparkline above/below zero line.</w:t>
            </w:r>
          </w:p>
        </w:tc>
      </w:tr>
    </w:tbl>
    <w:p>
      <w:r>
        <w:br w:type="page"/>
      </w:r>
    </w:p>
    <w:p>
      <w:pPr>
        <w:spacing w:after="240" w:before="0"/>
      </w:pPr>
      <w:r>
        <w:t xml:space="preserve"/>
      </w:r>
    </w:p>
    <w:p>
      <w:pPr>
        <w:shd w:fill="EEF2FF" w:val="clear"/>
        <w:spacing w:after="80" w:before="0"/>
      </w:pPr>
      <w:r>
        <w:rPr>
          <w:rFonts w:ascii="Arial" w:cs="Arial" w:eastAsia="Arial" w:hAnsi="Arial"/>
          <w:b/>
          <w:bCs/>
          <w:color w:val="1A1A2E"/>
          <w:sz w:val="32"/>
          <w:szCs w:val="32"/>
        </w:rPr>
        <w:t xml:space="preserve">Screen 2 — Client list</w:t>
      </w:r>
    </w:p>
    <w:p>
      <w:pPr>
        <w:spacing w:after="160" w:before="0"/>
      </w:pPr>
      <w:r>
        <w:rPr>
          <w:rFonts w:ascii="Arial" w:cs="Arial" w:eastAsia="Arial" w:hAnsi="Arial"/>
          <w:i/>
          <w:iCs/>
          <w:color w:val="666666"/>
          <w:sz w:val="20"/>
          <w:szCs w:val="20"/>
        </w:rPr>
        <w:t xml:space="preserve">Relationship directory. The advisor scans this to prioritise outreach and spot issues before opening individual records.</w:t>
      </w:r>
    </w:p>
    <w:p>
      <w:pPr>
        <w:pStyle w:val="Heading3"/>
        <w:spacing w:after="80" w:before="280"/>
      </w:pPr>
      <w:r>
        <w:rPr>
          <w:rFonts w:ascii="Arial" w:cs="Arial" w:eastAsia="Arial" w:hAnsi="Arial"/>
          <w:b/>
          <w:bCs/>
          <w:color w:val="185FA5"/>
          <w:sz w:val="22"/>
          <w:szCs w:val="22"/>
        </w:rPr>
        <w:t xml:space="preserve">Page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1 — Page title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"Clients" — 28–32pt bold. Sub-line: "N households · book roll-up $NM · N UHNW · N FO · N HNW" — 12pt muted.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2 — Alert strip</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Same format as Dashboard. Only shown when there are urgent items. Sits immediately below the subtitle.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Level 3 — Table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One row per household. 8 columns (see below). Rows sorted by urgency by default: overdue first, then by days to next review ascending.</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Table columns — copy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Client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Household name in 13pt medium. Custodians below in 11pt tertiary. E.g. "The Marchetti Family" / "Schwab · Fidelity · Pershing · JPM"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Type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Segment badge: UHNW, FO, HNW. 9–10pt medium on coloured background. Blue for UHNW, neutral for FO, green for HNW.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AUM</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Dollar value, 13pt medium. E.g. $68.70M. Right-aligned.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YTD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Percentage with sign. Green for positive, red for negative, muted dash for no data. 12pt.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Drift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Plain English sleeve name + direction + magnitude. E.g. "US Equity +9pp". Amber or red if outside tolerance. "On target" in muted if within.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Last contact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Contact type + days ago. E.g. "Email · 3d ago". Amber if &gt; 30 days ago. Shows clock icon if overdue.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Review</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Days badge: "7d", "30d", "60d". Amber if &lt; 14 days. Red "Overdue" badge with border if past due.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Next action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One recommended action as a coloured chip with icon. E.g. "Rebalance", "Schedule review", "Send alts update". Dash if no action needed.</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Row states</w:t>
      </w:r>
    </w:p>
    <w:p>
      <w:pPr>
        <w:pStyle w:val="ListParagraph"/>
        <w:numPr>
          <w:ilvl w:val="0"/>
          <w:numId w:val="2"/>
        </w:numPr>
        <w:spacing w:after="80" w:before="0"/>
      </w:pPr>
      <w:r>
        <w:rPr>
          <w:rFonts w:ascii="Arial" w:cs="Arial" w:eastAsia="Arial" w:hAnsi="Arial"/>
          <w:color w:val="333333"/>
          <w:sz w:val="22"/>
          <w:szCs w:val="22"/>
        </w:rPr>
        <w:t xml:space="preserve">Default row — neutral background, all text at standard opacity</w:t>
      </w:r>
    </w:p>
    <w:p>
      <w:pPr>
        <w:pStyle w:val="ListParagraph"/>
        <w:numPr>
          <w:ilvl w:val="0"/>
          <w:numId w:val="2"/>
        </w:numPr>
        <w:spacing w:after="80" w:before="0"/>
      </w:pPr>
      <w:r>
        <w:rPr>
          <w:rFonts w:ascii="Arial" w:cs="Arial" w:eastAsia="Arial" w:hAnsi="Arial"/>
          <w:color w:val="333333"/>
          <w:sz w:val="22"/>
          <w:szCs w:val="22"/>
        </w:rPr>
        <w:t xml:space="preserve">Overdue row — danger background tint applied to full row, overdue badge in column 7</w:t>
      </w:r>
    </w:p>
    <w:p>
      <w:pPr>
        <w:pStyle w:val="ListParagraph"/>
        <w:numPr>
          <w:ilvl w:val="0"/>
          <w:numId w:val="2"/>
        </w:numPr>
        <w:spacing w:after="80" w:before="0"/>
      </w:pPr>
      <w:r>
        <w:rPr>
          <w:rFonts w:ascii="Arial" w:cs="Arial" w:eastAsia="Arial" w:hAnsi="Arial"/>
          <w:color w:val="333333"/>
          <w:sz w:val="22"/>
          <w:szCs w:val="22"/>
        </w:rPr>
        <w:t xml:space="preserve">Opportunity row — no special tint; action chip in column 8 carries the signal</w:t>
      </w:r>
    </w:p>
    <w:p>
      <w:pPr>
        <w:pStyle w:val="ListParagraph"/>
        <w:numPr>
          <w:ilvl w:val="0"/>
          <w:numId w:val="2"/>
        </w:numPr>
        <w:spacing w:after="80" w:before="0"/>
      </w:pPr>
      <w:r>
        <w:rPr>
          <w:rFonts w:ascii="Arial" w:cs="Arial" w:eastAsia="Arial" w:hAnsi="Arial"/>
          <w:color w:val="333333"/>
          <w:sz w:val="22"/>
          <w:szCs w:val="22"/>
        </w:rPr>
        <w:t xml:space="preserve">Hover state — secondary background tint, cursor pointer</w:t>
      </w:r>
    </w:p>
    <w:p>
      <w:pPr>
        <w:spacing w:after="80" w:before="0"/>
      </w:pPr>
      <w:r>
        <w:t xml:space="preserve"/>
      </w:r>
    </w:p>
    <w:p>
      <w:pPr>
        <w:shd w:fill="DBEAFE" w:val="clear"/>
        <w:spacing w:after="80" w:before="80"/>
        <w:ind w:left="0"/>
      </w:pPr>
      <w:r>
        <w:rPr>
          <w:rFonts w:ascii="Arial" w:cs="Arial" w:eastAsia="Arial" w:hAnsi="Arial"/>
          <w:b/>
          <w:bCs/>
          <w:color w:val="1E40AF"/>
          <w:sz w:val="20"/>
          <w:szCs w:val="20"/>
        </w:rPr>
        <w:t xml:space="preserve">  Table column order is fixed. Do not allow reordering — the advisor relies on muscle memory for urgency signals.  </w:t>
      </w:r>
    </w:p>
    <w:p>
      <w:r>
        <w:br w:type="page"/>
      </w:r>
    </w:p>
    <w:p>
      <w:pPr>
        <w:spacing w:after="240" w:before="0"/>
      </w:pPr>
      <w:r>
        <w:t xml:space="preserve"/>
      </w:r>
    </w:p>
    <w:p>
      <w:pPr>
        <w:shd w:fill="EEF2FF" w:val="clear"/>
        <w:spacing w:after="80" w:before="0"/>
      </w:pPr>
      <w:r>
        <w:rPr>
          <w:rFonts w:ascii="Arial" w:cs="Arial" w:eastAsia="Arial" w:hAnsi="Arial"/>
          <w:b/>
          <w:bCs/>
          <w:color w:val="1A1A2E"/>
          <w:sz w:val="32"/>
          <w:szCs w:val="32"/>
        </w:rPr>
        <w:t xml:space="preserve">Screen 3 — Client workspace</w:t>
      </w:r>
    </w:p>
    <w:p>
      <w:pPr>
        <w:spacing w:after="160" w:before="0"/>
      </w:pPr>
      <w:r>
        <w:rPr>
          <w:rFonts w:ascii="Arial" w:cs="Arial" w:eastAsia="Arial" w:hAnsi="Arial"/>
          <w:i/>
          <w:iCs/>
          <w:color w:val="666666"/>
          <w:sz w:val="20"/>
          <w:szCs w:val="20"/>
        </w:rPr>
        <w:t xml:space="preserve">The pre-call brief. Opens when the advisor clicks a client row. Three tabs replace the original 11.</w:t>
      </w:r>
    </w:p>
    <w:p>
      <w:pPr>
        <w:pStyle w:val="Heading3"/>
        <w:spacing w:after="80" w:before="280"/>
      </w:pPr>
      <w:r>
        <w:rPr>
          <w:rFonts w:ascii="Arial" w:cs="Arial" w:eastAsia="Arial" w:hAnsi="Arial"/>
          <w:b/>
          <w:bCs/>
          <w:color w:val="185FA5"/>
          <w:sz w:val="22"/>
          <w:szCs w:val="22"/>
        </w:rPr>
        <w:t xml:space="preserve">Header —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Breadcrumb</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 All clients — 11pt, tertiary. Clicking returns to client list without losing scroll position.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Page title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Household name — 22pt bold. E.g. "The Marchetti Family".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Sub-line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 accounts · Custodian 1 · Custodian 2 · Segment" — 12pt muted.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Ask Slate button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Top-right. Label: "Ask Slate" with sparkle icon. 12pt medium. Dark background. Opens an AI chat drawer anchored to this client context.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Entity pills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Horizontal pill row below the sub-line. "All entities" selected by default. Each pill is an account entity. Selecting one filters all tabs to that entity only.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Tab row</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Three tabs: Pulse · Portfolio · Alts &amp; structured. 12pt. Active tab underlined. No more than three tabs — ever.</w:t>
            </w:r>
          </w:p>
        </w:tc>
      </w:tr>
    </w:tbl>
    <w:p>
      <w:pPr>
        <w:spacing w:after="120" w:before="0"/>
      </w:pPr>
      <w:r>
        <w:t xml:space="preserve"/>
      </w:r>
    </w:p>
    <w:p>
      <w:pPr>
        <w:spacing w:after="160" w:before="0"/>
      </w:pPr>
      <w:r>
        <w:t xml:space="preserve"/>
      </w:r>
    </w:p>
    <w:p>
      <w:pPr>
        <w:pBdr>
          <w:left w:val="single" w:color="185FA5" w:sz="12" w:space="8"/>
        </w:pBdr>
        <w:spacing w:after="60" w:before="0"/>
        <w:ind w:left="180"/>
      </w:pPr>
      <w:r>
        <w:rPr>
          <w:rFonts w:ascii="Arial" w:cs="Arial" w:eastAsia="Arial" w:hAnsi="Arial"/>
          <w:b/>
          <w:bCs/>
          <w:color w:val="185FA5"/>
          <w:sz w:val="24"/>
          <w:szCs w:val="24"/>
        </w:rPr>
        <w:t xml:space="preserve">Tab 1 — Pulse</w:t>
      </w:r>
    </w:p>
    <w:p>
      <w:pPr>
        <w:spacing w:after="120" w:before="0"/>
        <w:ind w:left="180"/>
      </w:pPr>
      <w:r>
        <w:rPr>
          <w:rFonts w:ascii="Arial" w:cs="Arial" w:eastAsia="Arial" w:hAnsi="Arial"/>
          <w:i/>
          <w:iCs/>
          <w:color w:val="666666"/>
          <w:sz w:val="20"/>
          <w:szCs w:val="20"/>
        </w:rPr>
        <w:t xml:space="preserve">The 80% view. Everything the advisor needs for a client call or morning triage, on one screen without scrolling.</w:t>
      </w:r>
    </w:p>
    <w:p>
      <w:pPr>
        <w:spacing w:after="60" w:before="200"/>
      </w:pPr>
      <w:r>
        <w:rPr>
          <w:rFonts w:ascii="Arial" w:cs="Arial" w:eastAsia="Arial" w:hAnsi="Arial"/>
          <w:b/>
          <w:bCs/>
          <w:color w:val="1A1A2E"/>
          <w:sz w:val="20"/>
          <w:szCs w:val="20"/>
        </w:rPr>
        <w:t xml:space="preserve">KPI row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Net worth</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NET WORTH (9pt caps). Value: $N.NNM (20pt). Delta: green/red percentage below.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Liquid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LIQUID. Value: $N.NNM. Sub: "NN% of scope" — liquid portion as percentage of net worth.</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Unrealised gain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UNREALISED GAIN. Value: $N.NNM. Delta: +NN% below in green.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YTD income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Label: YTD INCOME. Value: $NNNk. Sub: "div + interest" — never changes.</w:t>
            </w:r>
          </w:p>
        </w:tc>
      </w:tr>
    </w:tbl>
    <w:p>
      <w:pPr>
        <w:spacing w:after="80" w:before="0"/>
      </w:pPr>
      <w:r>
        <w:t xml:space="preserve"/>
      </w:r>
    </w:p>
    <w:p>
      <w:pPr>
        <w:spacing w:after="60" w:before="200"/>
      </w:pPr>
      <w:r>
        <w:rPr>
          <w:rFonts w:ascii="Arial" w:cs="Arial" w:eastAsia="Arial" w:hAnsi="Arial"/>
          <w:b/>
          <w:bCs/>
          <w:color w:val="1A1A2E"/>
          <w:sz w:val="20"/>
          <w:szCs w:val="20"/>
        </w:rPr>
        <w:t xml:space="preserve">Attention needed card (left, 50% width)</w:t>
      </w:r>
    </w:p>
    <w:p>
      <w:pPr>
        <w:spacing w:after="120" w:before="0"/>
      </w:pPr>
      <w:r>
        <w:rPr>
          <w:rFonts w:ascii="Arial" w:cs="Arial" w:eastAsia="Arial" w:hAnsi="Arial"/>
          <w:color w:val="333333"/>
          <w:sz w:val="22"/>
          <w:szCs w:val="22"/>
        </w:rPr>
        <w:t xml:space="preserve">Title: "Attention needed" — 12–13pt medium.</w:t>
      </w:r>
    </w:p>
    <w:p>
      <w:pPr>
        <w:spacing w:after="120" w:before="0"/>
      </w:pPr>
      <w:r>
        <w:rPr>
          <w:rFonts w:ascii="Arial" w:cs="Arial" w:eastAsia="Arial" w:hAnsi="Arial"/>
          <w:color w:val="333333"/>
          <w:sz w:val="22"/>
          <w:szCs w:val="22"/>
        </w:rPr>
        <w:t xml:space="preserve">Lists 1–3 action items ranked by urgency. Each item has:</w:t>
      </w:r>
    </w:p>
    <w:p>
      <w:pPr>
        <w:pStyle w:val="ListParagraph"/>
        <w:numPr>
          <w:ilvl w:val="0"/>
          <w:numId w:val="2"/>
        </w:numPr>
        <w:spacing w:after="80" w:before="0"/>
      </w:pPr>
      <w:r>
        <w:rPr>
          <w:rFonts w:ascii="Arial" w:cs="Arial" w:eastAsia="Arial" w:hAnsi="Arial"/>
          <w:color w:val="333333"/>
          <w:sz w:val="22"/>
          <w:szCs w:val="22"/>
        </w:rPr>
        <w:t xml:space="preserve">Icon in a coloured square (warn / info / success colour)</w:t>
      </w:r>
    </w:p>
    <w:p>
      <w:pPr>
        <w:pStyle w:val="ListParagraph"/>
        <w:numPr>
          <w:ilvl w:val="0"/>
          <w:numId w:val="2"/>
        </w:numPr>
        <w:spacing w:after="80" w:before="0"/>
      </w:pPr>
      <w:r>
        <w:rPr>
          <w:rFonts w:ascii="Arial" w:cs="Arial" w:eastAsia="Arial" w:hAnsi="Arial"/>
          <w:color w:val="333333"/>
          <w:sz w:val="22"/>
          <w:szCs w:val="22"/>
        </w:rPr>
        <w:t xml:space="preserve">Title: specific, named, numbered — e.g. "US equity drift +9pp above IPS target"</w:t>
      </w:r>
    </w:p>
    <w:p>
      <w:pPr>
        <w:pStyle w:val="ListParagraph"/>
        <w:numPr>
          <w:ilvl w:val="0"/>
          <w:numId w:val="2"/>
        </w:numPr>
        <w:spacing w:after="80" w:before="0"/>
      </w:pPr>
      <w:r>
        <w:rPr>
          <w:rFonts w:ascii="Arial" w:cs="Arial" w:eastAsia="Arial" w:hAnsi="Arial"/>
          <w:color w:val="333333"/>
          <w:sz w:val="22"/>
          <w:szCs w:val="22"/>
        </w:rPr>
        <w:t xml:space="preserve">Description: data detail — e.g. "Current 46.8% · target 38% · tolerance ±5pp"</w:t>
      </w:r>
    </w:p>
    <w:p>
      <w:pPr>
        <w:pStyle w:val="ListParagraph"/>
        <w:numPr>
          <w:ilvl w:val="0"/>
          <w:numId w:val="2"/>
        </w:numPr>
        <w:spacing w:after="80" w:before="0"/>
      </w:pPr>
      <w:r>
        <w:rPr>
          <w:rFonts w:ascii="Arial" w:cs="Arial" w:eastAsia="Arial" w:hAnsi="Arial"/>
          <w:color w:val="333333"/>
          <w:sz w:val="22"/>
          <w:szCs w:val="22"/>
        </w:rPr>
        <w:t xml:space="preserve">CTA link: verb phrase — e.g. "Propose rebalance →", "Send opt-in →", "Book meeting →"</w:t>
      </w:r>
    </w:p>
    <w:p>
      <w:pPr>
        <w:spacing w:after="120" w:before="0"/>
      </w:pPr>
      <w:r>
        <w:rPr>
          <w:rFonts w:ascii="Arial" w:cs="Arial" w:eastAsia="Arial" w:hAnsi="Arial"/>
          <w:color w:val="333333"/>
          <w:sz w:val="22"/>
          <w:szCs w:val="22"/>
        </w:rPr>
        <w:t xml:space="preserve">Empty state: "No items — book is clean" with a green check icon.</w:t>
      </w:r>
    </w:p>
    <w:p>
      <w:pPr>
        <w:spacing w:after="80" w:before="0"/>
      </w:pPr>
      <w:r>
        <w:t xml:space="preserve"/>
      </w:r>
    </w:p>
    <w:p>
      <w:pPr>
        <w:spacing w:after="60" w:before="200"/>
      </w:pPr>
      <w:r>
        <w:rPr>
          <w:rFonts w:ascii="Arial" w:cs="Arial" w:eastAsia="Arial" w:hAnsi="Arial"/>
          <w:b/>
          <w:bCs/>
          <w:color w:val="1A1A2E"/>
          <w:sz w:val="20"/>
          <w:szCs w:val="20"/>
        </w:rPr>
        <w:t xml:space="preserve">Allocation vs IPS targets card (right, 50% width)</w:t>
      </w:r>
    </w:p>
    <w:p>
      <w:pPr>
        <w:spacing w:after="120" w:before="0"/>
      </w:pPr>
      <w:r>
        <w:rPr>
          <w:rFonts w:ascii="Arial" w:cs="Arial" w:eastAsia="Arial" w:hAnsi="Arial"/>
          <w:color w:val="333333"/>
          <w:sz w:val="22"/>
          <w:szCs w:val="22"/>
        </w:rPr>
        <w:t xml:space="preserve">Title: "Allocation vs IPS targets" — 12–13pt medium. Sub: "Asset classes · vs. IPS blend" — 11pt muted.</w:t>
      </w:r>
    </w:p>
    <w:p>
      <w:pPr>
        <w:spacing w:after="120" w:before="0"/>
      </w:pPr>
      <w:r>
        <w:rPr>
          <w:rFonts w:ascii="Arial" w:cs="Arial" w:eastAsia="Arial" w:hAnsi="Arial"/>
          <w:color w:val="333333"/>
          <w:sz w:val="22"/>
          <w:szCs w:val="22"/>
        </w:rPr>
        <w:t xml:space="preserve">One row per asset class. Each row:</w:t>
      </w:r>
    </w:p>
    <w:p>
      <w:pPr>
        <w:pStyle w:val="ListParagraph"/>
        <w:numPr>
          <w:ilvl w:val="0"/>
          <w:numId w:val="2"/>
        </w:numPr>
        <w:spacing w:after="80" w:before="0"/>
      </w:pPr>
      <w:r>
        <w:rPr>
          <w:rFonts w:ascii="Arial" w:cs="Arial" w:eastAsia="Arial" w:hAnsi="Arial"/>
          <w:color w:val="333333"/>
          <w:sz w:val="22"/>
          <w:szCs w:val="22"/>
        </w:rPr>
        <w:t xml:space="preserve">Label: asset class name — 11pt, 80px min-width</w:t>
      </w:r>
    </w:p>
    <w:p>
      <w:pPr>
        <w:pStyle w:val="ListParagraph"/>
        <w:numPr>
          <w:ilvl w:val="0"/>
          <w:numId w:val="2"/>
        </w:numPr>
        <w:spacing w:after="80" w:before="0"/>
      </w:pPr>
      <w:r>
        <w:rPr>
          <w:rFonts w:ascii="Arial" w:cs="Arial" w:eastAsia="Arial" w:hAnsi="Arial"/>
          <w:color w:val="333333"/>
          <w:sz w:val="22"/>
          <w:szCs w:val="22"/>
        </w:rPr>
        <w:t xml:space="preserve">Bar: proportional to current allocation, coloured by class</w:t>
      </w:r>
    </w:p>
    <w:p>
      <w:pPr>
        <w:pStyle w:val="ListParagraph"/>
        <w:numPr>
          <w:ilvl w:val="0"/>
          <w:numId w:val="2"/>
        </w:numPr>
        <w:spacing w:after="80" w:before="0"/>
      </w:pPr>
      <w:r>
        <w:rPr>
          <w:rFonts w:ascii="Arial" w:cs="Arial" w:eastAsia="Arial" w:hAnsi="Arial"/>
          <w:color w:val="333333"/>
          <w:sz w:val="22"/>
          <w:szCs w:val="22"/>
        </w:rPr>
        <w:t xml:space="preserve">Current %: 11pt medium, right-aligned</w:t>
      </w:r>
    </w:p>
    <w:p>
      <w:pPr>
        <w:pStyle w:val="ListParagraph"/>
        <w:numPr>
          <w:ilvl w:val="0"/>
          <w:numId w:val="2"/>
        </w:numPr>
        <w:spacing w:after="80" w:before="0"/>
      </w:pPr>
      <w:r>
        <w:rPr>
          <w:rFonts w:ascii="Arial" w:cs="Arial" w:eastAsia="Arial" w:hAnsi="Arial"/>
          <w:color w:val="333333"/>
          <w:sz w:val="22"/>
          <w:szCs w:val="22"/>
        </w:rPr>
        <w:t xml:space="preserve">Target %: 10pt muted, e.g. "tgt 38%"</w:t>
      </w:r>
    </w:p>
    <w:p>
      <w:pPr>
        <w:pStyle w:val="ListParagraph"/>
        <w:numPr>
          <w:ilvl w:val="0"/>
          <w:numId w:val="2"/>
        </w:numPr>
        <w:spacing w:after="80" w:before="0"/>
      </w:pPr>
      <w:r>
        <w:rPr>
          <w:rFonts w:ascii="Arial" w:cs="Arial" w:eastAsia="Arial" w:hAnsi="Arial"/>
          <w:color w:val="333333"/>
          <w:sz w:val="22"/>
          <w:szCs w:val="22"/>
        </w:rPr>
        <w:t xml:space="preserve">Drift badge: shows only when outside tolerance, e.g. "+9pp" in amber</w:t>
      </w:r>
    </w:p>
    <w:p>
      <w:pPr>
        <w:spacing w:after="120" w:before="0"/>
      </w:pPr>
      <w:r>
        <w:rPr>
          <w:rFonts w:ascii="Arial" w:cs="Arial" w:eastAsia="Arial" w:hAnsi="Arial"/>
          <w:color w:val="333333"/>
          <w:sz w:val="22"/>
          <w:szCs w:val="22"/>
        </w:rPr>
        <w:t xml:space="preserve">Performance summary strip below the allocation rows: 4 numbers — Portfolio 1Y %, Benchmark %, Alpha, Max drawdown. 13–16pt. Labels in 10pt muted below each number.</w:t>
      </w:r>
    </w:p>
    <w:p>
      <w:pPr>
        <w:spacing w:after="120" w:before="0"/>
      </w:pPr>
      <w:r>
        <w:t xml:space="preserve"/>
      </w:r>
    </w:p>
    <w:p>
      <w:pPr>
        <w:spacing w:after="60" w:before="200"/>
      </w:pPr>
      <w:r>
        <w:rPr>
          <w:rFonts w:ascii="Arial" w:cs="Arial" w:eastAsia="Arial" w:hAnsi="Arial"/>
          <w:b/>
          <w:bCs/>
          <w:color w:val="1A1A2E"/>
          <w:sz w:val="20"/>
          <w:szCs w:val="20"/>
        </w:rPr>
        <w:t xml:space="preserve">Deep dive links — always visible at card bottom</w:t>
      </w:r>
    </w:p>
    <w:p>
      <w:pPr>
        <w:spacing w:after="120" w:before="0"/>
      </w:pPr>
      <w:r>
        <w:rPr>
          <w:rFonts w:ascii="Arial" w:cs="Arial" w:eastAsia="Arial" w:hAnsi="Arial"/>
          <w:color w:val="333333"/>
          <w:sz w:val="22"/>
          <w:szCs w:val="22"/>
        </w:rPr>
        <w:t xml:space="preserve">A horizontal row of text links below the two cards. These replace tabs 3–11 from the original design. Labels:</w:t>
      </w:r>
    </w:p>
    <w:p>
      <w:pPr>
        <w:pStyle w:val="ListParagraph"/>
        <w:numPr>
          <w:ilvl w:val="0"/>
          <w:numId w:val="2"/>
        </w:numPr>
        <w:spacing w:after="80" w:before="0"/>
      </w:pPr>
      <w:r>
        <w:rPr>
          <w:rFonts w:ascii="Arial" w:cs="Arial" w:eastAsia="Arial" w:hAnsi="Arial"/>
          <w:color w:val="333333"/>
          <w:sz w:val="22"/>
          <w:szCs w:val="22"/>
        </w:rPr>
        <w:t xml:space="preserve">Holdings</w:t>
      </w:r>
    </w:p>
    <w:p>
      <w:pPr>
        <w:pStyle w:val="ListParagraph"/>
        <w:numPr>
          <w:ilvl w:val="0"/>
          <w:numId w:val="2"/>
        </w:numPr>
        <w:spacing w:after="80" w:before="0"/>
      </w:pPr>
      <w:r>
        <w:rPr>
          <w:rFonts w:ascii="Arial" w:cs="Arial" w:eastAsia="Arial" w:hAnsi="Arial"/>
          <w:color w:val="333333"/>
          <w:sz w:val="22"/>
          <w:szCs w:val="22"/>
        </w:rPr>
        <w:t xml:space="preserve">Diversification</w:t>
      </w:r>
    </w:p>
    <w:p>
      <w:pPr>
        <w:pStyle w:val="ListParagraph"/>
        <w:numPr>
          <w:ilvl w:val="0"/>
          <w:numId w:val="2"/>
        </w:numPr>
        <w:spacing w:after="80" w:before="0"/>
      </w:pPr>
      <w:r>
        <w:rPr>
          <w:rFonts w:ascii="Arial" w:cs="Arial" w:eastAsia="Arial" w:hAnsi="Arial"/>
          <w:color w:val="333333"/>
          <w:sz w:val="22"/>
          <w:szCs w:val="22"/>
        </w:rPr>
        <w:t xml:space="preserve">Cashflow</w:t>
      </w:r>
    </w:p>
    <w:p>
      <w:pPr>
        <w:pStyle w:val="ListParagraph"/>
        <w:numPr>
          <w:ilvl w:val="0"/>
          <w:numId w:val="2"/>
        </w:numPr>
        <w:spacing w:after="80" w:before="0"/>
      </w:pPr>
      <w:r>
        <w:rPr>
          <w:rFonts w:ascii="Arial" w:cs="Arial" w:eastAsia="Arial" w:hAnsi="Arial"/>
          <w:color w:val="333333"/>
          <w:sz w:val="22"/>
          <w:szCs w:val="22"/>
        </w:rPr>
        <w:t xml:space="preserve">Goals &amp; outcomes</w:t>
      </w:r>
    </w:p>
    <w:p>
      <w:pPr>
        <w:pStyle w:val="ListParagraph"/>
        <w:numPr>
          <w:ilvl w:val="0"/>
          <w:numId w:val="2"/>
        </w:numPr>
        <w:spacing w:after="80" w:before="0"/>
      </w:pPr>
      <w:r>
        <w:rPr>
          <w:rFonts w:ascii="Arial" w:cs="Arial" w:eastAsia="Arial" w:hAnsi="Arial"/>
          <w:color w:val="333333"/>
          <w:sz w:val="22"/>
          <w:szCs w:val="22"/>
        </w:rPr>
        <w:t xml:space="preserve">Documents</w:t>
      </w:r>
    </w:p>
    <w:p>
      <w:pPr>
        <w:pStyle w:val="ListParagraph"/>
        <w:numPr>
          <w:ilvl w:val="0"/>
          <w:numId w:val="2"/>
        </w:numPr>
        <w:spacing w:after="80" w:before="0"/>
      </w:pPr>
      <w:r>
        <w:rPr>
          <w:rFonts w:ascii="Arial" w:cs="Arial" w:eastAsia="Arial" w:hAnsi="Arial"/>
          <w:color w:val="333333"/>
          <w:sz w:val="22"/>
          <w:szCs w:val="22"/>
        </w:rPr>
        <w:t xml:space="preserve">Communication log</w:t>
      </w:r>
    </w:p>
    <w:p>
      <w:pPr>
        <w:pStyle w:val="ListParagraph"/>
        <w:numPr>
          <w:ilvl w:val="0"/>
          <w:numId w:val="2"/>
        </w:numPr>
        <w:spacing w:after="80" w:before="0"/>
      </w:pPr>
      <w:r>
        <w:rPr>
          <w:rFonts w:ascii="Arial" w:cs="Arial" w:eastAsia="Arial" w:hAnsi="Arial"/>
          <w:color w:val="333333"/>
          <w:sz w:val="22"/>
          <w:szCs w:val="22"/>
        </w:rPr>
        <w:t xml:space="preserve">Upcoming events</w:t>
      </w:r>
    </w:p>
    <w:p>
      <w:pPr>
        <w:spacing w:after="120" w:before="0"/>
      </w:pPr>
      <w:r>
        <w:rPr>
          <w:rFonts w:ascii="Arial" w:cs="Arial" w:eastAsia="Arial" w:hAnsi="Arial"/>
          <w:color w:val="333333"/>
          <w:sz w:val="22"/>
          <w:szCs w:val="22"/>
        </w:rPr>
        <w:t xml:space="preserve">Each link opens a drawer (slide-in panel from the right) rather than navigating away from the Pulse view. The advisor keeps context while drilling deeper.</w:t>
      </w:r>
    </w:p>
    <w:p>
      <w:pPr>
        <w:spacing w:after="120" w:before="0"/>
      </w:pPr>
      <w:r>
        <w:t xml:space="preserve"/>
      </w:r>
    </w:p>
    <w:p>
      <w:pPr>
        <w:spacing w:after="60" w:before="200"/>
      </w:pPr>
      <w:r>
        <w:rPr>
          <w:rFonts w:ascii="Arial" w:cs="Arial" w:eastAsia="Arial" w:hAnsi="Arial"/>
          <w:b/>
          <w:bCs/>
          <w:color w:val="1A1A2E"/>
          <w:sz w:val="20"/>
          <w:szCs w:val="20"/>
        </w:rPr>
        <w:t xml:space="preserve">Ask Slate — copy spec</w:t>
      </w:r>
    </w:p>
    <w:p>
      <w:pPr>
        <w:spacing w:after="120" w:before="0"/>
      </w:pPr>
      <w:r>
        <w:rPr>
          <w:rFonts w:ascii="Arial" w:cs="Arial" w:eastAsia="Arial" w:hAnsi="Arial"/>
          <w:color w:val="333333"/>
          <w:sz w:val="22"/>
          <w:szCs w:val="22"/>
        </w:rPr>
        <w:t xml:space="preserve">Drawer heading: "Ask Slate — Marchetti" — always scoped to the open client.</w:t>
      </w:r>
    </w:p>
    <w:p>
      <w:pPr>
        <w:spacing w:after="120" w:before="0"/>
      </w:pPr>
      <w:r>
        <w:rPr>
          <w:rFonts w:ascii="Arial" w:cs="Arial" w:eastAsia="Arial" w:hAnsi="Arial"/>
          <w:color w:val="333333"/>
          <w:sz w:val="22"/>
          <w:szCs w:val="22"/>
        </w:rPr>
        <w:t xml:space="preserve">Suggested prompts shown on open (before first message):</w:t>
      </w:r>
    </w:p>
    <w:p>
      <w:pPr>
        <w:pStyle w:val="ListParagraph"/>
        <w:numPr>
          <w:ilvl w:val="0"/>
          <w:numId w:val="2"/>
        </w:numPr>
        <w:spacing w:after="80" w:before="0"/>
      </w:pPr>
      <w:r>
        <w:rPr>
          <w:rFonts w:ascii="Arial" w:cs="Arial" w:eastAsia="Arial" w:hAnsi="Arial"/>
          <w:color w:val="333333"/>
          <w:sz w:val="22"/>
          <w:szCs w:val="22"/>
        </w:rPr>
        <w:t xml:space="preserve">"Summarise this household for a 3pm call"</w:t>
      </w:r>
    </w:p>
    <w:p>
      <w:pPr>
        <w:pStyle w:val="ListParagraph"/>
        <w:numPr>
          <w:ilvl w:val="0"/>
          <w:numId w:val="2"/>
        </w:numPr>
        <w:spacing w:after="80" w:before="0"/>
      </w:pPr>
      <w:r>
        <w:rPr>
          <w:rFonts w:ascii="Arial" w:cs="Arial" w:eastAsia="Arial" w:hAnsi="Arial"/>
          <w:color w:val="333333"/>
          <w:sz w:val="22"/>
          <w:szCs w:val="22"/>
        </w:rPr>
        <w:t xml:space="preserve">"Draft a rebalance proposal for the US equity drift"</w:t>
      </w:r>
    </w:p>
    <w:p>
      <w:pPr>
        <w:pStyle w:val="ListParagraph"/>
        <w:numPr>
          <w:ilvl w:val="0"/>
          <w:numId w:val="2"/>
        </w:numPr>
        <w:spacing w:after="80" w:before="0"/>
      </w:pPr>
      <w:r>
        <w:rPr>
          <w:rFonts w:ascii="Arial" w:cs="Arial" w:eastAsia="Arial" w:hAnsi="Arial"/>
          <w:color w:val="333333"/>
          <w:sz w:val="22"/>
          <w:szCs w:val="22"/>
        </w:rPr>
        <w:t xml:space="preserve">"What's the tax impact of reducing fixed income by 5pp?"</w:t>
      </w:r>
    </w:p>
    <w:p>
      <w:pPr>
        <w:pStyle w:val="ListParagraph"/>
        <w:numPr>
          <w:ilvl w:val="0"/>
          <w:numId w:val="2"/>
        </w:numPr>
        <w:spacing w:after="80" w:before="0"/>
      </w:pPr>
      <w:r>
        <w:rPr>
          <w:rFonts w:ascii="Arial" w:cs="Arial" w:eastAsia="Arial" w:hAnsi="Arial"/>
          <w:color w:val="333333"/>
          <w:sz w:val="22"/>
          <w:szCs w:val="22"/>
        </w:rPr>
        <w:t xml:space="preserve">"When did I last speak with the Marchetti family?"</w:t>
      </w:r>
    </w:p>
    <w:p>
      <w:pPr>
        <w:spacing w:after="120" w:before="0"/>
      </w:pPr>
      <w:r>
        <w:rPr>
          <w:rFonts w:ascii="Arial" w:cs="Arial" w:eastAsia="Arial" w:hAnsi="Arial"/>
          <w:color w:val="333333"/>
          <w:sz w:val="22"/>
          <w:szCs w:val="22"/>
        </w:rPr>
        <w:t xml:space="preserve">Slate always responds in the context of the open client. It should say "Based on Marchetti's portfolio..." not "Based on the data provided...".</w:t>
      </w:r>
    </w:p>
    <w:p>
      <w:pPr>
        <w:spacing w:after="80" w:before="0"/>
      </w:pPr>
      <w:r>
        <w:t xml:space="preserve"/>
      </w:r>
    </w:p>
    <w:p>
      <w:pPr>
        <w:shd w:fill="FEE2E2" w:val="clear"/>
        <w:spacing w:after="80" w:before="80"/>
        <w:ind w:left="0"/>
      </w:pPr>
      <w:r>
        <w:rPr>
          <w:rFonts w:ascii="Arial" w:cs="Arial" w:eastAsia="Arial" w:hAnsi="Arial"/>
          <w:b/>
          <w:bCs/>
          <w:color w:val="991B1B"/>
          <w:sz w:val="20"/>
          <w:szCs w:val="20"/>
        </w:rPr>
        <w:t xml:space="preserve">  Ask Slate is not a general chatbot. It is a scoped copilot. Every response must reference specific client data. Generic answers are a product failure.  </w:t>
      </w:r>
    </w:p>
    <w:p>
      <w:r>
        <w:br w:type="page"/>
      </w:r>
    </w:p>
    <w:p>
      <w:pPr>
        <w:spacing w:after="160" w:before="0"/>
      </w:pPr>
      <w:r>
        <w:t xml:space="preserve"/>
      </w:r>
    </w:p>
    <w:p>
      <w:pPr>
        <w:pBdr>
          <w:left w:val="single" w:color="185FA5" w:sz="12" w:space="8"/>
        </w:pBdr>
        <w:spacing w:after="60" w:before="0"/>
        <w:ind w:left="180"/>
      </w:pPr>
      <w:r>
        <w:rPr>
          <w:rFonts w:ascii="Arial" w:cs="Arial" w:eastAsia="Arial" w:hAnsi="Arial"/>
          <w:b/>
          <w:bCs/>
          <w:color w:val="185FA5"/>
          <w:sz w:val="24"/>
          <w:szCs w:val="24"/>
        </w:rPr>
        <w:t xml:space="preserve">Tab 2 — Portfolio</w:t>
      </w:r>
    </w:p>
    <w:p>
      <w:pPr>
        <w:spacing w:after="120" w:before="0"/>
        <w:ind w:left="180"/>
      </w:pPr>
      <w:r>
        <w:rPr>
          <w:rFonts w:ascii="Arial" w:cs="Arial" w:eastAsia="Arial" w:hAnsi="Arial"/>
          <w:i/>
          <w:iCs/>
          <w:color w:val="666666"/>
          <w:sz w:val="20"/>
          <w:szCs w:val="20"/>
        </w:rPr>
        <w:t xml:space="preserve">Deep portfolio view. The advisor uses this during a review meeting to walk through holdings, performance, and diversification.</w:t>
      </w:r>
    </w:p>
    <w:p>
      <w:pPr>
        <w:spacing w:after="60" w:before="200"/>
      </w:pPr>
      <w:r>
        <w:rPr>
          <w:rFonts w:ascii="Arial" w:cs="Arial" w:eastAsia="Arial" w:hAnsi="Arial"/>
          <w:b/>
          <w:bCs/>
          <w:color w:val="1A1A2E"/>
          <w:sz w:val="20"/>
          <w:szCs w:val="20"/>
        </w:rPr>
        <w:t xml:space="preserve">Sub-navigation (within the tab)</w:t>
      </w:r>
    </w:p>
    <w:p>
      <w:pPr>
        <w:spacing w:after="120" w:before="0"/>
      </w:pPr>
      <w:r>
        <w:rPr>
          <w:rFonts w:ascii="Arial" w:cs="Arial" w:eastAsia="Arial" w:hAnsi="Arial"/>
          <w:color w:val="333333"/>
          <w:sz w:val="22"/>
          <w:szCs w:val="22"/>
        </w:rPr>
        <w:t xml:space="preserve">Five sub-tabs rendered as underlined text links, not full tabs: Overview · Holdings · Diversification · Accounts · Cashflow. 12pt. Active sub-tab underlined.</w:t>
      </w:r>
    </w:p>
    <w:p>
      <w:pPr>
        <w:spacing w:after="80" w:before="0"/>
      </w:pPr>
      <w:r>
        <w:t xml:space="preserve"/>
      </w:r>
    </w:p>
    <w:p>
      <w:pPr>
        <w:spacing w:after="60" w:before="200"/>
      </w:pPr>
      <w:r>
        <w:rPr>
          <w:rFonts w:ascii="Arial" w:cs="Arial" w:eastAsia="Arial" w:hAnsi="Arial"/>
          <w:b/>
          <w:bCs/>
          <w:color w:val="1A1A2E"/>
          <w:sz w:val="20"/>
          <w:szCs w:val="20"/>
        </w:rPr>
        <w:t xml:space="preserve">Overview sub-tab</w:t>
      </w:r>
    </w:p>
    <w:p>
      <w:pPr>
        <w:pStyle w:val="ListParagraph"/>
        <w:numPr>
          <w:ilvl w:val="0"/>
          <w:numId w:val="2"/>
        </w:numPr>
        <w:spacing w:after="80" w:before="0"/>
      </w:pPr>
      <w:r>
        <w:rPr>
          <w:rFonts w:ascii="Arial" w:cs="Arial" w:eastAsia="Arial" w:hAnsi="Arial"/>
          <w:color w:val="333333"/>
          <w:sz w:val="22"/>
          <w:szCs w:val="22"/>
        </w:rPr>
        <w:t xml:space="preserve">Performance chart: line chart, 30D/90D/6M/1Y/5Y toggle. Two series: portfolio (solid) and benchmark (dashed). Max drawdown marked with a dot and label.</w:t>
      </w:r>
    </w:p>
    <w:p>
      <w:pPr>
        <w:pStyle w:val="ListParagraph"/>
        <w:numPr>
          <w:ilvl w:val="0"/>
          <w:numId w:val="2"/>
        </w:numPr>
        <w:spacing w:after="80" w:before="0"/>
      </w:pPr>
      <w:r>
        <w:rPr>
          <w:rFonts w:ascii="Arial" w:cs="Arial" w:eastAsia="Arial" w:hAnsi="Arial"/>
          <w:color w:val="333333"/>
          <w:sz w:val="22"/>
          <w:szCs w:val="22"/>
        </w:rPr>
        <w:t xml:space="preserve">Allocation donut: asset classes. Legend to the right shows class name, %, target %.</w:t>
      </w:r>
    </w:p>
    <w:p>
      <w:pPr>
        <w:pStyle w:val="ListParagraph"/>
        <w:numPr>
          <w:ilvl w:val="0"/>
          <w:numId w:val="2"/>
        </w:numPr>
        <w:spacing w:after="80" w:before="0"/>
      </w:pPr>
      <w:r>
        <w:rPr>
          <w:rFonts w:ascii="Arial" w:cs="Arial" w:eastAsia="Arial" w:hAnsi="Arial"/>
          <w:color w:val="333333"/>
          <w:sz w:val="22"/>
          <w:szCs w:val="22"/>
        </w:rPr>
        <w:t xml:space="preserve">Benchmark comparison: "Trailing 12 months · vs. 60/40 and S&amp;P 500" — 12pt muted subtitle below the chart heading.</w:t>
      </w:r>
    </w:p>
    <w:p>
      <w:pPr>
        <w:spacing w:after="80" w:before="0"/>
      </w:pPr>
      <w:r>
        <w:t xml:space="preserve"/>
      </w:r>
    </w:p>
    <w:p>
      <w:pPr>
        <w:spacing w:after="60" w:before="200"/>
      </w:pPr>
      <w:r>
        <w:rPr>
          <w:rFonts w:ascii="Arial" w:cs="Arial" w:eastAsia="Arial" w:hAnsi="Arial"/>
          <w:b/>
          <w:bCs/>
          <w:color w:val="1A1A2E"/>
          <w:sz w:val="20"/>
          <w:szCs w:val="20"/>
        </w:rPr>
        <w:t xml:space="preserve">Holdings sub-tab</w:t>
      </w:r>
    </w:p>
    <w:p>
      <w:pPr>
        <w:pStyle w:val="ListParagraph"/>
        <w:numPr>
          <w:ilvl w:val="0"/>
          <w:numId w:val="2"/>
        </w:numPr>
        <w:spacing w:after="80" w:before="0"/>
      </w:pPr>
      <w:r>
        <w:rPr>
          <w:rFonts w:ascii="Arial" w:cs="Arial" w:eastAsia="Arial" w:hAnsi="Arial"/>
          <w:color w:val="333333"/>
          <w:sz w:val="22"/>
          <w:szCs w:val="22"/>
        </w:rPr>
        <w:t xml:space="preserve">Table: ticker/name, asset class, account entity, market value, weight, cost basis, unrealised gain/loss, YTD.</w:t>
      </w:r>
    </w:p>
    <w:p>
      <w:pPr>
        <w:pStyle w:val="ListParagraph"/>
        <w:numPr>
          <w:ilvl w:val="0"/>
          <w:numId w:val="2"/>
        </w:numPr>
        <w:spacing w:after="80" w:before="0"/>
      </w:pPr>
      <w:r>
        <w:rPr>
          <w:rFonts w:ascii="Arial" w:cs="Arial" w:eastAsia="Arial" w:hAnsi="Arial"/>
          <w:color w:val="333333"/>
          <w:sz w:val="22"/>
          <w:szCs w:val="22"/>
        </w:rPr>
        <w:t xml:space="preserve">Grouped by entity by default, collapsible. Group header shows entity name + subtotal.</w:t>
      </w:r>
    </w:p>
    <w:p>
      <w:pPr>
        <w:pStyle w:val="ListParagraph"/>
        <w:numPr>
          <w:ilvl w:val="0"/>
          <w:numId w:val="2"/>
        </w:numPr>
        <w:spacing w:after="80" w:before="0"/>
      </w:pPr>
      <w:r>
        <w:rPr>
          <w:rFonts w:ascii="Arial" w:cs="Arial" w:eastAsia="Arial" w:hAnsi="Arial"/>
          <w:color w:val="333333"/>
          <w:sz w:val="22"/>
          <w:szCs w:val="22"/>
        </w:rPr>
        <w:t xml:space="preserve">Column widths: ticker 10%, name 22%, class 12%, entity 12%, value 12%, weight 8%, cost 10%, gain/loss 10%, YTD 8%.</w:t>
      </w:r>
    </w:p>
    <w:p>
      <w:pPr>
        <w:pStyle w:val="ListParagraph"/>
        <w:numPr>
          <w:ilvl w:val="0"/>
          <w:numId w:val="2"/>
        </w:numPr>
        <w:spacing w:after="80" w:before="0"/>
      </w:pPr>
      <w:r>
        <w:rPr>
          <w:rFonts w:ascii="Arial" w:cs="Arial" w:eastAsia="Arial" w:hAnsi="Arial"/>
          <w:color w:val="333333"/>
          <w:sz w:val="22"/>
          <w:szCs w:val="22"/>
        </w:rPr>
        <w:t xml:space="preserve">Gain/loss: green for positive, red for negative. Always show dollar value + percentage in same cell.</w:t>
      </w:r>
    </w:p>
    <w:p>
      <w:pPr>
        <w:spacing w:after="80" w:before="0"/>
      </w:pPr>
      <w:r>
        <w:t xml:space="preserve"/>
      </w:r>
    </w:p>
    <w:p>
      <w:pPr>
        <w:spacing w:after="60" w:before="200"/>
      </w:pPr>
      <w:r>
        <w:rPr>
          <w:rFonts w:ascii="Arial" w:cs="Arial" w:eastAsia="Arial" w:hAnsi="Arial"/>
          <w:b/>
          <w:bCs/>
          <w:color w:val="1A1A2E"/>
          <w:sz w:val="20"/>
          <w:szCs w:val="20"/>
        </w:rPr>
        <w:t xml:space="preserve">Cashflow sub-tab</w:t>
      </w:r>
    </w:p>
    <w:p>
      <w:pPr>
        <w:pStyle w:val="ListParagraph"/>
        <w:numPr>
          <w:ilvl w:val="0"/>
          <w:numId w:val="2"/>
        </w:numPr>
        <w:spacing w:after="80" w:before="0"/>
      </w:pPr>
      <w:r>
        <w:rPr>
          <w:rFonts w:ascii="Arial" w:cs="Arial" w:eastAsia="Arial" w:hAnsi="Arial"/>
          <w:color w:val="333333"/>
          <w:sz w:val="22"/>
          <w:szCs w:val="22"/>
        </w:rPr>
        <w:t xml:space="preserve">Timeline view: deposits, withdrawals, dividends, interest. Grouped by month.</w:t>
      </w:r>
    </w:p>
    <w:p>
      <w:pPr>
        <w:pStyle w:val="ListParagraph"/>
        <w:numPr>
          <w:ilvl w:val="0"/>
          <w:numId w:val="2"/>
        </w:numPr>
        <w:spacing w:after="80" w:before="0"/>
      </w:pPr>
      <w:r>
        <w:rPr>
          <w:rFonts w:ascii="Arial" w:cs="Arial" w:eastAsia="Arial" w:hAnsi="Arial"/>
          <w:color w:val="333333"/>
          <w:sz w:val="22"/>
          <w:szCs w:val="22"/>
        </w:rPr>
        <w:t xml:space="preserve">Net cashflow line above the timeline: running 12-month total.</w:t>
      </w:r>
    </w:p>
    <w:p>
      <w:pPr>
        <w:pStyle w:val="ListParagraph"/>
        <w:numPr>
          <w:ilvl w:val="0"/>
          <w:numId w:val="2"/>
        </w:numPr>
        <w:spacing w:after="80" w:before="0"/>
      </w:pPr>
      <w:r>
        <w:rPr>
          <w:rFonts w:ascii="Arial" w:cs="Arial" w:eastAsia="Arial" w:hAnsi="Arial"/>
          <w:color w:val="333333"/>
          <w:sz w:val="22"/>
          <w:szCs w:val="22"/>
        </w:rPr>
        <w:t xml:space="preserve">Each event row: date · type badge · amount · account entity.</w:t>
      </w:r>
    </w:p>
    <w:p>
      <w:r>
        <w:br w:type="page"/>
      </w:r>
    </w:p>
    <w:p>
      <w:pPr>
        <w:spacing w:after="160" w:before="0"/>
      </w:pPr>
      <w:r>
        <w:t xml:space="preserve"/>
      </w:r>
    </w:p>
    <w:p>
      <w:pPr>
        <w:pBdr>
          <w:left w:val="single" w:color="185FA5" w:sz="12" w:space="8"/>
        </w:pBdr>
        <w:spacing w:after="60" w:before="0"/>
        <w:ind w:left="180"/>
      </w:pPr>
      <w:r>
        <w:rPr>
          <w:rFonts w:ascii="Arial" w:cs="Arial" w:eastAsia="Arial" w:hAnsi="Arial"/>
          <w:b/>
          <w:bCs/>
          <w:color w:val="185FA5"/>
          <w:sz w:val="24"/>
          <w:szCs w:val="24"/>
        </w:rPr>
        <w:t xml:space="preserve">Tab 3 — Alts &amp; structured</w:t>
      </w:r>
    </w:p>
    <w:p>
      <w:pPr>
        <w:spacing w:after="120" w:before="0"/>
        <w:ind w:left="180"/>
      </w:pPr>
      <w:r>
        <w:rPr>
          <w:rFonts w:ascii="Arial" w:cs="Arial" w:eastAsia="Arial" w:hAnsi="Arial"/>
          <w:i/>
          <w:iCs/>
          <w:color w:val="666666"/>
          <w:sz w:val="20"/>
          <w:szCs w:val="20"/>
        </w:rPr>
        <w:t xml:space="preserve">Advisor-initiated deal flow. Used to manage private positions and send opt-in offers to clients. GCC-specific workflow.</w:t>
      </w:r>
    </w:p>
    <w:p>
      <w:pPr>
        <w:spacing w:after="60" w:before="200"/>
      </w:pPr>
      <w:r>
        <w:rPr>
          <w:rFonts w:ascii="Arial" w:cs="Arial" w:eastAsia="Arial" w:hAnsi="Arial"/>
          <w:b/>
          <w:bCs/>
          <w:color w:val="1A1A2E"/>
          <w:sz w:val="20"/>
          <w:szCs w:val="20"/>
        </w:rPr>
        <w:t xml:space="preserve">Page structure (3 sub-sections)</w:t>
      </w:r>
    </w:p>
    <w:p>
      <w:pPr>
        <w:spacing w:after="120" w:before="0"/>
      </w:pPr>
      <w:r>
        <w:rPr>
          <w:rFonts w:ascii="Arial" w:cs="Arial" w:eastAsia="Arial" w:hAnsi="Arial"/>
          <w:color w:val="333333"/>
          <w:sz w:val="22"/>
          <w:szCs w:val="22"/>
        </w:rPr>
        <w:t xml:space="preserve">No sub-tabs. All three sections stack vertically on a single scroll. A tab row at the top switches between This client view and Book-wide view.</w:t>
      </w:r>
    </w:p>
    <w:p>
      <w:pPr>
        <w:spacing w:after="80" w:before="0"/>
      </w:pPr>
      <w:r>
        <w:t xml:space="preserve"/>
      </w:r>
    </w:p>
    <w:p>
      <w:pPr>
        <w:spacing w:after="60" w:before="200"/>
      </w:pPr>
      <w:r>
        <w:rPr>
          <w:rFonts w:ascii="Arial" w:cs="Arial" w:eastAsia="Arial" w:hAnsi="Arial"/>
          <w:b/>
          <w:bCs/>
          <w:color w:val="1A1A2E"/>
          <w:sz w:val="20"/>
          <w:szCs w:val="20"/>
        </w:rPr>
        <w:t xml:space="preserve">Section 1 — Active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title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"Active positions" — 13pt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sub</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"Held in [Entity name]" — 11pt muted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Add button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 Add position" — small, top-right of section header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Product card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Two-column grid. Each card: product name (13pt medium), type badge, meta line (structure type · vintage or maturity · liquidity), 3 stat tiles, action buttons.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Stat tiles (PE)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Committed · TVPI · Net IRR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Stat tiles (Structured note)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Notional · Coupon · Maturity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Action buttons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"Statement" and "Capital calls" for PE. "Term sheet" and "Cashflow" for structured. 11pt, border-only buttons.</w:t>
            </w:r>
          </w:p>
        </w:tc>
      </w:tr>
    </w:tbl>
    <w:p>
      <w:pPr>
        <w:spacing w:after="80" w:before="0"/>
      </w:pPr>
      <w:r>
        <w:t xml:space="preserve"/>
      </w:r>
    </w:p>
    <w:p>
      <w:pPr>
        <w:spacing w:after="60" w:before="200"/>
      </w:pPr>
      <w:r>
        <w:rPr>
          <w:rFonts w:ascii="Arial" w:cs="Arial" w:eastAsia="Arial" w:hAnsi="Arial"/>
          <w:b/>
          <w:bCs/>
          <w:color w:val="1A1A2E"/>
          <w:sz w:val="20"/>
          <w:szCs w:val="20"/>
        </w:rPr>
        <w:t xml:space="preserve">Section 2 — Open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title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"Open offers — awaiting opt-in" — 13pt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Section sub</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"Advisor-initiated · send to eligible clients to collect consent" — 11pt muted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Build button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"Build offer" with sparkle icon — small, top-right. Opens the product builder flow.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Offer card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Same card structure as active positions. Urgent offers (closing &lt; 7 days) get amber border.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Stat tiles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Min. ticket · Closes (days countdown) · Eligible HH (count)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Opt-in status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Below stats: "Opt-in status across book" label (10pt muted) + client chips.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Client chip states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Opted in (green + check) · Pending (amber + clock) · Sent (blue + send icon) · Eligible (neutral). Always show client name in chip.</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Primary action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Dark button: "Send opt-in" or "Send to more clients" depending on state.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Empty entry point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"Build a new structured product offer" full-width dashed card with description. Always present below offer cards.</w:t>
            </w:r>
          </w:p>
        </w:tc>
      </w:tr>
    </w:tbl>
    <w:p>
      <w:pPr>
        <w:spacing w:after="80" w:before="0"/>
      </w:pPr>
      <w:r>
        <w:t xml:space="preserve"/>
      </w:r>
    </w:p>
    <w:p>
      <w:pPr>
        <w:spacing w:after="60" w:before="200"/>
      </w:pPr>
      <w:r>
        <w:rPr>
          <w:rFonts w:ascii="Arial" w:cs="Arial" w:eastAsia="Arial" w:hAnsi="Arial"/>
          <w:b/>
          <w:bCs/>
          <w:color w:val="1A1A2E"/>
          <w:sz w:val="20"/>
          <w:szCs w:val="20"/>
        </w:rPr>
        <w:t xml:space="preserve">Section 3 — Subscription history</w:t>
      </w:r>
    </w:p>
    <w:p>
      <w:pPr>
        <w:spacing w:after="120" w:before="0"/>
      </w:pPr>
      <w:r>
        <w:rPr>
          <w:rFonts w:ascii="Arial" w:cs="Arial" w:eastAsia="Arial" w:hAnsi="Arial"/>
          <w:color w:val="333333"/>
          <w:sz w:val="22"/>
          <w:szCs w:val="22"/>
        </w:rPr>
        <w:t xml:space="preserve">Compact table of closed and matured positions. Columns: Product name · Type badge · Amount · Status badge · Return · Date. 12pt. Read-only — no actions.</w:t>
      </w:r>
    </w:p>
    <w:p>
      <w:pPr>
        <w:spacing w:after="80" w:before="0"/>
      </w:pPr>
      <w:r>
        <w:t xml:space="preserve"/>
      </w:r>
    </w:p>
    <w:p>
      <w:pPr>
        <w:shd w:fill="FEF3C7" w:val="clear"/>
        <w:spacing w:after="80" w:before="80"/>
        <w:ind w:left="0"/>
      </w:pPr>
      <w:r>
        <w:rPr>
          <w:rFonts w:ascii="Arial" w:cs="Arial" w:eastAsia="Arial" w:hAnsi="Arial"/>
          <w:b/>
          <w:bCs/>
          <w:color w:val="92400E"/>
          <w:sz w:val="20"/>
          <w:szCs w:val="20"/>
        </w:rPr>
        <w:t xml:space="preserve">  The opt-in workflow is the most legally sensitive flow in the product. Every offer card must show the factsheet link before showing the send button. Consent is logged with a timestamp.  </w:t>
      </w:r>
    </w:p>
    <w:p>
      <w:r>
        <w:br w:type="page"/>
      </w:r>
    </w:p>
    <w:p>
      <w:pPr>
        <w:spacing w:after="240" w:before="0"/>
      </w:pPr>
      <w:r>
        <w:t xml:space="preserve"/>
      </w:r>
    </w:p>
    <w:p>
      <w:pPr>
        <w:shd w:fill="EEF2FF" w:val="clear"/>
        <w:spacing w:after="80" w:before="0"/>
      </w:pPr>
      <w:r>
        <w:rPr>
          <w:rFonts w:ascii="Arial" w:cs="Arial" w:eastAsia="Arial" w:hAnsi="Arial"/>
          <w:b/>
          <w:bCs/>
          <w:color w:val="1A1A2E"/>
          <w:sz w:val="32"/>
          <w:szCs w:val="32"/>
        </w:rPr>
        <w:t xml:space="preserve">Screen 4 — Product builder</w:t>
      </w:r>
    </w:p>
    <w:p>
      <w:pPr>
        <w:spacing w:after="160" w:before="0"/>
      </w:pPr>
      <w:r>
        <w:rPr>
          <w:rFonts w:ascii="Arial" w:cs="Arial" w:eastAsia="Arial" w:hAnsi="Arial"/>
          <w:i/>
          <w:iCs/>
          <w:color w:val="666666"/>
          <w:sz w:val="20"/>
          <w:szCs w:val="20"/>
        </w:rPr>
        <w:t xml:space="preserve">Multi-step flow for building a new structured product or alts offer. Triggered from the Build offer button.</w:t>
      </w:r>
    </w:p>
    <w:p>
      <w:pPr>
        <w:pStyle w:val="Heading3"/>
        <w:spacing w:after="80" w:before="280"/>
      </w:pPr>
      <w:r>
        <w:rPr>
          <w:rFonts w:ascii="Arial" w:cs="Arial" w:eastAsia="Arial" w:hAnsi="Arial"/>
          <w:b/>
          <w:bCs/>
          <w:color w:val="185FA5"/>
          <w:sz w:val="22"/>
          <w:szCs w:val="22"/>
        </w:rPr>
        <w:t xml:space="preserve">Flow structure</w:t>
      </w:r>
    </w:p>
    <w:p>
      <w:pPr>
        <w:spacing w:after="120" w:before="0"/>
      </w:pPr>
      <w:r>
        <w:rPr>
          <w:rFonts w:ascii="Arial" w:cs="Arial" w:eastAsia="Arial" w:hAnsi="Arial"/>
          <w:color w:val="333333"/>
          <w:sz w:val="22"/>
          <w:szCs w:val="22"/>
        </w:rPr>
        <w:t xml:space="preserve">A stepped flow, not a modal. Takes over the full workspace area with a progress indicator at the top. Four steps:</w:t>
      </w:r>
    </w:p>
    <w:p>
      <w:pPr>
        <w:spacing w:after="80" w:before="0"/>
      </w:pPr>
      <w:r>
        <w:t xml:space="preserve"/>
      </w:r>
    </w:p>
    <w:p>
      <w:pPr>
        <w:spacing w:after="60" w:before="200"/>
      </w:pPr>
      <w:r>
        <w:rPr>
          <w:rFonts w:ascii="Arial" w:cs="Arial" w:eastAsia="Arial" w:hAnsi="Arial"/>
          <w:b/>
          <w:bCs/>
          <w:color w:val="1A1A2E"/>
          <w:sz w:val="20"/>
          <w:szCs w:val="20"/>
        </w:rPr>
        <w:t xml:space="preserve">Step 1 — 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Step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 of 4 — Product details" — 9pt caps, muted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"Define the offer" — 18pt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Fields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Product name · Type (dropdown: IPO / Structured note / Private equity / Issuance) · Underlying / Issuer · Deal size · Min. ticket size · Currency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Field labels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11pt medium, above each input. No placeholder-as-label pattern.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Helper text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10pt muted below fields that need context. E.g. "Minimum ticket is the floor per client allocation, not the book total."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Navigation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"Next →" primary button. "Cancel" text link, left-aligned.</w:t>
            </w:r>
          </w:p>
        </w:tc>
      </w:tr>
    </w:tbl>
    <w:p>
      <w:pPr>
        <w:spacing w:after="80" w:before="0"/>
      </w:pPr>
      <w:r>
        <w:t xml:space="preserve"/>
      </w:r>
    </w:p>
    <w:p>
      <w:pPr>
        <w:spacing w:after="60" w:before="200"/>
      </w:pPr>
      <w:r>
        <w:rPr>
          <w:rFonts w:ascii="Arial" w:cs="Arial" w:eastAsia="Arial" w:hAnsi="Arial"/>
          <w:b/>
          <w:bCs/>
          <w:color w:val="1A1A2E"/>
          <w:sz w:val="20"/>
          <w:szCs w:val="20"/>
        </w:rPr>
        <w:t xml:space="preserve">Step 2 — Terms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Step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"2 of 4 — Terms &amp; structure"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"Set the terms" — 18pt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Fields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Close date · Settlement date · Coupon / expected return · Lock-up period · Capital protection (Yes / Partial / No toggle) · Liquidity notes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Conditional fields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Coupon rate only shown for structured notes. TVPI target only shown for PE. The form adapts based on type selected in step 1.</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Navigation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 Back" text link · "Next →" primary button</w:t>
            </w:r>
          </w:p>
        </w:tc>
      </w:tr>
    </w:tbl>
    <w:p>
      <w:pPr>
        <w:spacing w:after="80" w:before="0"/>
      </w:pPr>
      <w:r>
        <w:t xml:space="preserve"/>
      </w:r>
    </w:p>
    <w:p>
      <w:pPr>
        <w:spacing w:after="60" w:before="200"/>
      </w:pPr>
      <w:r>
        <w:rPr>
          <w:rFonts w:ascii="Arial" w:cs="Arial" w:eastAsia="Arial" w:hAnsi="Arial"/>
          <w:b/>
          <w:bCs/>
          <w:color w:val="1A1A2E"/>
          <w:sz w:val="20"/>
          <w:szCs w:val="20"/>
        </w:rPr>
        <w:t xml:space="preserve">Step 3 — Eligibility &amp;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Step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"3 of 4 — Eligibility &amp; clients"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"Choose who to invite" — 18pt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Client list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All book households. Each row: client name · segment badge · AUM · liquid assets · current alts allocation. Checkbox on left.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Auto-suggestion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Slate pre-selects clients whose IPS allows alts exposure and whose liquid assets exceed the minimum ticket by 3x. Label: "Suggested by Slate" next to pre-checked rows.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Override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Advisor can check/uncheck any row. No restriction on selection.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Summary</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Running count at bottom: "N clients selected · estimated book allocation $NM"</w:t>
            </w:r>
          </w:p>
        </w:tc>
      </w:tr>
    </w:tbl>
    <w:p>
      <w:pPr>
        <w:spacing w:after="80" w:before="0"/>
      </w:pPr>
      <w:r>
        <w:t xml:space="preserve"/>
      </w:r>
    </w:p>
    <w:p>
      <w:pPr>
        <w:spacing w:after="60" w:before="200"/>
      </w:pPr>
      <w:r>
        <w:rPr>
          <w:rFonts w:ascii="Arial" w:cs="Arial" w:eastAsia="Arial" w:hAnsi="Arial"/>
          <w:b/>
          <w:bCs/>
          <w:color w:val="1A1A2E"/>
          <w:sz w:val="20"/>
          <w:szCs w:val="20"/>
        </w:rPr>
        <w:t xml:space="preserve">Step 4 — Review &amp;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Step label</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"4 of 4 — Review &amp; send"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Heading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"Review and send opt-in" — 18pt medium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Summary card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Read-only: all details from steps 1–3. Product name · type · key terms · selected clients.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Factsheet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Auto-generated factsheet PDF link. "Preview factsheet" link opens in new tab. This factsheet is sent alongside the opt-in.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Consent copy</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Pre-written opt-in message shown in a readonly text box. Advisor can edit. Default: "[Client name], I'd like to share an investment opportunity that may suit your portfolio goals. Please review the attached factsheet and confirm your interest by [Close date]."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Send button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"Send opt-in to N clients" — primary dark button. Triggers email + logs consent request with timestamp.</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Post-send state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Success confirmation: "Opt-in sent to N clients — [timestamp]". Returns to Alts &amp; structured tab with offer card now showing sent/pending status chips.</w:t>
            </w:r>
          </w:p>
        </w:tc>
      </w:tr>
    </w:tbl>
    <w:p>
      <w:r>
        <w:br w:type="page"/>
      </w:r>
    </w:p>
    <w:p>
      <w:pPr>
        <w:spacing w:after="240" w:before="0"/>
      </w:pPr>
      <w:r>
        <w:t xml:space="preserve"/>
      </w:r>
    </w:p>
    <w:p>
      <w:pPr>
        <w:shd w:fill="EEF2FF" w:val="clear"/>
        <w:spacing w:after="80" w:before="0"/>
      </w:pPr>
      <w:r>
        <w:rPr>
          <w:rFonts w:ascii="Arial" w:cs="Arial" w:eastAsia="Arial" w:hAnsi="Arial"/>
          <w:b/>
          <w:bCs/>
          <w:color w:val="1A1A2E"/>
          <w:sz w:val="32"/>
          <w:szCs w:val="32"/>
        </w:rPr>
        <w:t xml:space="preserve">Screen 5 — Ask Slate drawer</w:t>
      </w:r>
    </w:p>
    <w:p>
      <w:pPr>
        <w:spacing w:after="160" w:before="0"/>
      </w:pPr>
      <w:r>
        <w:rPr>
          <w:rFonts w:ascii="Arial" w:cs="Arial" w:eastAsia="Arial" w:hAnsi="Arial"/>
          <w:i/>
          <w:iCs/>
          <w:color w:val="666666"/>
          <w:sz w:val="20"/>
          <w:szCs w:val="20"/>
        </w:rPr>
        <w:t xml:space="preserve">AI copilot, scoped to the open client context. Slide-in from the right, 400px wide. Sits above the workspace without replacing it.</w:t>
      </w:r>
    </w:p>
    <w:p>
      <w:pPr>
        <w:pStyle w:val="Heading3"/>
        <w:spacing w:after="80" w:before="280"/>
      </w:pPr>
      <w:r>
        <w:rPr>
          <w:rFonts w:ascii="Arial" w:cs="Arial" w:eastAsia="Arial" w:hAnsi="Arial"/>
          <w:b/>
          <w:bCs/>
          <w:color w:val="185FA5"/>
          <w:sz w:val="22"/>
          <w:szCs w:val="22"/>
        </w:rPr>
        <w:t xml:space="preserve">Drawer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Header</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"Ask Slate" in 15pt medium. Client name below in 12pt muted: "Context: Marchetti Family". Close X top-right.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Suggested prompts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Shown before first message. 4 prompt chips, 12pt, pill shape. Disappear after first message sent.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Message thread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Standard chat layout. User messages right-aligned, Slate responses left-aligned. 13pt body. Code / numbers in mono.</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Input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Full-width text input at bottom. Placeholder: "Ask about this client...". Send on Enter or Send button.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Response attribution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Every Slate response includes a data source footnote: e.g. "Based on Marchetti Holding LLC holdings as of May 9, 2026."</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What Slate can and cannot do — shown on first open</w:t>
      </w:r>
    </w:p>
    <w:p>
      <w:pPr>
        <w:pStyle w:val="ListParagraph"/>
        <w:numPr>
          <w:ilvl w:val="0"/>
          <w:numId w:val="2"/>
        </w:numPr>
        <w:spacing w:after="80" w:before="0"/>
      </w:pPr>
      <w:r>
        <w:rPr>
          <w:rFonts w:ascii="Arial" w:cs="Arial" w:eastAsia="Arial" w:hAnsi="Arial"/>
          <w:color w:val="333333"/>
          <w:sz w:val="22"/>
          <w:szCs w:val="22"/>
        </w:rPr>
        <w:t xml:space="preserve">Slate can: summarise client portfolios, draft communication, explain drift, model rebalances, log notes.</w:t>
      </w:r>
    </w:p>
    <w:p>
      <w:pPr>
        <w:pStyle w:val="ListParagraph"/>
        <w:numPr>
          <w:ilvl w:val="0"/>
          <w:numId w:val="2"/>
        </w:numPr>
        <w:spacing w:after="80" w:before="0"/>
      </w:pPr>
      <w:r>
        <w:rPr>
          <w:rFonts w:ascii="Arial" w:cs="Arial" w:eastAsia="Arial" w:hAnsi="Arial"/>
          <w:color w:val="333333"/>
          <w:sz w:val="22"/>
          <w:szCs w:val="22"/>
        </w:rPr>
        <w:t xml:space="preserve">Slate cannot: execute trades, send communications without advisor review, access data outside this platform.</w:t>
      </w:r>
    </w:p>
    <w:p>
      <w:pPr>
        <w:spacing w:after="80" w:before="0"/>
      </w:pPr>
      <w:r>
        <w:t xml:space="preserve"/>
      </w:r>
    </w:p>
    <w:p>
      <w:pPr>
        <w:shd w:fill="DBEAFE" w:val="clear"/>
        <w:spacing w:after="80" w:before="80"/>
        <w:ind w:left="0"/>
      </w:pPr>
      <w:r>
        <w:rPr>
          <w:rFonts w:ascii="Arial" w:cs="Arial" w:eastAsia="Arial" w:hAnsi="Arial"/>
          <w:b/>
          <w:bCs/>
          <w:color w:val="1E40AF"/>
          <w:sz w:val="20"/>
          <w:szCs w:val="20"/>
        </w:rPr>
        <w:t xml:space="preserve">  This caveat must be shown the first time a user opens Ask Slate per session. It does not need to appear on every open.  </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Navigation &amp; wayfinding</w:t>
      </w:r>
    </w:p>
    <w:p>
      <w:pPr>
        <w:spacing w:after="80" w:before="0"/>
      </w:pPr>
      <w:r>
        <w:t xml:space="preserve"/>
      </w:r>
    </w:p>
    <w:p>
      <w:pPr>
        <w:pStyle w:val="Heading3"/>
        <w:spacing w:after="80" w:before="280"/>
      </w:pPr>
      <w:r>
        <w:rPr>
          <w:rFonts w:ascii="Arial" w:cs="Arial" w:eastAsia="Arial" w:hAnsi="Arial"/>
          <w:b/>
          <w:bCs/>
          <w:color w:val="185FA5"/>
          <w:sz w:val="22"/>
          <w:szCs w:val="22"/>
        </w:rPr>
        <w:t xml:space="preserve">Global navigation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Dashboard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Home icon. "Dashboard" label. 13pt.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Clients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Person icon. "Clients" label. Active state: filled background.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Alternatives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Trend icon. "Alternatives" label. Book-wide alts view (not client-scoped).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Structured</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Grid icon. "Structured" label. RFQ badge shown when live requests exist.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Intake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Upload icon. "Intake" label. Statement import and client onboarding.</w:t>
            </w:r>
          </w:p>
        </w:tc>
      </w:tr>
    </w:tbl>
    <w:p>
      <w:pPr>
        <w:spacing w:after="80" w:before="0"/>
      </w:pPr>
      <w:r>
        <w:t xml:space="preserve"/>
      </w:r>
    </w:p>
    <w:p>
      <w:pPr>
        <w:pStyle w:val="Heading3"/>
        <w:spacing w:after="80" w:before="280"/>
      </w:pPr>
      <w:r>
        <w:rPr>
          <w:rFonts w:ascii="Arial" w:cs="Arial" w:eastAsia="Arial" w:hAnsi="Arial"/>
          <w:b/>
          <w:bCs/>
          <w:color w:val="185FA5"/>
          <w:sz w:val="22"/>
          <w:szCs w:val="22"/>
        </w:rPr>
        <w:t xml:space="preserve">Breadcrumb</w:t>
      </w:r>
    </w:p>
    <w:p>
      <w:pPr>
        <w:spacing w:after="120" w:before="0"/>
      </w:pPr>
      <w:r>
        <w:rPr>
          <w:rFonts w:ascii="Arial" w:cs="Arial" w:eastAsia="Arial" w:hAnsi="Arial"/>
          <w:color w:val="333333"/>
          <w:sz w:val="22"/>
          <w:szCs w:val="22"/>
        </w:rPr>
        <w:t xml:space="preserve">Two levels only: Slate / [Screen name]. E.g. "Slate / Clients" or "Slate / Dashboard". Within the client workspace, the breadcrumb becomes "← All clients" as a back link, not a trail. Three-level breadcrumbs are never used.</w:t>
      </w:r>
    </w:p>
    <w:p>
      <w:pPr>
        <w:spacing w:after="80" w:before="0"/>
      </w:pPr>
      <w:r>
        <w:t xml:space="preserve"/>
      </w:r>
    </w:p>
    <w:p>
      <w:pPr>
        <w:pStyle w:val="Heading3"/>
        <w:spacing w:after="80" w:before="280"/>
      </w:pPr>
      <w:r>
        <w:rPr>
          <w:rFonts w:ascii="Arial" w:cs="Arial" w:eastAsia="Arial" w:hAnsi="Arial"/>
          <w:b/>
          <w:bCs/>
          <w:color w:val="185FA5"/>
          <w:sz w:val="22"/>
          <w:szCs w:val="22"/>
        </w:rPr>
        <w:t xml:space="preserve">Global search</w:t>
      </w:r>
    </w:p>
    <w:p>
      <w:pPr>
        <w:spacing w:after="120" w:before="0"/>
      </w:pPr>
      <w:r>
        <w:rPr>
          <w:rFonts w:ascii="Arial" w:cs="Arial" w:eastAsia="Arial" w:hAnsi="Arial"/>
          <w:color w:val="333333"/>
          <w:sz w:val="22"/>
          <w:szCs w:val="22"/>
        </w:rPr>
        <w:t xml:space="preserve">Searchbar in the topbar: placeholder "Search clients, holdings..." — keyboard shortcut shown: ⌘K. Returns: client names, holding tickers, custodian names, and document titles. Results grouped by type with a type label above each group.</w:t>
      </w:r>
    </w:p>
    <w:p>
      <w:pPr>
        <w:spacing w:after="80" w:before="0"/>
      </w:pPr>
      <w:r>
        <w:t xml:space="preserve"/>
      </w:r>
    </w:p>
    <w:p>
      <w:pPr>
        <w:pStyle w:val="Heading3"/>
        <w:spacing w:after="80" w:before="280"/>
      </w:pPr>
      <w:r>
        <w:rPr>
          <w:rFonts w:ascii="Arial" w:cs="Arial" w:eastAsia="Arial" w:hAnsi="Arial"/>
          <w:b/>
          <w:bCs/>
          <w:color w:val="185FA5"/>
          <w:sz w:val="22"/>
          <w:szCs w:val="22"/>
        </w:rPr>
        <w:t xml:space="preserve">Command jumps</w:t>
      </w:r>
    </w:p>
    <w:p>
      <w:pPr>
        <w:spacing w:after="120" w:before="0"/>
      </w:pPr>
      <w:r>
        <w:rPr>
          <w:rFonts w:ascii="Arial" w:cs="Arial" w:eastAsia="Arial" w:hAnsi="Arial"/>
          <w:color w:val="333333"/>
          <w:sz w:val="22"/>
          <w:szCs w:val="22"/>
        </w:rPr>
        <w:t xml:space="preserve">Shown in the sidebar of the dashboard: a set of quick-access chips for the most common cross-screen navigations. Labels: Client directory · Marchetti — command center · Alternatives · Insights · Cashflow · Structured &amp; RFQ · Statement intake.</w:t>
      </w:r>
    </w:p>
    <w:p>
      <w:pPr>
        <w:spacing w:after="120" w:before="0"/>
      </w:pPr>
      <w:r>
        <w:rPr>
          <w:rFonts w:ascii="Arial" w:cs="Arial" w:eastAsia="Arial" w:hAnsi="Arial"/>
          <w:color w:val="666666"/>
          <w:sz w:val="22"/>
          <w:szCs w:val="22"/>
        </w:rPr>
        <w:t xml:space="preserve">Rules:</w:t>
      </w:r>
    </w:p>
    <w:p>
      <w:pPr>
        <w:pStyle w:val="ListParagraph"/>
        <w:numPr>
          <w:ilvl w:val="0"/>
          <w:numId w:val="2"/>
        </w:numPr>
        <w:spacing w:after="80" w:before="0"/>
      </w:pPr>
      <w:r>
        <w:rPr>
          <w:rFonts w:ascii="Arial" w:cs="Arial" w:eastAsia="Arial" w:hAnsi="Arial"/>
          <w:color w:val="333333"/>
          <w:sz w:val="22"/>
          <w:szCs w:val="22"/>
        </w:rPr>
        <w:t xml:space="preserve">Max 7 command jumps. No more.</w:t>
      </w:r>
    </w:p>
    <w:p>
      <w:pPr>
        <w:pStyle w:val="ListParagraph"/>
        <w:numPr>
          <w:ilvl w:val="0"/>
          <w:numId w:val="2"/>
        </w:numPr>
        <w:spacing w:after="80" w:before="0"/>
      </w:pPr>
      <w:r>
        <w:rPr>
          <w:rFonts w:ascii="Arial" w:cs="Arial" w:eastAsia="Arial" w:hAnsi="Arial"/>
          <w:color w:val="333333"/>
          <w:sz w:val="22"/>
          <w:szCs w:val="22"/>
        </w:rPr>
        <w:t xml:space="preserve">One dynamic jump per session: the most recently opened client becomes a command jump labelled "[Client name] — command center".</w:t>
      </w:r>
    </w:p>
    <w:p>
      <w:pPr>
        <w:pStyle w:val="ListParagraph"/>
        <w:numPr>
          <w:ilvl w:val="0"/>
          <w:numId w:val="2"/>
        </w:numPr>
        <w:spacing w:after="80" w:before="0"/>
      </w:pPr>
      <w:r>
        <w:rPr>
          <w:rFonts w:ascii="Arial" w:cs="Arial" w:eastAsia="Arial" w:hAnsi="Arial"/>
          <w:color w:val="333333"/>
          <w:sz w:val="22"/>
          <w:szCs w:val="22"/>
        </w:rPr>
        <w:t xml:space="preserve">Clicking a jump navigates directly without landing on an intermediate page.</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Empty states &amp; loading</w:t>
      </w:r>
    </w:p>
    <w:p>
      <w:pPr>
        <w:spacing w:after="80" w:before="0"/>
      </w:pPr>
      <w:r>
        <w:t xml:space="preserve"/>
      </w:r>
    </w:p>
    <w:p>
      <w:pPr>
        <w:pStyle w:val="Heading3"/>
        <w:spacing w:after="80" w:before="280"/>
      </w:pPr>
      <w:r>
        <w:rPr>
          <w:rFonts w:ascii="Arial" w:cs="Arial" w:eastAsia="Arial" w:hAnsi="Arial"/>
          <w:b/>
          <w:bCs/>
          <w:color w:val="185FA5"/>
          <w:sz w:val="22"/>
          <w:szCs w:val="22"/>
        </w:rPr>
        <w:t xml:space="preserve">Empty state copy —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No drift on book</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"All sleeves within IPS tolerance" — green check icon above copy.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No overdue reviews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reviews overdue — diary is clear" — check icon.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No structured RFQs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live RFQs" — neutral icon.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No open offers (alts)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open offers — build one above" — neutral, with a link to the builder.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No holdings for entity</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holdings recorded for this entity — import a statement to get started"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Ask Slate, no history</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Suggested prompts shown. No "start a conversation" copy needed.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66666"/>
                <w:sz w:val="20"/>
                <w:szCs w:val="20"/>
              </w:rPr>
              <w:t xml:space="preserve">Search — no results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"No results for '[query]'" — with a suggestion: "Try searching by ticker or custodian name."</w:t>
            </w:r>
          </w:p>
        </w:tc>
      </w:tr>
    </w:tbl>
    <w:p>
      <w:pPr>
        <w:spacing w:after="120" w:before="0"/>
      </w:pPr>
      <w:r>
        <w:t xml:space="preserve"/>
      </w:r>
    </w:p>
    <w:p>
      <w:pPr>
        <w:pStyle w:val="Heading3"/>
        <w:spacing w:after="80" w:before="280"/>
      </w:pPr>
      <w:r>
        <w:rPr>
          <w:rFonts w:ascii="Arial" w:cs="Arial" w:eastAsia="Arial" w:hAnsi="Arial"/>
          <w:b/>
          <w:bCs/>
          <w:color w:val="185FA5"/>
          <w:sz w:val="22"/>
          <w:szCs w:val="22"/>
        </w:rPr>
        <w:t xml:space="preserve">Loading states</w:t>
      </w:r>
    </w:p>
    <w:p>
      <w:pPr>
        <w:pStyle w:val="ListParagraph"/>
        <w:numPr>
          <w:ilvl w:val="0"/>
          <w:numId w:val="2"/>
        </w:numPr>
        <w:spacing w:after="80" w:before="0"/>
      </w:pPr>
      <w:r>
        <w:rPr>
          <w:rFonts w:ascii="Arial" w:cs="Arial" w:eastAsia="Arial" w:hAnsi="Arial"/>
          <w:color w:val="333333"/>
          <w:sz w:val="22"/>
          <w:szCs w:val="22"/>
        </w:rPr>
        <w:t xml:space="preserve">Dashboard: skeleton cards in the pulse row. No spinner. Skeleton matches the shape of the loaded content.</w:t>
      </w:r>
    </w:p>
    <w:p>
      <w:pPr>
        <w:pStyle w:val="ListParagraph"/>
        <w:numPr>
          <w:ilvl w:val="0"/>
          <w:numId w:val="2"/>
        </w:numPr>
        <w:spacing w:after="80" w:before="0"/>
      </w:pPr>
      <w:r>
        <w:rPr>
          <w:rFonts w:ascii="Arial" w:cs="Arial" w:eastAsia="Arial" w:hAnsi="Arial"/>
          <w:color w:val="333333"/>
          <w:sz w:val="22"/>
          <w:szCs w:val="22"/>
        </w:rPr>
        <w:t xml:space="preserve">Client workspace: KPI row loads first (fastest data), charts load below. Use skeleton bars for charts.</w:t>
      </w:r>
    </w:p>
    <w:p>
      <w:pPr>
        <w:pStyle w:val="ListParagraph"/>
        <w:numPr>
          <w:ilvl w:val="0"/>
          <w:numId w:val="2"/>
        </w:numPr>
        <w:spacing w:after="80" w:before="0"/>
      </w:pPr>
      <w:r>
        <w:rPr>
          <w:rFonts w:ascii="Arial" w:cs="Arial" w:eastAsia="Arial" w:hAnsi="Arial"/>
          <w:color w:val="333333"/>
          <w:sz w:val="22"/>
          <w:szCs w:val="22"/>
        </w:rPr>
        <w:t xml:space="preserve">Tables: show 3 skeleton rows. Never show an empty table with a spinner inside it.</w:t>
      </w:r>
    </w:p>
    <w:p>
      <w:pPr>
        <w:pStyle w:val="ListParagraph"/>
        <w:numPr>
          <w:ilvl w:val="0"/>
          <w:numId w:val="2"/>
        </w:numPr>
        <w:spacing w:after="80" w:before="0"/>
      </w:pPr>
      <w:r>
        <w:rPr>
          <w:rFonts w:ascii="Arial" w:cs="Arial" w:eastAsia="Arial" w:hAnsi="Arial"/>
          <w:color w:val="333333"/>
          <w:sz w:val="22"/>
          <w:szCs w:val="22"/>
        </w:rPr>
        <w:t xml:space="preserve">Ask Slate responses: show a typing indicator (three dots) after the user sends. Responses stream token by token — do not wait for completion before showing text.</w:t>
      </w:r>
    </w:p>
    <w:p>
      <w:r>
        <w:br w:type="page"/>
      </w:r>
    </w:p>
    <w:p>
      <w:pPr>
        <w:pStyle w:val="Heading1"/>
        <w:pBdr>
          <w:bottom w:val="single" w:color="185FA5" w:sz="4" w:space="6"/>
        </w:pBdr>
        <w:spacing w:after="160" w:before="400"/>
      </w:pPr>
      <w:r>
        <w:rPr>
          <w:rFonts w:ascii="Arial" w:cs="Arial" w:eastAsia="Arial" w:hAnsi="Arial"/>
          <w:b/>
          <w:bCs/>
          <w:color w:val="1A1A2E"/>
          <w:sz w:val="36"/>
          <w:szCs w:val="36"/>
        </w:rPr>
        <w:t xml:space="preserve">Implementation notes for Cursor</w:t>
      </w:r>
    </w:p>
    <w:p>
      <w:pPr>
        <w:spacing w:after="80" w:before="0"/>
      </w:pPr>
      <w:r>
        <w:t xml:space="preserve"/>
      </w:r>
    </w:p>
    <w:p>
      <w:pPr>
        <w:pStyle w:val="Heading3"/>
        <w:spacing w:after="80" w:before="280"/>
      </w:pPr>
      <w:r>
        <w:rPr>
          <w:rFonts w:ascii="Arial" w:cs="Arial" w:eastAsia="Arial" w:hAnsi="Arial"/>
          <w:b/>
          <w:bCs/>
          <w:color w:val="185FA5"/>
          <w:sz w:val="22"/>
          <w:szCs w:val="22"/>
        </w:rPr>
        <w:t xml:space="preserve">File and component naming</w:t>
      </w:r>
    </w:p>
    <w:p>
      <w:pPr>
        <w:pStyle w:val="ListParagraph"/>
        <w:numPr>
          <w:ilvl w:val="0"/>
          <w:numId w:val="2"/>
        </w:numPr>
        <w:spacing w:after="80" w:before="0"/>
      </w:pPr>
      <w:r>
        <w:rPr>
          <w:rFonts w:ascii="Arial" w:cs="Arial" w:eastAsia="Arial" w:hAnsi="Arial"/>
          <w:color w:val="333333"/>
          <w:sz w:val="22"/>
          <w:szCs w:val="22"/>
        </w:rPr>
        <w:t xml:space="preserve">Use screen names as route names: /dashboard, /clients, /clients/[id]/pulse, /clients/[id]/portfolio, /clients/[id]/alts</w:t>
      </w:r>
    </w:p>
    <w:p>
      <w:pPr>
        <w:pStyle w:val="ListParagraph"/>
        <w:numPr>
          <w:ilvl w:val="0"/>
          <w:numId w:val="2"/>
        </w:numPr>
        <w:spacing w:after="80" w:before="0"/>
      </w:pPr>
      <w:r>
        <w:rPr>
          <w:rFonts w:ascii="Arial" w:cs="Arial" w:eastAsia="Arial" w:hAnsi="Arial"/>
          <w:color w:val="333333"/>
          <w:sz w:val="22"/>
          <w:szCs w:val="22"/>
        </w:rPr>
        <w:t xml:space="preserve">Component names match the spec: AlertStrip, PulseRow, PulseTile, MomentumSection, KpiCard, AttentionCard, AllocationCard, AltProductCard, OptInChip, AskSlateDrawer, ProductBuilder</w:t>
      </w:r>
    </w:p>
    <w:p>
      <w:pPr>
        <w:pStyle w:val="ListParagraph"/>
        <w:numPr>
          <w:ilvl w:val="0"/>
          <w:numId w:val="2"/>
        </w:numPr>
        <w:spacing w:after="80" w:before="0"/>
      </w:pPr>
      <w:r>
        <w:rPr>
          <w:rFonts w:ascii="Arial" w:cs="Arial" w:eastAsia="Arial" w:hAnsi="Arial"/>
          <w:color w:val="333333"/>
          <w:sz w:val="22"/>
          <w:szCs w:val="22"/>
        </w:rPr>
        <w:t xml:space="preserve">Copy strings: externalise all user-facing strings to a single copy.ts file. No inline strings in JSX except for dev/debug.</w:t>
      </w:r>
    </w:p>
    <w:p>
      <w:pPr>
        <w:spacing w:after="80" w:before="0"/>
      </w:pPr>
      <w:r>
        <w:t xml:space="preserve"/>
      </w:r>
    </w:p>
    <w:p>
      <w:pPr>
        <w:pStyle w:val="Heading3"/>
        <w:spacing w:after="80" w:before="280"/>
      </w:pPr>
      <w:r>
        <w:rPr>
          <w:rFonts w:ascii="Arial" w:cs="Arial" w:eastAsia="Arial" w:hAnsi="Arial"/>
          <w:b/>
          <w:bCs/>
          <w:color w:val="185FA5"/>
          <w:sz w:val="22"/>
          <w:szCs w:val="22"/>
        </w:rPr>
        <w:t xml:space="preserve">Copy file structure</w:t>
      </w:r>
    </w:p>
    <w:p>
      <w:pPr>
        <w:spacing w:after="120" w:before="0"/>
      </w:pPr>
      <w:r>
        <w:rPr>
          <w:rFonts w:ascii="Arial" w:cs="Arial" w:eastAsia="Arial" w:hAnsi="Arial"/>
          <w:color w:val="333333"/>
          <w:sz w:val="22"/>
          <w:szCs w:val="22"/>
        </w:rPr>
        <w:t xml:space="preserve">copy.ts should be organised by screen, then by component, then by state. Example:</w:t>
      </w:r>
    </w:p>
    <w:p>
      <w:pPr>
        <w:pStyle w:val="ListParagraph"/>
        <w:numPr>
          <w:ilvl w:val="0"/>
          <w:numId w:val="3"/>
        </w:numPr>
        <w:spacing w:after="60" w:before="0"/>
      </w:pPr>
      <w:r>
        <w:rPr>
          <w:rFonts w:ascii="Arial" w:cs="Arial" w:eastAsia="Arial" w:hAnsi="Arial"/>
          <w:color w:val="666666"/>
          <w:sz w:val="20"/>
          <w:szCs w:val="20"/>
        </w:rPr>
        <w:t xml:space="preserve">dashboard.alertStrip.empty: string</w:t>
      </w:r>
    </w:p>
    <w:p>
      <w:pPr>
        <w:pStyle w:val="ListParagraph"/>
        <w:numPr>
          <w:ilvl w:val="0"/>
          <w:numId w:val="3"/>
        </w:numPr>
        <w:spacing w:after="60" w:before="0"/>
      </w:pPr>
      <w:r>
        <w:rPr>
          <w:rFonts w:ascii="Arial" w:cs="Arial" w:eastAsia="Arial" w:hAnsi="Arial"/>
          <w:color w:val="666666"/>
          <w:sz w:val="20"/>
          <w:szCs w:val="20"/>
        </w:rPr>
        <w:t xml:space="preserve">dashboard.alertStrip.format: (items: AlertItem[]) =&gt; string</w:t>
      </w:r>
    </w:p>
    <w:p>
      <w:pPr>
        <w:pStyle w:val="ListParagraph"/>
        <w:numPr>
          <w:ilvl w:val="0"/>
          <w:numId w:val="3"/>
        </w:numPr>
        <w:spacing w:after="60" w:before="0"/>
      </w:pPr>
      <w:r>
        <w:rPr>
          <w:rFonts w:ascii="Arial" w:cs="Arial" w:eastAsia="Arial" w:hAnsi="Arial"/>
          <w:color w:val="666666"/>
          <w:sz w:val="20"/>
          <w:szCs w:val="20"/>
        </w:rPr>
        <w:t xml:space="preserve">clients.table.columns.drift.onTarget: string</w:t>
      </w:r>
    </w:p>
    <w:p>
      <w:pPr>
        <w:pStyle w:val="ListParagraph"/>
        <w:numPr>
          <w:ilvl w:val="0"/>
          <w:numId w:val="3"/>
        </w:numPr>
        <w:spacing w:after="60" w:before="0"/>
      </w:pPr>
      <w:r>
        <w:rPr>
          <w:rFonts w:ascii="Arial" w:cs="Arial" w:eastAsia="Arial" w:hAnsi="Arial"/>
          <w:color w:val="666666"/>
          <w:sz w:val="20"/>
          <w:szCs w:val="20"/>
        </w:rPr>
        <w:t xml:space="preserve">clients.table.columns.review.overdue: string</w:t>
      </w:r>
    </w:p>
    <w:p>
      <w:pPr>
        <w:pStyle w:val="ListParagraph"/>
        <w:numPr>
          <w:ilvl w:val="0"/>
          <w:numId w:val="3"/>
        </w:numPr>
        <w:spacing w:after="60" w:before="0"/>
      </w:pPr>
      <w:r>
        <w:rPr>
          <w:rFonts w:ascii="Arial" w:cs="Arial" w:eastAsia="Arial" w:hAnsi="Arial"/>
          <w:color w:val="666666"/>
          <w:sz w:val="20"/>
          <w:szCs w:val="20"/>
        </w:rPr>
        <w:t xml:space="preserve">workspace.pulse.attentionCard.empty: string</w:t>
      </w:r>
    </w:p>
    <w:p>
      <w:pPr>
        <w:spacing w:after="80" w:before="0"/>
      </w:pPr>
      <w:r>
        <w:t xml:space="preserve"/>
      </w:r>
    </w:p>
    <w:p>
      <w:pPr>
        <w:pStyle w:val="Heading3"/>
        <w:spacing w:after="80" w:before="280"/>
      </w:pPr>
      <w:r>
        <w:rPr>
          <w:rFonts w:ascii="Arial" w:cs="Arial" w:eastAsia="Arial" w:hAnsi="Arial"/>
          <w:b/>
          <w:bCs/>
          <w:color w:val="185FA5"/>
          <w:sz w:val="22"/>
          <w:szCs w:val="22"/>
        </w:rPr>
        <w:t xml:space="preserve">Hierarchy implementation</w:t>
      </w:r>
    </w:p>
    <w:p>
      <w:pPr>
        <w:pStyle w:val="ListParagraph"/>
        <w:numPr>
          <w:ilvl w:val="0"/>
          <w:numId w:val="2"/>
        </w:numPr>
        <w:spacing w:after="80" w:before="0"/>
      </w:pPr>
      <w:r>
        <w:rPr>
          <w:rFonts w:ascii="Arial" w:cs="Arial" w:eastAsia="Arial" w:hAnsi="Arial"/>
          <w:color w:val="333333"/>
          <w:sz w:val="22"/>
          <w:szCs w:val="22"/>
        </w:rPr>
        <w:t xml:space="preserve">Never use h1 inside a card component. Card titles are always p or span with explicit size styling.</w:t>
      </w:r>
    </w:p>
    <w:p>
      <w:pPr>
        <w:pStyle w:val="ListParagraph"/>
        <w:numPr>
          <w:ilvl w:val="0"/>
          <w:numId w:val="2"/>
        </w:numPr>
        <w:spacing w:after="80" w:before="0"/>
      </w:pPr>
      <w:r>
        <w:rPr>
          <w:rFonts w:ascii="Arial" w:cs="Arial" w:eastAsia="Arial" w:hAnsi="Arial"/>
          <w:color w:val="333333"/>
          <w:sz w:val="22"/>
          <w:szCs w:val="22"/>
        </w:rPr>
        <w:t xml:space="preserve">Section labels (ALL CAPS, small) must be rendered as p tags with CSS letter-spacing and text-transform — never as heading elements. They are not in the document outline.</w:t>
      </w:r>
    </w:p>
    <w:p>
      <w:pPr>
        <w:pStyle w:val="ListParagraph"/>
        <w:numPr>
          <w:ilvl w:val="0"/>
          <w:numId w:val="2"/>
        </w:numPr>
        <w:spacing w:after="80" w:before="0"/>
      </w:pPr>
      <w:r>
        <w:rPr>
          <w:rFonts w:ascii="Arial" w:cs="Arial" w:eastAsia="Arial" w:hAnsi="Arial"/>
          <w:color w:val="333333"/>
          <w:sz w:val="22"/>
          <w:szCs w:val="22"/>
        </w:rPr>
        <w:t xml:space="preserve">Metric values (20–24pt) are p or span, never heading elements. Heading elements are only used for actual page/section headings.</w:t>
      </w:r>
    </w:p>
    <w:p>
      <w:pPr>
        <w:spacing w:after="80" w:before="0"/>
      </w:pPr>
      <w:r>
        <w:t xml:space="preserve"/>
      </w:r>
    </w:p>
    <w:p>
      <w:pPr>
        <w:pStyle w:val="Heading3"/>
        <w:spacing w:after="80" w:before="280"/>
      </w:pPr>
      <w:r>
        <w:rPr>
          <w:rFonts w:ascii="Arial" w:cs="Arial" w:eastAsia="Arial" w:hAnsi="Arial"/>
          <w:b/>
          <w:bCs/>
          <w:color w:val="185FA5"/>
          <w:sz w:val="22"/>
          <w:szCs w:val="22"/>
        </w:rPr>
        <w:t xml:space="preserve">Alert strip logic</w:t>
      </w:r>
    </w:p>
    <w:p>
      <w:pPr>
        <w:pStyle w:val="ListParagraph"/>
        <w:numPr>
          <w:ilvl w:val="0"/>
          <w:numId w:val="2"/>
        </w:numPr>
        <w:spacing w:after="80" w:before="0"/>
      </w:pPr>
      <w:r>
        <w:rPr>
          <w:rFonts w:ascii="Arial" w:cs="Arial" w:eastAsia="Arial" w:hAnsi="Arial"/>
          <w:color w:val="333333"/>
          <w:sz w:val="22"/>
          <w:szCs w:val="22"/>
        </w:rPr>
        <w:t xml:space="preserve">Severity scoring: overdue review = 100 pts, drift outside 2x tolerance = 80 pts, drift outside 1x tolerance = 60 pts, IPO/opportunity &lt; 3 days = 70 pts, IPO/opportunity &lt; 7 days = 50 pts.</w:t>
      </w:r>
    </w:p>
    <w:p>
      <w:pPr>
        <w:pStyle w:val="ListParagraph"/>
        <w:numPr>
          <w:ilvl w:val="0"/>
          <w:numId w:val="2"/>
        </w:numPr>
        <w:spacing w:after="80" w:before="0"/>
      </w:pPr>
      <w:r>
        <w:rPr>
          <w:rFonts w:ascii="Arial" w:cs="Arial" w:eastAsia="Arial" w:hAnsi="Arial"/>
          <w:color w:val="333333"/>
          <w:sz w:val="22"/>
          <w:szCs w:val="22"/>
        </w:rPr>
        <w:t xml:space="preserve">Sort descending by score. Show top 3. Sum remaining count as "+ N more".</w:t>
      </w:r>
    </w:p>
    <w:p>
      <w:pPr>
        <w:pStyle w:val="ListParagraph"/>
        <w:numPr>
          <w:ilvl w:val="0"/>
          <w:numId w:val="2"/>
        </w:numPr>
        <w:spacing w:after="80" w:before="0"/>
      </w:pPr>
      <w:r>
        <w:rPr>
          <w:rFonts w:ascii="Arial" w:cs="Arial" w:eastAsia="Arial" w:hAnsi="Arial"/>
          <w:color w:val="333333"/>
          <w:sz w:val="22"/>
          <w:szCs w:val="22"/>
        </w:rPr>
        <w:t xml:space="preserve">If total score = 0, hide the strip entirely — do not show an empty strip or a "Book is clean" message in the strip location.</w:t>
      </w:r>
    </w:p>
    <w:p>
      <w:pPr>
        <w:spacing w:after="80" w:before="0"/>
      </w:pPr>
      <w:r>
        <w:t xml:space="preserve"/>
      </w:r>
    </w:p>
    <w:p>
      <w:pPr>
        <w:pStyle w:val="Heading3"/>
        <w:spacing w:after="80" w:before="280"/>
      </w:pPr>
      <w:r>
        <w:rPr>
          <w:rFonts w:ascii="Arial" w:cs="Arial" w:eastAsia="Arial" w:hAnsi="Arial"/>
          <w:b/>
          <w:bCs/>
          <w:color w:val="185FA5"/>
          <w:sz w:val="22"/>
          <w:szCs w:val="22"/>
        </w:rPr>
        <w:t xml:space="preserve">Tab — three tabs, hard limit</w:t>
      </w:r>
    </w:p>
    <w:p>
      <w:pPr>
        <w:shd w:fill="FEE2E2" w:val="clear"/>
        <w:spacing w:after="80" w:before="80"/>
        <w:ind w:left="0"/>
      </w:pPr>
      <w:r>
        <w:rPr>
          <w:rFonts w:ascii="Arial" w:cs="Arial" w:eastAsia="Arial" w:hAnsi="Arial"/>
          <w:b/>
          <w:bCs/>
          <w:color w:val="991B1B"/>
          <w:sz w:val="20"/>
          <w:szCs w:val="20"/>
        </w:rPr>
        <w:t xml:space="preserve">  The client workspace must never have more than three tabs. If a new feature needs its own space, it goes in the deep-dive drawer system, not as a fourth tab. This is a product constraint, not a preference.  </w:t>
      </w:r>
    </w:p>
    <w:p>
      <w:pPr>
        <w:spacing w:after="80" w:before="0"/>
      </w:pPr>
      <w:r>
        <w:t xml:space="preserve"/>
      </w:r>
    </w:p>
    <w:p>
      <w:pPr>
        <w:pStyle w:val="Heading3"/>
        <w:spacing w:after="80" w:before="280"/>
      </w:pPr>
      <w:r>
        <w:rPr>
          <w:rFonts w:ascii="Arial" w:cs="Arial" w:eastAsia="Arial" w:hAnsi="Arial"/>
          <w:b/>
          <w:bCs/>
          <w:color w:val="185FA5"/>
          <w:sz w:val="22"/>
          <w:szCs w:val="22"/>
        </w:rPr>
        <w:t xml:space="preserve">Ask Slate scoping</w:t>
      </w:r>
    </w:p>
    <w:p>
      <w:pPr>
        <w:pStyle w:val="ListParagraph"/>
        <w:numPr>
          <w:ilvl w:val="0"/>
          <w:numId w:val="2"/>
        </w:numPr>
        <w:spacing w:after="80" w:before="0"/>
      </w:pPr>
      <w:r>
        <w:rPr>
          <w:rFonts w:ascii="Arial" w:cs="Arial" w:eastAsia="Arial" w:hAnsi="Arial"/>
          <w:color w:val="333333"/>
          <w:sz w:val="22"/>
          <w:szCs w:val="22"/>
        </w:rPr>
        <w:t xml:space="preserve">Every API call from Ask Slate must include the current client ID in the system prompt context.</w:t>
      </w:r>
    </w:p>
    <w:p>
      <w:pPr>
        <w:pStyle w:val="ListParagraph"/>
        <w:numPr>
          <w:ilvl w:val="0"/>
          <w:numId w:val="2"/>
        </w:numPr>
        <w:spacing w:after="80" w:before="0"/>
      </w:pPr>
      <w:r>
        <w:rPr>
          <w:rFonts w:ascii="Arial" w:cs="Arial" w:eastAsia="Arial" w:hAnsi="Arial"/>
          <w:color w:val="333333"/>
          <w:sz w:val="22"/>
          <w:szCs w:val="22"/>
        </w:rPr>
        <w:t xml:space="preserve">Slate responses must never reference other clients by name.</w:t>
      </w:r>
    </w:p>
    <w:p>
      <w:pPr>
        <w:pStyle w:val="ListParagraph"/>
        <w:numPr>
          <w:ilvl w:val="0"/>
          <w:numId w:val="2"/>
        </w:numPr>
        <w:spacing w:after="80" w:before="0"/>
      </w:pPr>
      <w:r>
        <w:rPr>
          <w:rFonts w:ascii="Arial" w:cs="Arial" w:eastAsia="Arial" w:hAnsi="Arial"/>
          <w:color w:val="333333"/>
          <w:sz w:val="22"/>
          <w:szCs w:val="22"/>
        </w:rPr>
        <w:t xml:space="preserve">If a user asks about something outside the current client scope, Slate should say: "I can only access data for [Client name] in this context. Switch to a different client to ask about them."</w:t>
      </w:r>
    </w:p>
    <w:p>
      <w:pPr>
        <w:spacing w:after="160" w:before="0"/>
      </w:pPr>
      <w:r>
        <w:t xml:space="preserve"/>
      </w:r>
    </w:p>
    <w:p>
      <w:pPr>
        <w:pBdr>
          <w:bottom w:val="single" w:color="E5E7EB" w:sz="2" w:space="1"/>
        </w:pBdr>
        <w:spacing w:after="100" w:before="100"/>
      </w:pPr>
      <w:r>
        <w:t xml:space="preserve"/>
      </w:r>
    </w:p>
    <w:p>
      <w:pPr>
        <w:spacing w:after="80" w:before="0"/>
      </w:pPr>
      <w:r>
        <w:t xml:space="preserve"/>
      </w:r>
    </w:p>
    <w:p>
      <w:pPr>
        <w:jc w:val="center"/>
      </w:pPr>
      <w:r>
        <w:rPr>
          <w:rFonts w:ascii="Arial" w:cs="Arial" w:eastAsia="Arial" w:hAnsi="Arial"/>
          <w:i/>
          <w:iCs/>
          <w:color w:val="666666"/>
          <w:sz w:val="18"/>
          <w:szCs w:val="18"/>
        </w:rPr>
        <w:t xml:space="preserve">End of specification — Slate Private Wealth Platform · v1.0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66666"/>
        <w:sz w:val="18"/>
        <w:szCs w:val="18"/>
      </w:rPr>
      <w:t xml:space="preserve">Slate · UX &amp; copy specification</w:t>
    </w:r>
    <w:r>
      <w:rPr>
        <w:rFonts w:ascii="Arial" w:cs="Arial" w:eastAsia="Arial" w:hAnsi="Arial"/>
      </w:rPr>
      <w:t xml:space="preserve">	</w:t>
    </w:r>
    <w:r>
      <w:rPr>
        <w:rFonts w:ascii="Arial" w:cs="Arial" w:eastAsia="Arial" w:hAnsi="Arial"/>
        <w:color w:val="666666"/>
        <w:sz w:val="18"/>
        <w:szCs w:val="18"/>
      </w:rPr>
      <w:t xml:space="preserve">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666666"/>
        <w:sz w:val="18"/>
        <w:szCs w:val="18"/>
      </w:rPr>
      <w:t xml:space="preserve">Slate Private Wealth — Cursor Build Plan</w:t>
    </w:r>
    <w:r>
      <w:rPr>
        <w:rFonts w:ascii="Arial" w:cs="Arial" w:eastAsia="Arial" w:hAnsi="Arial"/>
        <w:sz w:val="18"/>
        <w:szCs w:val="18"/>
      </w:rPr>
      <w:t xml:space="preserve">	</w:t>
    </w:r>
    <w:r>
      <w:rPr>
        <w:rFonts w:ascii="Arial" w:cs="Arial" w:eastAsia="Arial" w:hAnsi="Arial"/>
        <w:color w:val="666666"/>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2026-05-09T04:47:24.988Z</dcterms:created>
  <dcterms:modified xsi:type="dcterms:W3CDTF">2026-05-09T04:47:24.988Z</dcterms:modified>
</cp:coreProperties>
</file>

<file path=docProps/custom.xml><?xml version="1.0" encoding="utf-8"?>
<Properties xmlns="http://schemas.openxmlformats.org/officeDocument/2006/custom-properties" xmlns:vt="http://schemas.openxmlformats.org/officeDocument/2006/docPropsVTypes"/>
</file>