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EdgeGround-VLA — 교수님 첨삭 질문 답변</w:t>
      </w:r>
    </w:p>
    <w:p>
      <w:pPr>
        <w:jc w:val="center"/>
      </w:pPr>
      <w:r>
        <w:rPr>
          <w:color w:val="606060"/>
          <w:sz w:val="18"/>
        </w:rPr>
        <w:t>대상: 초안 0815.hwp   |   작성 2026-08-17   |   질문 5건 전부 실측 완료</w:t>
      </w:r>
    </w:p>
    <w:p/>
    <w:p>
      <w:r>
        <w:rPr>
          <w:b w:val="0"/>
          <w:color w:val="606060"/>
          <w:sz w:val="16"/>
        </w:rPr>
        <w:t>※ 색상 규칙 — 빨강: 교수님 표시 원문 / 파랑: 신규 작성 답변 / 노란 밑줄: 재확인 필요</w:t>
      </w:r>
    </w:p>
    <w:p/>
    <w:p>
      <w:r>
        <w:rPr>
          <w:b/>
          <w:sz w:val="26"/>
        </w:rPr>
        <w:t>요약</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위치</w:t>
            </w:r>
          </w:p>
        </w:tc>
        <w:tc>
          <w:tcPr>
            <w:tcW w:type="dxa" w:w="2160"/>
          </w:tcPr>
          <w:p>
            <w:r/>
            <w:r>
              <w:rPr>
                <w:b/>
                <w:sz w:val="18"/>
              </w:rPr>
              <w:t>질문</w:t>
            </w:r>
          </w:p>
        </w:tc>
        <w:tc>
          <w:tcPr>
            <w:tcW w:type="dxa" w:w="2160"/>
          </w:tcPr>
          <w:p>
            <w:r/>
            <w:r>
              <w:rPr>
                <w:b/>
                <w:sz w:val="18"/>
              </w:rPr>
              <w:t>답변 요지</w:t>
            </w:r>
          </w:p>
        </w:tc>
      </w:tr>
      <w:tr>
        <w:tc>
          <w:tcPr>
            <w:tcW w:type="dxa" w:w="2160"/>
          </w:tcPr>
          <w:p>
            <w:r/>
            <w:r>
              <w:rPr>
                <w:sz w:val="18"/>
              </w:rPr>
              <w:t>Q1</w:t>
            </w:r>
          </w:p>
        </w:tc>
        <w:tc>
          <w:tcPr>
            <w:tcW w:type="dxa" w:w="2160"/>
          </w:tcPr>
          <w:p>
            <w:r/>
            <w:r>
              <w:rPr>
                <w:sz w:val="18"/>
              </w:rPr>
              <w:t>§5.3</w:t>
            </w:r>
          </w:p>
        </w:tc>
        <w:tc>
          <w:tcPr>
            <w:tcW w:type="dxa" w:w="2160"/>
          </w:tcPr>
          <w:p>
            <w:r/>
            <w:r>
              <w:rPr>
                <w:sz w:val="18"/>
              </w:rPr>
              <w:t>"방향 대조 학습으로 학습하고 고정한다" (표시)</w:t>
            </w:r>
          </w:p>
        </w:tc>
        <w:tc>
          <w:tcPr>
            <w:tcW w:type="dxa" w:w="2160"/>
          </w:tcPr>
          <w:p>
            <w:r/>
            <w:r>
              <w:rPr>
                <w:sz w:val="18"/>
              </w:rPr>
              <w:t>용어 정의 + 5.4절 예고 삽입. 용어도 재검토 권고</w:t>
            </w:r>
          </w:p>
        </w:tc>
      </w:tr>
      <w:tr>
        <w:tc>
          <w:tcPr>
            <w:tcW w:type="dxa" w:w="2160"/>
          </w:tcPr>
          <w:p>
            <w:r/>
            <w:r>
              <w:rPr>
                <w:sz w:val="18"/>
              </w:rPr>
              <w:t>Q2</w:t>
            </w:r>
          </w:p>
        </w:tc>
        <w:tc>
          <w:tcPr>
            <w:tcW w:type="dxa" w:w="2160"/>
          </w:tcPr>
          <w:p>
            <w:r/>
            <w:r>
              <w:rPr>
                <w:sz w:val="18"/>
              </w:rPr>
              <w:t>§5.3</w:t>
            </w:r>
          </w:p>
        </w:tc>
        <w:tc>
          <w:tcPr>
            <w:tcW w:type="dxa" w:w="2160"/>
          </w:tcPr>
          <w:p>
            <w:r/>
            <w:r>
              <w:rPr>
                <w:sz w:val="18"/>
              </w:rPr>
              <w:t>"1.128M" (표시)</w:t>
            </w:r>
          </w:p>
        </w:tc>
        <w:tc>
          <w:tcPr>
            <w:tcW w:type="dxa" w:w="2160"/>
          </w:tcPr>
          <w:p>
            <w:r/>
            <w:r>
              <w:rPr>
                <w:sz w:val="18"/>
              </w:rPr>
              <w:t>0.262M + 0.866M 산식과 전체 대비 0.25% 병기</w:t>
            </w:r>
          </w:p>
        </w:tc>
      </w:tr>
      <w:tr>
        <w:tc>
          <w:tcPr>
            <w:tcW w:type="dxa" w:w="2160"/>
          </w:tcPr>
          <w:p>
            <w:r/>
            <w:r>
              <w:rPr>
                <w:sz w:val="18"/>
              </w:rPr>
              <w:t>Q3</w:t>
            </w:r>
          </w:p>
        </w:tc>
        <w:tc>
          <w:tcPr>
            <w:tcW w:type="dxa" w:w="2160"/>
          </w:tcPr>
          <w:p>
            <w:r/>
            <w:r>
              <w:rPr>
                <w:sz w:val="18"/>
              </w:rPr>
              <w:t>§5.4 그림</w:t>
            </w:r>
          </w:p>
        </w:tc>
        <w:tc>
          <w:tcPr>
            <w:tcW w:type="dxa" w:w="2160"/>
          </w:tcPr>
          <w:p>
            <w:r/>
            <w:r>
              <w:rPr>
                <w:sz w:val="18"/>
              </w:rPr>
              <w:t>image_proj — train/val 정확도</w:t>
            </w:r>
          </w:p>
        </w:tc>
        <w:tc>
          <w:tcPr>
            <w:tcW w:type="dxa" w:w="2160"/>
          </w:tcPr>
          <w:p>
            <w:r/>
            <w:r>
              <w:rPr>
                <w:sz w:val="18"/>
              </w:rPr>
              <w:t>train 96.10% / val 94.09% (격차 2.01%p) — 신규 측정</w:t>
            </w:r>
          </w:p>
        </w:tc>
      </w:tr>
      <w:tr>
        <w:tc>
          <w:tcPr>
            <w:tcW w:type="dxa" w:w="2160"/>
          </w:tcPr>
          <w:p>
            <w:r/>
            <w:r>
              <w:rPr>
                <w:sz w:val="18"/>
              </w:rPr>
              <w:t>Q4</w:t>
            </w:r>
          </w:p>
        </w:tc>
        <w:tc>
          <w:tcPr>
            <w:tcW w:type="dxa" w:w="2160"/>
          </w:tcPr>
          <w:p>
            <w:r/>
            <w:r>
              <w:rPr>
                <w:sz w:val="18"/>
              </w:rPr>
              <w:t>§5.5 그림</w:t>
            </w:r>
          </w:p>
        </w:tc>
        <w:tc>
          <w:tcPr>
            <w:tcW w:type="dxa" w:w="2160"/>
          </w:tcPr>
          <w:p>
            <w:r/>
            <w:r>
              <w:rPr>
                <w:sz w:val="18"/>
              </w:rPr>
              <w:t>Action Head — train/val 정확도</w:t>
            </w:r>
          </w:p>
        </w:tc>
        <w:tc>
          <w:tcPr>
            <w:tcW w:type="dxa" w:w="2160"/>
          </w:tcPr>
          <w:p>
            <w:r/>
            <w:r>
              <w:rPr>
                <w:sz w:val="18"/>
              </w:rPr>
              <w:t>train 91.44% / val 74.04% (격차 17.40%p)</w:t>
            </w:r>
          </w:p>
        </w:tc>
      </w:tr>
      <w:tr>
        <w:tc>
          <w:tcPr>
            <w:tcW w:type="dxa" w:w="2160"/>
          </w:tcPr>
          <w:p>
            <w:r/>
            <w:r>
              <w:rPr>
                <w:sz w:val="18"/>
              </w:rPr>
              <w:t>Q5</w:t>
            </w:r>
          </w:p>
        </w:tc>
        <w:tc>
          <w:tcPr>
            <w:tcW w:type="dxa" w:w="2160"/>
          </w:tcPr>
          <w:p>
            <w:r/>
            <w:r>
              <w:rPr>
                <w:sz w:val="18"/>
              </w:rPr>
              <w:t>§5.5 그림</w:t>
            </w:r>
          </w:p>
        </w:tc>
        <w:tc>
          <w:tcPr>
            <w:tcW w:type="dxa" w:w="2160"/>
          </w:tcPr>
          <w:p>
            <w:r/>
            <w:r>
              <w:rPr>
                <w:sz w:val="18"/>
              </w:rPr>
              <w:t>Action Head — train/val loss</w:t>
            </w:r>
          </w:p>
        </w:tc>
        <w:tc>
          <w:tcPr>
            <w:tcW w:type="dxa" w:w="2160"/>
          </w:tcPr>
          <w:p>
            <w:r/>
            <w:r>
              <w:rPr>
                <w:sz w:val="18"/>
              </w:rPr>
              <w:t>train 0.169 / val 1.953 (epoch 225)</w:t>
            </w:r>
          </w:p>
        </w:tc>
      </w:tr>
    </w:tbl>
    <w:p/>
    <w:p>
      <w:r>
        <w:br w:type="page"/>
      </w:r>
    </w:p>
    <w:p>
      <w:r>
        <w:rPr>
          <w:b/>
          <w:sz w:val="26"/>
        </w:rPr>
        <w:t>Q1 · Q2 — §5.3 두 표시는 같은 문단이므로 한 번에 수정</w:t>
      </w:r>
    </w:p>
    <w:p>
      <w:r>
        <w:rPr>
          <w:b/>
          <w:sz w:val="24"/>
        </w:rPr>
        <w:t>Q1. [§5.3] 교수님 표시</w:t>
      </w:r>
    </w:p>
    <w:p>
      <w:pPr>
        <w:ind w:left="283"/>
      </w:pPr>
      <w:r>
        <w:rPr>
          <w:color w:val="C00000"/>
          <w:sz w:val="20"/>
        </w:rPr>
        <w:t>"방향 대조 학습으로 학습하고 고정한다."</w:t>
      </w:r>
    </w:p>
    <w:p>
      <w:r>
        <w:rPr>
          <w:b/>
          <w:sz w:val="24"/>
        </w:rPr>
        <w:t>Q2. [§5.3] 교수님 표시</w:t>
      </w:r>
    </w:p>
    <w:p>
      <w:pPr>
        <w:ind w:left="283"/>
      </w:pPr>
      <w:r>
        <w:rPr>
          <w:color w:val="C00000"/>
          <w:sz w:val="20"/>
        </w:rPr>
        <w:t>"1.128M"</w:t>
      </w:r>
    </w:p>
    <w:p>
      <w:pPr>
        <w:ind w:left="283"/>
      </w:pPr>
      <w:r>
        <w:rPr>
          <w:i/>
          <w:color w:val="606060"/>
          <w:sz w:val="18"/>
        </w:rPr>
        <w:t>※ HWP 파일 파싱 결과 밑줄 속성은 검출되지 않았으나(문자 서식상 0건), 표시된 것으로 간주하고 답변함.</w:t>
      </w:r>
    </w:p>
    <w:p/>
    <w:p>
      <w:r>
        <w:rPr>
          <w:b/>
          <w:sz w:val="22"/>
        </w:rPr>
        <w:t>수정 전 (현재 원문)</w:t>
      </w:r>
    </w:p>
    <w:p>
      <w:pPr>
        <w:ind w:left="283"/>
      </w:pPr>
      <w:r>
        <w:rPr>
          <w:b w:val="0"/>
          <w:sz w:val="20"/>
        </w:rPr>
        <w:t>학습 분할은 에피소드 단위로 15%를 validation으로 떼어냈으며(SPLIT_SEED=42), 프레임 단위가 아니라 에피소드 단위로 분할하였다. 학습 대상은 Stage 1에서 image_proj(0.262M)를 방향 대조 학습으로 학습하고 고정한다. 그리고 Stage 2에서 그 위에 MLP 헤드(0.866M)만 학습하는 구조이다. 전체 학습 파라미터는 1.128M이다. OWL-v2와 Kosmos-2 비전 타워는 두 단계 모두 frozen 상태로 유지된다.</w:t>
      </w:r>
    </w:p>
    <w:p/>
    <w:p>
      <w:r>
        <w:rPr>
          <w:b/>
          <w:sz w:val="22"/>
        </w:rPr>
        <w:t>수정 후 (제안)</w:t>
      </w:r>
    </w:p>
    <w:p>
      <w:pPr>
        <w:ind w:left="283"/>
      </w:pPr>
      <w:r>
        <w:rPr>
          <w:color w:val="0000C0"/>
          <w:sz w:val="20"/>
        </w:rPr>
        <w:t>학습 분할은 에피소드 단위로 15%를 validation으로 떼어냈으며(SPLIT_SEED=42), 프레임 단위가 아니라 에피소드 단위로 분할하였다. 학습은 두 단계로 나뉜다. Stage 1에서는 image_proj(0.262M)를 방향 대조 학습, 즉 이미지에서 추출한 특징을 방향을 서술하는 5개 문장의 텍스트 특징과 대조하여 정렬시키는 학습(5.4절에서 상술)으로 사전 학습한 뒤 그 가중치를 고정한다. Stage 2에서는 고정된 image_proj 위에서 MLP 행동 헤드(0.866M)만 학습한다. 따라서 역전파로 갱신되는 파라미터는 두 단계를 합쳐 1.128M(= 0.262M + 0.866M)이며, 이는 추론에 참여하는 전체 파라미터 0.46B의 약 0.25%에 해당한다. OWL-v2(0.155B)와 Kosmos-2 비전 타워(0.303B)는 두 단계 모두 frozen 상태로 유지되어 학습되지 않는다.</w:t>
      </w:r>
    </w:p>
    <w:p/>
    <w:p>
      <w:r>
        <w:rPr>
          <w:b/>
          <w:sz w:val="22"/>
        </w:rPr>
        <w:t>무엇이 바뀌었는가</w:t>
      </w:r>
    </w:p>
    <w:p>
      <w:pPr>
        <w:ind w:left="283"/>
      </w:pPr>
      <w:r>
        <w:rPr>
          <w:b w:val="0"/>
          <w:color w:val="0000C0"/>
          <w:sz w:val="20"/>
        </w:rPr>
        <w:t>① "방향 대조 학습"에 그 자리에서 한 줄 정의를 붙이고 "(5.4절에서 상술)"로 예고했습니다. 원문에도 바로 다음 문단에 이미 쉬운 설명이 있으나, 표시된 지점에서 그 설명이 곧 나온다는 신호가 없었습니다.</w:t>
      </w:r>
    </w:p>
    <w:p>
      <w:pPr>
        <w:ind w:left="283"/>
      </w:pPr>
      <w:r>
        <w:rPr>
          <w:b w:val="0"/>
          <w:color w:val="0000C0"/>
          <w:sz w:val="20"/>
        </w:rPr>
        <w:t>② 1.128M의 산식을 괄호로 명시했습니다(= 0.262M + 0.866M).</w:t>
      </w:r>
    </w:p>
    <w:p>
      <w:pPr>
        <w:ind w:left="283"/>
      </w:pPr>
      <w:r>
        <w:rPr>
          <w:b w:val="0"/>
          <w:color w:val="0000C0"/>
          <w:sz w:val="20"/>
        </w:rPr>
        <w:t>③ "전체 파라미터의 약 0.25%"를 추가했습니다. 1.128M이 무엇에 대비해 작은지 기준이 없으면 경량성이 전달되지 않으며, 경량화가 본 논문의 주제이므로 이 비율이 핵심입니다.</w:t>
      </w:r>
    </w:p>
    <w:p>
      <w:pPr>
        <w:ind w:left="283"/>
      </w:pPr>
      <w:r>
        <w:rPr>
          <w:b w:val="0"/>
          <w:color w:val="0000C0"/>
          <w:sz w:val="20"/>
        </w:rPr>
        <w:t>④ frozen 백본의 파라미터 수(0.155B·0.303B)를 병기해 위 비율의 분모를 검증 가능하게 했습니다.</w:t>
      </w:r>
    </w:p>
    <w:p/>
    <w:p>
      <w:pPr>
        <w:ind w:left="283"/>
      </w:pPr>
      <w:r>
        <w:rPr>
          <w:b w:val="0"/>
          <w:color w:val="0000C0"/>
          <w:sz w:val="20"/>
          <w:highlight w:val="yellow"/>
          <w:u w:val="single"/>
        </w:rPr>
        <w:t>각주 권장 — 엄밀히는 Stage 1에서 text_proj(2048→256, 0.525M)도 함께 갱신되지만, 배포 시 추론 서버가 체크포인트에서 image_proj 키만 읽으므로 배포 모델의 학습 파라미터로는 1.128M이 맞습니다.</w:t>
      </w:r>
    </w:p>
    <w:p/>
    <w:p>
      <w:r>
        <w:rPr>
          <w:b/>
          <w:sz w:val="22"/>
        </w:rPr>
        <w:t>참고 — "방향 대조 학습" 용어 자체의 재검토 권고</w:t>
      </w:r>
    </w:p>
    <w:p>
      <w:pPr>
        <w:ind w:left="283"/>
      </w:pPr>
      <w:r>
        <w:rPr>
          <w:b w:val="0"/>
          <w:color w:val="0000C0"/>
          <w:sz w:val="20"/>
        </w:rPr>
        <w:t>"방향 대조 학습"은 표준 용어가 아니며, 엄밀히는 배치 내 negative 샘플링이 없는 고정 5-클래스 분류이므로 대조 학습(contrastive learning)의 정의에도 정확히 부합하지 않습니다. 문헌 표준 표현은 아래와 같습니다.</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표현</w:t>
            </w:r>
          </w:p>
        </w:tc>
        <w:tc>
          <w:tcPr>
            <w:tcW w:type="dxa" w:w="4320"/>
          </w:tcPr>
          <w:p>
            <w:r/>
            <w:r>
              <w:rPr>
                <w:b/>
                <w:sz w:val="18"/>
              </w:rPr>
              <w:t>근거 (원문 확인)</w:t>
            </w:r>
          </w:p>
        </w:tc>
      </w:tr>
      <w:tr>
        <w:tc>
          <w:tcPr>
            <w:tcW w:type="dxa" w:w="4320"/>
          </w:tcPr>
          <w:p>
            <w:r/>
            <w:r>
              <w:rPr>
                <w:sz w:val="18"/>
              </w:rPr>
              <w:t>text-derived classifier</w:t>
            </w:r>
          </w:p>
        </w:tc>
        <w:tc>
          <w:tcPr>
            <w:tcW w:type="dxa" w:w="4320"/>
          </w:tcPr>
          <w:p>
            <w:r/>
            <w:r>
              <w:rPr>
                <w:sz w:val="18"/>
              </w:rPr>
              <w:t>CLIP(Radford et al., 2021) §3.1.2: "the text encoder is a hypernetwork which generates the weights of a linear classifier based on the text specifying the visual concepts that the classes represent"</w:t>
            </w:r>
          </w:p>
        </w:tc>
      </w:tr>
      <w:tr>
        <w:tc>
          <w:tcPr>
            <w:tcW w:type="dxa" w:w="4320"/>
          </w:tcPr>
          <w:p>
            <w:r/>
            <w:r>
              <w:rPr>
                <w:sz w:val="18"/>
              </w:rPr>
              <w:t>cosine similarity + temperature scaling</w:t>
            </w:r>
          </w:p>
        </w:tc>
        <w:tc>
          <w:tcPr>
            <w:tcW w:type="dxa" w:w="4320"/>
          </w:tcPr>
          <w:p>
            <w:r/>
            <w:r>
              <w:rPr>
                <w:sz w:val="18"/>
              </w:rPr>
              <w:t>CLIP §3.1.2: "The cosine similarity of these embeddings is then calculated, scaled by a temperature parameter τ, and normalized into a probability distribution via a softmax."  → 본 연구 구현과 1:1 대응</w:t>
            </w:r>
          </w:p>
        </w:tc>
      </w:tr>
      <w:tr>
        <w:tc>
          <w:tcPr>
            <w:tcW w:type="dxa" w:w="4320"/>
          </w:tcPr>
          <w:p>
            <w:r/>
            <w:r>
              <w:rPr>
                <w:sz w:val="18"/>
              </w:rPr>
              <w:t>class prototype</w:t>
            </w:r>
          </w:p>
        </w:tc>
        <w:tc>
          <w:tcPr>
            <w:tcW w:type="dxa" w:w="4320"/>
          </w:tcPr>
          <w:p>
            <w:r/>
            <w:r>
              <w:rPr>
                <w:sz w:val="18"/>
              </w:rPr>
              <w:t>CLIP 본문에는 없는 용어(전수 검색 0건). 후속 연구 용어 — CLIP-S⁴(arXiv:2305.01040) Figure 2: "Class Prototypes derived from CLIP"</w:t>
            </w:r>
          </w:p>
        </w:tc>
      </w:tr>
    </w:tbl>
    <w:p/>
    <w:p>
      <w:pPr>
        <w:ind w:left="283"/>
      </w:pPr>
      <w:r>
        <w:rPr>
          <w:b w:val="0"/>
          <w:color w:val="0000C0"/>
          <w:sz w:val="20"/>
        </w:rPr>
        <w:t>제안 표현: "텍스트 앵커를 클래스 프로토타입으로 사용하는 방향 분류 학습(text-derived class prototypes)". 단 CLIP은 추론 시 분류기가 고정인 반면 본 연구는 text_proj도 학습하므로 "fixed"라는 수식은 붙이지 않는 것이 정확합니다.</w:t>
      </w:r>
    </w:p>
    <w:p>
      <w:r>
        <w:br w:type="page"/>
      </w:r>
    </w:p>
    <w:p>
      <w:r>
        <w:rPr>
          <w:b/>
          <w:sz w:val="26"/>
        </w:rPr>
        <w:t>Q3 — image_proj 학습 곡선: Training과 validation의 정확도</w:t>
      </w:r>
    </w:p>
    <w:p>
      <w:r>
        <w:rPr>
          <w:b/>
          <w:sz w:val="24"/>
        </w:rPr>
        <w:t>Q3. [§5.4 그림] 교수님 표시</w:t>
      </w:r>
    </w:p>
    <w:p>
      <w:pPr>
        <w:ind w:left="283"/>
      </w:pPr>
      <w:r>
        <w:rPr>
          <w:color w:val="C00000"/>
          <w:sz w:val="20"/>
        </w:rPr>
        <w:t>"Training과 validation의 정확도는?"</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구분</w:t>
            </w:r>
          </w:p>
        </w:tc>
        <w:tc>
          <w:tcPr>
            <w:tcW w:type="dxa" w:w="2160"/>
          </w:tcPr>
          <w:p>
            <w:r/>
            <w:r>
              <w:rPr>
                <w:b/>
                <w:sz w:val="18"/>
              </w:rPr>
              <w:t>정확도</w:t>
            </w:r>
          </w:p>
        </w:tc>
        <w:tc>
          <w:tcPr>
            <w:tcW w:type="dxa" w:w="2160"/>
          </w:tcPr>
          <w:p>
            <w:r/>
            <w:r>
              <w:rPr>
                <w:b/>
                <w:sz w:val="18"/>
              </w:rPr>
              <w:t>프레임 수</w:t>
            </w:r>
          </w:p>
        </w:tc>
        <w:tc>
          <w:tcPr>
            <w:tcW w:type="dxa" w:w="2160"/>
          </w:tcPr>
          <w:p>
            <w:r/>
            <w:r>
              <w:rPr>
                <w:b/>
                <w:sz w:val="18"/>
              </w:rPr>
              <w:t>에피소드</w:t>
            </w:r>
          </w:p>
        </w:tc>
      </w:tr>
      <w:tr>
        <w:tc>
          <w:tcPr>
            <w:tcW w:type="dxa" w:w="2160"/>
          </w:tcPr>
          <w:p>
            <w:r/>
            <w:r>
              <w:rPr>
                <w:sz w:val="18"/>
              </w:rPr>
              <w:t>Training</w:t>
            </w:r>
          </w:p>
        </w:tc>
        <w:tc>
          <w:tcPr>
            <w:tcW w:type="dxa" w:w="2160"/>
          </w:tcPr>
          <w:p>
            <w:r/>
            <w:r>
              <w:rPr>
                <w:sz w:val="18"/>
              </w:rPr>
              <w:t>96.10%</w:t>
            </w:r>
          </w:p>
        </w:tc>
        <w:tc>
          <w:tcPr>
            <w:tcW w:type="dxa" w:w="2160"/>
          </w:tcPr>
          <w:p>
            <w:r/>
            <w:r>
              <w:rPr>
                <w:sz w:val="18"/>
              </w:rPr>
              <w:t>13,114</w:t>
            </w:r>
          </w:p>
        </w:tc>
        <w:tc>
          <w:tcPr>
            <w:tcW w:type="dxa" w:w="2160"/>
          </w:tcPr>
          <w:p>
            <w:r/>
            <w:r>
              <w:rPr>
                <w:sz w:val="18"/>
              </w:rPr>
              <w:t>180</w:t>
            </w:r>
          </w:p>
        </w:tc>
      </w:tr>
      <w:tr>
        <w:tc>
          <w:tcPr>
            <w:tcW w:type="dxa" w:w="2160"/>
          </w:tcPr>
          <w:p>
            <w:r/>
            <w:r>
              <w:rPr>
                <w:sz w:val="18"/>
              </w:rPr>
              <w:t>Validation</w:t>
            </w:r>
          </w:p>
        </w:tc>
        <w:tc>
          <w:tcPr>
            <w:tcW w:type="dxa" w:w="2160"/>
          </w:tcPr>
          <w:p>
            <w:r/>
            <w:r>
              <w:rPr>
                <w:sz w:val="18"/>
              </w:rPr>
              <w:t>94.09%</w:t>
            </w:r>
          </w:p>
        </w:tc>
        <w:tc>
          <w:tcPr>
            <w:tcW w:type="dxa" w:w="2160"/>
          </w:tcPr>
          <w:p>
            <w:r/>
            <w:r>
              <w:rPr>
                <w:sz w:val="18"/>
              </w:rPr>
              <w:t>3,485</w:t>
            </w:r>
          </w:p>
        </w:tc>
        <w:tc>
          <w:tcPr>
            <w:tcW w:type="dxa" w:w="2160"/>
          </w:tcPr>
          <w:p>
            <w:r/>
            <w:r>
              <w:rPr>
                <w:sz w:val="18"/>
              </w:rPr>
              <w:t>45</w:t>
            </w:r>
          </w:p>
        </w:tc>
      </w:tr>
      <w:tr>
        <w:tc>
          <w:tcPr>
            <w:tcW w:type="dxa" w:w="2160"/>
          </w:tcPr>
          <w:p>
            <w:r/>
            <w:r>
              <w:rPr>
                <w:sz w:val="18"/>
              </w:rPr>
              <w:t>격차</w:t>
            </w:r>
          </w:p>
        </w:tc>
        <w:tc>
          <w:tcPr>
            <w:tcW w:type="dxa" w:w="2160"/>
          </w:tcPr>
          <w:p>
            <w:r/>
            <w:r>
              <w:rPr>
                <w:sz w:val="18"/>
              </w:rPr>
              <w:t>+2.01%p</w:t>
            </w:r>
          </w:p>
        </w:tc>
        <w:tc>
          <w:tcPr>
            <w:tcW w:type="dxa" w:w="2160"/>
          </w:tcPr>
          <w:p>
            <w:r/>
            <w:r>
              <w:rPr>
                <w:sz w:val="18"/>
              </w:rPr>
              <w:t>—</w:t>
            </w:r>
          </w:p>
        </w:tc>
        <w:tc>
          <w:tcPr>
            <w:tcW w:type="dxa" w:w="2160"/>
          </w:tcPr>
          <w:p>
            <w:r/>
            <w:r>
              <w:rPr>
                <w:sz w:val="18"/>
              </w:rPr>
              <w:t>—</w:t>
            </w:r>
          </w:p>
        </w:tc>
      </w:tr>
    </w:tbl>
    <w:p/>
    <w:p>
      <w:pPr>
        <w:ind w:left="283"/>
      </w:pPr>
      <w:r>
        <w:rPr>
          <w:b w:val="0"/>
          <w:color w:val="0000C0"/>
          <w:sz w:val="20"/>
        </w:rPr>
        <w:t>검증 정확도 94.09%는 체크포인트에 저장된 값과 일치합니다. train-val 격차가 2.01%p에 불과하여 image_proj는 과적합이 거의 없습니다.</w:t>
      </w:r>
    </w:p>
    <w:p>
      <w:pPr>
        <w:ind w:left="283"/>
      </w:pPr>
      <w:r>
        <w:rPr>
          <w:b w:val="0"/>
          <w:color w:val="606060"/>
          <w:sz w:val="18"/>
        </w:rPr>
        <w:t>※ 학습 스크립트가 매 epoch validation만 평가하고 train 정확도는 기록하지 않아, 저장된 체크포인트로 동일 분할(seed=42, 에피소드 단위)을 복원해 별도 측정하였습니다(2026-08-17).</w:t>
      </w:r>
    </w:p>
    <w:p/>
    <w:p>
      <w:r>
        <w:rPr>
          <w:b/>
          <w:sz w:val="26"/>
        </w:rPr>
        <w:t>Q4 · Q5 — Action Head: Training/validation 정확도 및 loss</w:t>
      </w:r>
    </w:p>
    <w:p>
      <w:r>
        <w:rPr>
          <w:b/>
          <w:sz w:val="24"/>
        </w:rPr>
        <w:t>Q4. [§5.5 그림] 교수님 표시</w:t>
      </w:r>
    </w:p>
    <w:p>
      <w:pPr>
        <w:ind w:left="283"/>
      </w:pPr>
      <w:r>
        <w:rPr>
          <w:color w:val="C00000"/>
          <w:sz w:val="20"/>
        </w:rPr>
        <w:t>"Training과 validation의 정확도는?"</w:t>
      </w:r>
    </w:p>
    <w:p>
      <w:r>
        <w:rPr>
          <w:b/>
          <w:sz w:val="24"/>
        </w:rPr>
        <w:t>Q5. [§5.5 그림] 교수님 표시</w:t>
      </w:r>
    </w:p>
    <w:p>
      <w:pPr>
        <w:ind w:left="283"/>
      </w:pPr>
      <w:r>
        <w:rPr>
          <w:color w:val="C00000"/>
          <w:sz w:val="20"/>
        </w:rPr>
        <w:t>"Training과 validation의 loss 값은?"</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시점</w:t>
            </w:r>
          </w:p>
        </w:tc>
        <w:tc>
          <w:tcPr>
            <w:tcW w:type="dxa" w:w="1728"/>
          </w:tcPr>
          <w:p>
            <w:r/>
            <w:r>
              <w:rPr>
                <w:b/>
                <w:sz w:val="18"/>
              </w:rPr>
              <w:t>train acc</w:t>
            </w:r>
          </w:p>
        </w:tc>
        <w:tc>
          <w:tcPr>
            <w:tcW w:type="dxa" w:w="1728"/>
          </w:tcPr>
          <w:p>
            <w:r/>
            <w:r>
              <w:rPr>
                <w:b/>
                <w:sz w:val="18"/>
              </w:rPr>
              <w:t>val acc</w:t>
            </w:r>
          </w:p>
        </w:tc>
        <w:tc>
          <w:tcPr>
            <w:tcW w:type="dxa" w:w="1728"/>
          </w:tcPr>
          <w:p>
            <w:r/>
            <w:r>
              <w:rPr>
                <w:b/>
                <w:sz w:val="18"/>
              </w:rPr>
              <w:t>train loss</w:t>
            </w:r>
          </w:p>
        </w:tc>
        <w:tc>
          <w:tcPr>
            <w:tcW w:type="dxa" w:w="1728"/>
          </w:tcPr>
          <w:p>
            <w:r/>
            <w:r>
              <w:rPr>
                <w:b/>
                <w:sz w:val="18"/>
              </w:rPr>
              <w:t>val loss</w:t>
            </w:r>
          </w:p>
        </w:tc>
      </w:tr>
      <w:tr>
        <w:tc>
          <w:tcPr>
            <w:tcW w:type="dxa" w:w="1728"/>
          </w:tcPr>
          <w:p>
            <w:r/>
            <w:r>
              <w:rPr>
                <w:sz w:val="18"/>
              </w:rPr>
              <w:t>배포 체크포인트 (epoch 225)</w:t>
            </w:r>
          </w:p>
        </w:tc>
        <w:tc>
          <w:tcPr>
            <w:tcW w:type="dxa" w:w="1728"/>
          </w:tcPr>
          <w:p>
            <w:r/>
            <w:r>
              <w:rPr>
                <w:sz w:val="18"/>
              </w:rPr>
              <w:t>91.44%</w:t>
            </w:r>
          </w:p>
        </w:tc>
        <w:tc>
          <w:tcPr>
            <w:tcW w:type="dxa" w:w="1728"/>
          </w:tcPr>
          <w:p>
            <w:r/>
            <w:r>
              <w:rPr>
                <w:sz w:val="18"/>
              </w:rPr>
              <w:t>74.04%</w:t>
            </w:r>
          </w:p>
        </w:tc>
        <w:tc>
          <w:tcPr>
            <w:tcW w:type="dxa" w:w="1728"/>
          </w:tcPr>
          <w:p>
            <w:r/>
            <w:r>
              <w:rPr>
                <w:sz w:val="18"/>
              </w:rPr>
              <w:t>0.169</w:t>
            </w:r>
          </w:p>
        </w:tc>
        <w:tc>
          <w:tcPr>
            <w:tcW w:type="dxa" w:w="1728"/>
          </w:tcPr>
          <w:p>
            <w:r/>
            <w:r>
              <w:rPr>
                <w:sz w:val="18"/>
              </w:rPr>
              <w:t>1.953</w:t>
            </w:r>
          </w:p>
        </w:tc>
      </w:tr>
      <w:tr>
        <w:tc>
          <w:tcPr>
            <w:tcW w:type="dxa" w:w="1728"/>
          </w:tcPr>
          <w:p>
            <w:r/>
            <w:r>
              <w:rPr>
                <w:sz w:val="18"/>
              </w:rPr>
              <w:t>val loss 최저 (epoch 20)</w:t>
            </w:r>
          </w:p>
        </w:tc>
        <w:tc>
          <w:tcPr>
            <w:tcW w:type="dxa" w:w="1728"/>
          </w:tcPr>
          <w:p>
            <w:r/>
            <w:r>
              <w:rPr>
                <w:sz w:val="18"/>
              </w:rPr>
              <w:t>72.29%</w:t>
            </w:r>
          </w:p>
        </w:tc>
        <w:tc>
          <w:tcPr>
            <w:tcW w:type="dxa" w:w="1728"/>
          </w:tcPr>
          <w:p>
            <w:r/>
            <w:r>
              <w:rPr>
                <w:sz w:val="18"/>
              </w:rPr>
              <w:t>67.13%</w:t>
            </w:r>
          </w:p>
        </w:tc>
        <w:tc>
          <w:tcPr>
            <w:tcW w:type="dxa" w:w="1728"/>
          </w:tcPr>
          <w:p>
            <w:r/>
            <w:r>
              <w:rPr>
                <w:sz w:val="18"/>
              </w:rPr>
              <w:t>0.668</w:t>
            </w:r>
          </w:p>
        </w:tc>
        <w:tc>
          <w:tcPr>
            <w:tcW w:type="dxa" w:w="1728"/>
          </w:tcPr>
          <w:p>
            <w:r/>
            <w:r>
              <w:rPr>
                <w:sz w:val="18"/>
              </w:rPr>
              <w:t>0.926</w:t>
            </w:r>
          </w:p>
        </w:tc>
      </w:tr>
      <w:tr>
        <w:tc>
          <w:tcPr>
            <w:tcW w:type="dxa" w:w="1728"/>
          </w:tcPr>
          <w:p>
            <w:r/>
            <w:r>
              <w:rPr>
                <w:sz w:val="18"/>
              </w:rPr>
              <w:t>최종 (epoch 299)</w:t>
            </w:r>
          </w:p>
        </w:tc>
        <w:tc>
          <w:tcPr>
            <w:tcW w:type="dxa" w:w="1728"/>
          </w:tcPr>
          <w:p>
            <w:r/>
            <w:r>
              <w:rPr>
                <w:sz w:val="18"/>
              </w:rPr>
              <w:t>92.24%</w:t>
            </w:r>
          </w:p>
        </w:tc>
        <w:tc>
          <w:tcPr>
            <w:tcW w:type="dxa" w:w="1728"/>
          </w:tcPr>
          <w:p>
            <w:r/>
            <w:r>
              <w:rPr>
                <w:sz w:val="18"/>
              </w:rPr>
              <w:t>73.51%</w:t>
            </w:r>
          </w:p>
        </w:tc>
        <w:tc>
          <w:tcPr>
            <w:tcW w:type="dxa" w:w="1728"/>
          </w:tcPr>
          <w:p>
            <w:r/>
            <w:r>
              <w:rPr>
                <w:sz w:val="18"/>
              </w:rPr>
              <w:t>0.146</w:t>
            </w:r>
          </w:p>
        </w:tc>
        <w:tc>
          <w:tcPr>
            <w:tcW w:type="dxa" w:w="1728"/>
          </w:tcPr>
          <w:p>
            <w:r/>
            <w:r>
              <w:rPr>
                <w:sz w:val="18"/>
              </w:rPr>
              <w:t>2.040</w:t>
            </w:r>
          </w:p>
        </w:tc>
      </w:tr>
    </w:tbl>
    <w:p/>
    <w:p>
      <w:r>
        <w:drawing>
          <wp:inline xmlns:a="http://schemas.openxmlformats.org/drawingml/2006/main" xmlns:pic="http://schemas.openxmlformats.org/drawingml/2006/picture">
            <wp:extent cx="5760000" cy="2527706"/>
            <wp:docPr id="1" name="Picture 1"/>
            <wp:cNvGraphicFramePr>
              <a:graphicFrameLocks noChangeAspect="1"/>
            </wp:cNvGraphicFramePr>
            <a:graphic>
              <a:graphicData uri="http://schemas.openxmlformats.org/drawingml/2006/picture">
                <pic:pic>
                  <pic:nvPicPr>
                    <pic:cNvPr id="0" name="action_head_mlp_training_curve.png"/>
                    <pic:cNvPicPr/>
                  </pic:nvPicPr>
                  <pic:blipFill>
                    <a:blip r:embed="rId9"/>
                    <a:stretch>
                      <a:fillRect/>
                    </a:stretch>
                  </pic:blipFill>
                  <pic:spPr>
                    <a:xfrm>
                      <a:off x="0" y="0"/>
                      <a:ext cx="5760000" cy="2527706"/>
                    </a:xfrm>
                    <a:prstGeom prst="rect"/>
                  </pic:spPr>
                </pic:pic>
              </a:graphicData>
            </a:graphic>
          </wp:inline>
        </w:drawing>
      </w:r>
    </w:p>
    <w:p>
      <w:pPr>
        <w:ind w:left="283"/>
      </w:pPr>
      <w:r>
        <w:rPr>
          <w:b w:val="0"/>
          <w:color w:val="606060"/>
          <w:sz w:val="16"/>
        </w:rPr>
        <w:t>Action Head(MLP) 학습 곡선 — Accuracy(좌) / Loss(우), seed=0, 300 epoch</w:t>
      </w:r>
    </w:p>
    <w:p/>
    <w:p>
      <w:r>
        <w:rPr>
          <w:b/>
          <w:sz w:val="22"/>
        </w:rPr>
        <w:t>격차 방어 — 프레임 단위 정확도 ≠ 에피소드 단위 성공률</w:t>
      </w:r>
    </w:p>
    <w:p>
      <w:pPr>
        <w:ind w:left="283"/>
      </w:pPr>
      <w:r>
        <w:rPr>
          <w:b w:val="0"/>
          <w:color w:val="0000C0"/>
          <w:sz w:val="20"/>
        </w:rPr>
        <w:t>행동 헤드의 학습·검증 정확도 격차(91.44% 대 74.04%)에는 과적합의 영향이 포함되어 있으나, 이 격차를 그대로 성능 저하로 해석하는 것은 적절하지 않다. 두 지표의 측정 단위가 서로 다르기 때문이다. 검증 정확도는 매 장면(프레임)에서 사람이 조작한 단 하나의 행동과 일치하는지를 묻는 반면, 실기 성공률은 에피소드 단위로 목표에 도달했는지를 묻는다. 특정 시점에서 목표에 접근할 수 있는 행동은 일반적으로 하나가 아니므로(목표가 약간 왼쪽에 있을 때 FORWARD와 FWD+LEFT는 모두 접근에 유효하다), 전자는 후자보다 훨씬 엄격한 기준이다.</w:t>
      </w:r>
    </w:p>
    <w:p/>
    <w:p>
      <w:pPr>
        <w:ind w:left="283"/>
      </w:pPr>
      <w:r>
        <w:rPr>
          <w:b w:val="0"/>
          <w:color w:val="0000C0"/>
          <w:sz w:val="20"/>
        </w:rPr>
        <w:t>이 주장은 검증 혼동행렬로 확인된다. 오류 629건을 심각도로 분해하면 다음과 같다.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오류 성격</w:t>
            </w:r>
          </w:p>
        </w:tc>
        <w:tc>
          <w:tcPr>
            <w:tcW w:type="dxa" w:w="2160"/>
          </w:tcPr>
          <w:p>
            <w:r/>
            <w:r>
              <w:rPr>
                <w:b/>
                <w:sz w:val="18"/>
              </w:rPr>
              <w:t>건수</w:t>
            </w:r>
          </w:p>
        </w:tc>
        <w:tc>
          <w:tcPr>
            <w:tcW w:type="dxa" w:w="2160"/>
          </w:tcPr>
          <w:p>
            <w:r/>
            <w:r>
              <w:rPr>
                <w:b/>
                <w:sz w:val="18"/>
              </w:rPr>
              <w:t>전체 대비</w:t>
            </w:r>
          </w:p>
        </w:tc>
        <w:tc>
          <w:tcPr>
            <w:tcW w:type="dxa" w:w="2160"/>
          </w:tcPr>
          <w:p>
            <w:r/>
            <w:r>
              <w:rPr>
                <w:b/>
                <w:sz w:val="18"/>
              </w:rPr>
              <w:t>오류 대비</w:t>
            </w:r>
          </w:p>
        </w:tc>
      </w:tr>
      <w:tr>
        <w:tc>
          <w:tcPr>
            <w:tcW w:type="dxa" w:w="2160"/>
          </w:tcPr>
          <w:p>
            <w:r/>
            <w:r>
              <w:rPr>
                <w:sz w:val="18"/>
              </w:rPr>
              <w:t>좌우 반전 (치명적)</w:t>
            </w:r>
          </w:p>
        </w:tc>
        <w:tc>
          <w:tcPr>
            <w:tcW w:type="dxa" w:w="2160"/>
          </w:tcPr>
          <w:p>
            <w:r/>
            <w:r>
              <w:rPr>
                <w:sz w:val="18"/>
              </w:rPr>
              <w:t>48</w:t>
            </w:r>
          </w:p>
        </w:tc>
        <w:tc>
          <w:tcPr>
            <w:tcW w:type="dxa" w:w="2160"/>
          </w:tcPr>
          <w:p>
            <w:r/>
            <w:r>
              <w:rPr>
                <w:sz w:val="18"/>
              </w:rPr>
              <w:t>1.97%</w:t>
            </w:r>
          </w:p>
        </w:tc>
        <w:tc>
          <w:tcPr>
            <w:tcW w:type="dxa" w:w="2160"/>
          </w:tcPr>
          <w:p>
            <w:r/>
            <w:r>
              <w:rPr>
                <w:sz w:val="18"/>
              </w:rPr>
              <w:t>7.6%</w:t>
            </w:r>
          </w:p>
        </w:tc>
      </w:tr>
      <w:tr>
        <w:tc>
          <w:tcPr>
            <w:tcW w:type="dxa" w:w="2160"/>
          </w:tcPr>
          <w:p>
            <w:r/>
            <w:r>
              <w:rPr>
                <w:sz w:val="18"/>
              </w:rPr>
              <w:t>같은 방향 성향 내 혼동 (대체 가능한 행동)</w:t>
            </w:r>
          </w:p>
        </w:tc>
        <w:tc>
          <w:tcPr>
            <w:tcW w:type="dxa" w:w="2160"/>
          </w:tcPr>
          <w:p>
            <w:r/>
            <w:r>
              <w:rPr>
                <w:sz w:val="18"/>
              </w:rPr>
              <w:t>512</w:t>
            </w:r>
          </w:p>
        </w:tc>
        <w:tc>
          <w:tcPr>
            <w:tcW w:type="dxa" w:w="2160"/>
          </w:tcPr>
          <w:p>
            <w:r/>
            <w:r>
              <w:rPr>
                <w:sz w:val="18"/>
              </w:rPr>
              <w:t>21.06%</w:t>
            </w:r>
          </w:p>
        </w:tc>
        <w:tc>
          <w:tcPr>
            <w:tcW w:type="dxa" w:w="2160"/>
          </w:tcPr>
          <w:p>
            <w:r/>
            <w:r>
              <w:rPr>
                <w:sz w:val="18"/>
              </w:rPr>
              <w:t>81.4%</w:t>
            </w:r>
          </w:p>
        </w:tc>
      </w:tr>
      <w:tr>
        <w:tc>
          <w:tcPr>
            <w:tcW w:type="dxa" w:w="2160"/>
          </w:tcPr>
          <w:p>
            <w:r/>
            <w:r>
              <w:rPr>
                <w:sz w:val="18"/>
              </w:rPr>
              <w:t>STOP 판정 시점 차이</w:t>
            </w:r>
          </w:p>
        </w:tc>
        <w:tc>
          <w:tcPr>
            <w:tcW w:type="dxa" w:w="2160"/>
          </w:tcPr>
          <w:p>
            <w:r/>
            <w:r>
              <w:rPr>
                <w:sz w:val="18"/>
              </w:rPr>
              <w:t>69</w:t>
            </w:r>
          </w:p>
        </w:tc>
        <w:tc>
          <w:tcPr>
            <w:tcW w:type="dxa" w:w="2160"/>
          </w:tcPr>
          <w:p>
            <w:r/>
            <w:r>
              <w:rPr>
                <w:sz w:val="18"/>
              </w:rPr>
              <w:t>2.84%</w:t>
            </w:r>
          </w:p>
        </w:tc>
        <w:tc>
          <w:tcPr>
            <w:tcW w:type="dxa" w:w="2160"/>
          </w:tcPr>
          <w:p>
            <w:r/>
            <w:r>
              <w:rPr>
                <w:sz w:val="18"/>
              </w:rPr>
              <w:t>11.0%</w:t>
            </w:r>
          </w:p>
        </w:tc>
      </w:tr>
    </w:tbl>
    <w:p/>
    <w:p>
      <w:r>
        <w:drawing>
          <wp:inline xmlns:a="http://schemas.openxmlformats.org/drawingml/2006/main" xmlns:pic="http://schemas.openxmlformats.org/drawingml/2006/picture">
            <wp:extent cx="5940000" cy="3701265"/>
            <wp:docPr id="2" name="Picture 2"/>
            <wp:cNvGraphicFramePr>
              <a:graphicFrameLocks noChangeAspect="1"/>
            </wp:cNvGraphicFramePr>
            <a:graphic>
              <a:graphicData uri="http://schemas.openxmlformats.org/drawingml/2006/picture">
                <pic:pic>
                  <pic:nvPicPr>
                    <pic:cNvPr id="0" name="action_head_error_severity.png"/>
                    <pic:cNvPicPr/>
                  </pic:nvPicPr>
                  <pic:blipFill>
                    <a:blip r:embed="rId10"/>
                    <a:stretch>
                      <a:fillRect/>
                    </a:stretch>
                  </pic:blipFill>
                  <pic:spPr>
                    <a:xfrm>
                      <a:off x="0" y="0"/>
                      <a:ext cx="5940000" cy="3701265"/>
                    </a:xfrm>
                    <a:prstGeom prst="rect"/>
                  </pic:spPr>
                </pic:pic>
              </a:graphicData>
            </a:graphic>
          </wp:inline>
        </w:drawing>
      </w:r>
    </w:p>
    <w:p>
      <w:pPr>
        <w:ind w:left="283"/>
      </w:pPr>
      <w:r>
        <w:rPr>
          <w:b w:val="0"/>
          <w:color w:val="606060"/>
          <w:sz w:val="16"/>
        </w:rPr>
        <w:t>좌: 8×8 혼동행렬을 셀 성격별로 구분(초록=정답, 노랑=같은 방향 성향 내 혼동, 빨강=좌우 반전, 회색=STOP 판정 차이). 우: 좌·우·중립 3방향 축약 시 81.65%.</w:t>
      </w:r>
    </w:p>
    <w:p/>
    <w:p>
      <w:pPr>
        <w:ind w:left="283"/>
      </w:pPr>
      <w:r>
        <w:rPr>
          <w:b w:val="0"/>
          <w:color w:val="0000C0"/>
          <w:sz w:val="20"/>
        </w:rPr>
        <w:t>즉 오류의 81.4%는 틀린 행동이라기보다 같은 방향으로 접근하는 다른 유효한 선택이며, 주행을 실제로 실패시키는 좌우 반전은 전체 판단의 1.97%에 불과하다. 특히 FORWARD와 FWD+LEFT/FWD+RIGHT 사이의 상호 혼동이 오류의 52.5%(330건)를 차지하는데, 이 네 경우를 정답으로 간주하면 정확도는 87.70%가 되고, 행동을 좌·우·중립 세 방향으로 축약하면 81.65%가 된다.</w:t>
      </w:r>
    </w:p>
    <w:p/>
    <w:p>
      <w:pPr>
        <w:ind w:left="283"/>
      </w:pPr>
      <w:r>
        <w:rPr>
          <w:b w:val="0"/>
          <w:color w:val="0000C0"/>
          <w:sz w:val="20"/>
        </w:rPr>
        <w:t>또한 에피소드 단위 지표가 더 관대할 수 있는 구조적 이유가 있다. 폐루프 제어에서 로봇은 매 판단 시점마다 갱신된 관측으로 다시 판단하므로, 한 시점에서 대체 행동을 선택하더라도 다음 시점에 목표 위치가 재측정되어 스스로 보정된다. 에피소드당 평균 11.64회의 판단이 이루어지는 구조에서 개별 판단의 불일치는 누적되지 않고 흡수된다. 반면 프레임 단위 채점은 이러한 재정정 기회를 반영하지 못하고 매 프레임을 독립적으로 감점한다. 따라서 검증 정확도는 실기 성능의 하한(lower bound)에 가깝게 해석하는 것이 타당하며, 검증 74.1%와 실기 95%는 상충하는 결과가 아니다.</w:t>
      </w:r>
    </w:p>
    <w:p/>
    <w:p>
      <w:r>
        <w:rPr>
          <w:b/>
          <w:sz w:val="22"/>
        </w:rPr>
        <w:t>함께 서술해야 할 사항 — 과적합</w:t>
      </w:r>
    </w:p>
    <w:p>
      <w:pPr>
        <w:ind w:left="283"/>
      </w:pPr>
      <w:r>
        <w:rPr>
          <w:b w:val="0"/>
          <w:color w:val="0000C0"/>
          <w:sz w:val="20"/>
        </w:rPr>
        <w:t>train 91.44% 대 val 74.04%로 17.40%p의 격차가 있으며, validation loss는 epoch 20 이후 0.926에서 1.953까지 상승합니다. 즉 행동 헤드에서는 과적합이 관찰됩니다. 다음 세 가지를 함께 서술하는 것이 적절합니다.</w:t>
      </w:r>
    </w:p>
    <w:p>
      <w:pPr>
        <w:ind w:left="454"/>
      </w:pPr>
      <w:r>
        <w:rPr>
          <w:b w:val="0"/>
          <w:color w:val="0000C0"/>
          <w:sz w:val="20"/>
        </w:rPr>
        <w:t>① 체크포인트 선택 기준은 validation accuracy 단독이며, 분류 과제에서 실제로 쓰이는 지표가 argmax 정확도이기 때문입니다. validation loss가 상승하는데 정확도는 유지되는 현상은 모델이 틀린 예측에 과신하게 되지만 argmax 순위는 뒤집히지 않는 알려진 패턴입니다.</w:t>
      </w:r>
    </w:p>
    <w:p>
      <w:pPr>
        <w:ind w:left="454"/>
      </w:pPr>
      <w:r>
        <w:rPr>
          <w:b w:val="0"/>
          <w:color w:val="0000C0"/>
          <w:sz w:val="20"/>
        </w:rPr>
        <w:t>② 데이터가 225 에피소드(16,599 프레임)로 작아 과적합이 구조적으로 불가피합니다.</w:t>
      </w:r>
    </w:p>
    <w:p>
      <w:pPr>
        <w:ind w:left="454"/>
      </w:pPr>
      <w:r>
        <w:rPr>
          <w:b w:val="0"/>
          <w:color w:val="0000C0"/>
          <w:sz w:val="20"/>
        </w:rPr>
        <w:t>③ 그럼에도 실기 100회 시험에서 95%의 목표 도달 성공률을 확인하였으며, 이는 validation 지표만으로 실제 주행 성능을 판단할 수 없음을 보여줍니다.</w:t>
      </w:r>
    </w:p>
    <w:p/>
    <w:p>
      <w:r>
        <w:rPr>
          <w:b/>
          <w:sz w:val="22"/>
        </w:rPr>
        <w:t>"왜 epoch 225인가" — 코드 확인 결과</w:t>
      </w:r>
    </w:p>
    <w:p>
      <w:pPr>
        <w:ind w:left="454"/>
      </w:pPr>
      <w:r>
        <w:rPr>
          <w:b w:val="0"/>
          <w:color w:val="0000C0"/>
          <w:sz w:val="20"/>
        </w:rPr>
        <w:t>① 학습 스크립트에는 validation loss를 계산하는 코드가 없습니다. loss를 보고 선택한 것이 아니라 처음부터 validation accuracy만이 기준이었습니다.</w:t>
      </w:r>
    </w:p>
    <w:p>
      <w:pPr>
        <w:ind w:left="454"/>
      </w:pPr>
      <w:r>
        <w:rPr>
          <w:b w:val="0"/>
          <w:color w:val="0000C0"/>
          <w:sz w:val="20"/>
        </w:rPr>
        <w:t>② validation은 25 epoch마다만 평가하므로 후보는 0·25·50·…·275·299의 13개뿐이며, 그중 225가 최고였습니다. 따라서 위 표의 epoch 20은 실제 학습에서 후보가 아니었습니다(5 epoch 간격 재현 측정에서만 관측되는 지점).</w:t>
      </w:r>
    </w:p>
    <w:p>
      <w:pPr>
        <w:ind w:left="454"/>
      </w:pPr>
      <w:r>
        <w:rPr>
          <w:b w:val="0"/>
          <w:color w:val="0000C0"/>
          <w:sz w:val="20"/>
        </w:rPr>
        <w:t>③ 비교가 "이상(&gt;=)"이므로 동점 시 나중 epoch이 채택되는 편향이 있습니다.</w:t>
      </w:r>
    </w:p>
    <w:p/>
    <w:p>
      <w:pPr>
        <w:ind w:left="283"/>
      </w:pPr>
      <w:r>
        <w:rPr>
          <w:b w:val="0"/>
          <w:color w:val="0000C0"/>
          <w:sz w:val="20"/>
          <w:highlight w:val="yellow"/>
          <w:u w:val="single"/>
        </w:rPr>
        <w:t>한계로 함께 밝힐 사항 — loss 기준 조기종료 모델이 실기에서 더 우수한지는 검증하지 않았으며, validation 집합을 체크포인트 선택과 성능 보고에 함께 사용하고 있습니다(별도 test 집합 없음).</w:t>
      </w:r>
    </w:p>
    <w:p>
      <w:r>
        <w:br w:type="page"/>
      </w:r>
    </w:p>
    <w:p>
      <w:r>
        <w:rPr>
          <w:b/>
          <w:sz w:val="26"/>
        </w:rPr>
        <w:t>추가 제안 — §5.5 말미 삽입 문단 (Stage 1 vs Stage 2 일반화 격차)</w:t>
      </w:r>
    </w:p>
    <w:p>
      <w:pPr>
        <w:ind w:left="283"/>
      </w:pPr>
      <w:r>
        <w:rPr>
          <w:b w:val="0"/>
          <w:color w:val="606060"/>
          <w:sz w:val="18"/>
        </w:rPr>
        <w:t>Q3과 Q4의 답변을 종합하면 두 단계의 일반화 양상이 뚜렷하게 다르므로, 이를 본문에 서술하면 과적합 지적에 대한 방어 논거가 됩니다.</w:t>
      </w:r>
    </w:p>
    <w:p>
      <w:pPr>
        <w:ind w:left="283"/>
      </w:pPr>
      <w:r>
        <w:rPr>
          <w:color w:val="0000C0"/>
          <w:sz w:val="20"/>
        </w:rPr>
        <w:t>Stage 1과 Stage 2의 일반화 양상은 뚜렷하게 다르다. image_proj(Stage 1)는 학습 정확도 96.10%(13,114 프레임) 대 검증 정확도 94.09%(3,485 프레임)로 그 격차가 2.01%p에 불과하나, 행동 헤드(Stage 2)는 학습 정확도 91.44% 대 검증 정확도 74.04%로 격차가 17.40%p에 이른다. 즉 과적합은 파이프라인 전반의 문제가 아니라 Stage 2에 국한된 현상이다. 이는 목표물의 방향을 5단계로 판별하는 과제(Stage 1)는 현재의 데이터 규모에서 충분히 일반화되는 반면, 그 표현 위에서 8개 행동 클래스를 판별하는 과제(Stage 2)는 동일한 데이터 규모에 비해 난이도가 높다는 것을 시사한다. 행동 헤드의 검증 손실이 학습 후반에 상승하는 것 역시 같은 원인으로 해석된다. 다만 이러한 격차가 실제 주행 성능을 제한하지는 않았으며, 실로봇 100회 시험에서 95%의 목표 도달 성공률을 확인하였다(IV장).</w:t>
      </w:r>
    </w:p>
    <w:p/>
    <w:p>
      <w:r>
        <w:rPr>
          <w:b/>
          <w:sz w:val="22"/>
        </w:rPr>
        <w:t>참고 — 첨삭본에서 발견한 그림 번호 충돌</w:t>
      </w:r>
    </w:p>
    <w:p>
      <w:pPr>
        <w:ind w:left="283"/>
      </w:pPr>
      <w:r>
        <w:rPr>
          <w:b w:val="0"/>
          <w:color w:val="0000C0"/>
          <w:sz w:val="20"/>
          <w:highlight w:val="yellow"/>
          <w:u w:val="single"/>
        </w:rPr>
        <w:t>§5.4~5.5에서 서로 다른 세 그림이 모두 "Figure 8"로 표기되어 있습니다 (image_proj 학습 곡선 / Action Head - Accuracy / Action Head - Loss). 번호 재부여가 필요합니다.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현재</w:t>
            </w:r>
          </w:p>
        </w:tc>
        <w:tc>
          <w:tcPr>
            <w:tcW w:type="dxa" w:w="2880"/>
          </w:tcPr>
          <w:p>
            <w:r/>
            <w:r>
              <w:rPr>
                <w:b/>
                <w:sz w:val="18"/>
              </w:rPr>
              <w:t>권장</w:t>
            </w:r>
          </w:p>
        </w:tc>
        <w:tc>
          <w:tcPr>
            <w:tcW w:type="dxa" w:w="2880"/>
          </w:tcPr>
          <w:p>
            <w:r/>
            <w:r>
              <w:rPr>
                <w:b/>
                <w:sz w:val="18"/>
              </w:rPr>
              <w:t>내용</w:t>
            </w:r>
          </w:p>
        </w:tc>
      </w:tr>
      <w:tr>
        <w:tc>
          <w:tcPr>
            <w:tcW w:type="dxa" w:w="2880"/>
          </w:tcPr>
          <w:p>
            <w:r/>
            <w:r>
              <w:rPr>
                <w:sz w:val="18"/>
              </w:rPr>
              <w:t>Figure 8</w:t>
            </w:r>
          </w:p>
        </w:tc>
        <w:tc>
          <w:tcPr>
            <w:tcW w:type="dxa" w:w="2880"/>
          </w:tcPr>
          <w:p>
            <w:r/>
            <w:r>
              <w:rPr>
                <w:sz w:val="18"/>
              </w:rPr>
              <w:t>Figure 5</w:t>
            </w:r>
          </w:p>
        </w:tc>
        <w:tc>
          <w:tcPr>
            <w:tcW w:type="dxa" w:w="2880"/>
          </w:tcPr>
          <w:p>
            <w:r/>
            <w:r>
              <w:rPr>
                <w:sz w:val="18"/>
              </w:rPr>
              <w:t>image_proj 학습 곡선 (§5.4)</w:t>
            </w:r>
          </w:p>
        </w:tc>
      </w:tr>
      <w:tr>
        <w:tc>
          <w:tcPr>
            <w:tcW w:type="dxa" w:w="2880"/>
          </w:tcPr>
          <w:p>
            <w:r/>
            <w:r>
              <w:rPr>
                <w:sz w:val="18"/>
              </w:rPr>
              <w:t>Figure 8</w:t>
            </w:r>
          </w:p>
        </w:tc>
        <w:tc>
          <w:tcPr>
            <w:tcW w:type="dxa" w:w="2880"/>
          </w:tcPr>
          <w:p>
            <w:r/>
            <w:r>
              <w:rPr>
                <w:sz w:val="18"/>
              </w:rPr>
              <w:t>Figure 6</w:t>
            </w:r>
          </w:p>
        </w:tc>
        <w:tc>
          <w:tcPr>
            <w:tcW w:type="dxa" w:w="2880"/>
          </w:tcPr>
          <w:p>
            <w:r/>
            <w:r>
              <w:rPr>
                <w:sz w:val="18"/>
              </w:rPr>
              <w:t>Action Head — Accuracy (§5.5)</w:t>
            </w:r>
          </w:p>
        </w:tc>
      </w:tr>
      <w:tr>
        <w:tc>
          <w:tcPr>
            <w:tcW w:type="dxa" w:w="2880"/>
          </w:tcPr>
          <w:p>
            <w:r/>
            <w:r>
              <w:rPr>
                <w:sz w:val="18"/>
              </w:rPr>
              <w:t>Figure 8</w:t>
            </w:r>
          </w:p>
        </w:tc>
        <w:tc>
          <w:tcPr>
            <w:tcW w:type="dxa" w:w="2880"/>
          </w:tcPr>
          <w:p>
            <w:r/>
            <w:r>
              <w:rPr>
                <w:sz w:val="18"/>
              </w:rPr>
              <w:t>Figure 7</w:t>
            </w:r>
          </w:p>
        </w:tc>
        <w:tc>
          <w:tcPr>
            <w:tcW w:type="dxa" w:w="2880"/>
          </w:tcPr>
          <w:p>
            <w:r/>
            <w:r>
              <w:rPr>
                <w:sz w:val="18"/>
              </w:rPr>
              <w:t>Action Head — Loss (§5.5)</w:t>
            </w:r>
          </w:p>
        </w:tc>
      </w:tr>
      <w:tr>
        <w:tc>
          <w:tcPr>
            <w:tcW w:type="dxa" w:w="2880"/>
          </w:tcPr>
          <w:p>
            <w:r/>
            <w:r>
              <w:rPr>
                <w:sz w:val="18"/>
              </w:rPr>
              <w:t>Fig 9</w:t>
            </w:r>
          </w:p>
        </w:tc>
        <w:tc>
          <w:tcPr>
            <w:tcW w:type="dxa" w:w="2880"/>
          </w:tcPr>
          <w:p>
            <w:r/>
            <w:r>
              <w:rPr>
                <w:sz w:val="18"/>
              </w:rPr>
              <w:t>Figure 8</w:t>
            </w:r>
          </w:p>
        </w:tc>
        <w:tc>
          <w:tcPr>
            <w:tcW w:type="dxa" w:w="2880"/>
          </w:tcPr>
          <w:p>
            <w:r/>
            <w:r>
              <w:rPr>
                <w:sz w:val="18"/>
              </w:rPr>
              <w:t>val 혼동행렬 (뒤로 밀림)</w:t>
            </w:r>
          </w:p>
        </w:tc>
      </w:tr>
    </w:tbl>
    <w:p/>
    <w:p>
      <w:pPr>
        <w:ind w:left="283"/>
      </w:pPr>
      <w:r>
        <w:rPr>
          <w:b w:val="0"/>
          <w:color w:val="606060"/>
          <w:sz w:val="18"/>
        </w:rPr>
        <w:t>※ Action Head 곡선을 Accuracy/Loss 두 그림으로 분리하는 경우의 안입니다. 하나의 2-패널 그림으로 합치는 경우에는 Figure 6 하나로 두고 이후 번호를 한 칸씩 당기면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