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730" w:rsidRPr="00063730" w:rsidRDefault="00063730" w:rsidP="00063730">
      <w:pPr>
        <w:spacing w:before="100" w:beforeAutospacing="1" w:after="100" w:afterAutospacing="1" w:line="240" w:lineRule="auto"/>
        <w:jc w:val="center"/>
        <w:outlineLvl w:val="0"/>
        <w:rPr>
          <w:rFonts w:ascii="Times New Roman" w:eastAsia="Times New Roman" w:hAnsi="Times New Roman" w:cs="Times New Roman"/>
          <w:b/>
          <w:bCs/>
          <w:kern w:val="36"/>
          <w:sz w:val="26"/>
          <w:szCs w:val="26"/>
        </w:rPr>
      </w:pPr>
      <w:r w:rsidRPr="00063730">
        <w:rPr>
          <w:rFonts w:ascii="Times New Roman" w:eastAsia="Times New Roman" w:hAnsi="Times New Roman" w:cs="Times New Roman"/>
          <w:b/>
          <w:bCs/>
          <w:kern w:val="36"/>
          <w:sz w:val="26"/>
          <w:szCs w:val="26"/>
        </w:rPr>
        <w:t>BÁO CÁO NGHIÊN CỨU VÀ ĐÁNH GIÁ TÀI LIỆU THAM KHẢO</w:t>
      </w:r>
    </w:p>
    <w:p w:rsidR="00063730" w:rsidRPr="000C7A93" w:rsidRDefault="00063730" w:rsidP="00063730">
      <w:pPr>
        <w:spacing w:before="100" w:beforeAutospacing="1" w:after="100" w:afterAutospacing="1" w:line="240" w:lineRule="auto"/>
        <w:ind w:left="720"/>
        <w:jc w:val="center"/>
        <w:rPr>
          <w:rFonts w:ascii="Times New Roman" w:hAnsi="Times New Roman" w:cs="Times New Roman"/>
          <w:sz w:val="26"/>
          <w:szCs w:val="26"/>
        </w:rPr>
      </w:pPr>
      <w:r w:rsidRPr="00063730">
        <w:rPr>
          <w:rFonts w:ascii="Times New Roman" w:eastAsia="Times New Roman" w:hAnsi="Times New Roman" w:cs="Times New Roman"/>
          <w:b/>
          <w:bCs/>
          <w:sz w:val="26"/>
          <w:szCs w:val="26"/>
        </w:rPr>
        <w:t>Chủ đề nghiên cứu:</w:t>
      </w:r>
      <w:r w:rsidRPr="00063730">
        <w:rPr>
          <w:rFonts w:ascii="Times New Roman" w:eastAsia="Times New Roman" w:hAnsi="Times New Roman" w:cs="Times New Roman"/>
          <w:sz w:val="26"/>
          <w:szCs w:val="26"/>
        </w:rPr>
        <w:t xml:space="preserve"> </w:t>
      </w:r>
      <w:r w:rsidRPr="000C7A93">
        <w:rPr>
          <w:rFonts w:ascii="Times New Roman" w:hAnsi="Times New Roman" w:cs="Times New Roman"/>
          <w:sz w:val="26"/>
          <w:szCs w:val="26"/>
        </w:rPr>
        <w:t>Xu hướng "Friend-shoring" và sự tái cấu trúc Chuỗi giá trị toàn cầu (GVCs): Cơ hội và thách thức đối với thu hút FDI của các nước đang phát triển.</w:t>
      </w:r>
    </w:p>
    <w:p w:rsidR="00063730" w:rsidRPr="00063730" w:rsidRDefault="000C7A93" w:rsidP="000C7A93">
      <w:pPr>
        <w:spacing w:before="100" w:beforeAutospacing="1" w:after="100" w:afterAutospacing="1" w:line="240" w:lineRule="auto"/>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vi-VN"/>
        </w:rPr>
        <w:t xml:space="preserve">              </w:t>
      </w:r>
      <w:r w:rsidR="00063730" w:rsidRPr="00063730">
        <w:rPr>
          <w:rFonts w:ascii="Times New Roman" w:eastAsia="Times New Roman" w:hAnsi="Times New Roman" w:cs="Times New Roman"/>
          <w:b/>
          <w:bCs/>
          <w:sz w:val="26"/>
          <w:szCs w:val="26"/>
        </w:rPr>
        <w:t>Chuyên ngành:</w:t>
      </w:r>
      <w:r w:rsidR="00063730" w:rsidRPr="00063730">
        <w:rPr>
          <w:rFonts w:ascii="Times New Roman" w:eastAsia="Times New Roman" w:hAnsi="Times New Roman" w:cs="Times New Roman"/>
          <w:sz w:val="26"/>
          <w:szCs w:val="26"/>
        </w:rPr>
        <w:t xml:space="preserve"> Kinh tế quốc tế (International Economics)</w:t>
      </w:r>
    </w:p>
    <w:p w:rsidR="00063730" w:rsidRPr="000C7A93" w:rsidRDefault="00063730" w:rsidP="00063730">
      <w:pPr>
        <w:spacing w:before="100" w:beforeAutospacing="1" w:after="100" w:afterAutospacing="1" w:line="240" w:lineRule="auto"/>
        <w:ind w:left="720"/>
        <w:rPr>
          <w:rFonts w:ascii="Times New Roman" w:eastAsia="Times New Roman" w:hAnsi="Times New Roman" w:cs="Times New Roman"/>
          <w:sz w:val="26"/>
          <w:szCs w:val="26"/>
          <w:lang w:val="vi-VN"/>
        </w:rPr>
      </w:pPr>
      <w:r w:rsidRPr="000C7A93">
        <w:rPr>
          <w:rFonts w:ascii="Times New Roman" w:eastAsia="Times New Roman" w:hAnsi="Times New Roman" w:cs="Times New Roman"/>
          <w:b/>
          <w:bCs/>
          <w:sz w:val="26"/>
          <w:szCs w:val="26"/>
          <w:lang w:val="vi-VN"/>
        </w:rPr>
        <w:t xml:space="preserve">              </w:t>
      </w:r>
      <w:r w:rsidRPr="00063730">
        <w:rPr>
          <w:rFonts w:ascii="Times New Roman" w:eastAsia="Times New Roman" w:hAnsi="Times New Roman" w:cs="Times New Roman"/>
          <w:b/>
          <w:bCs/>
          <w:sz w:val="26"/>
          <w:szCs w:val="26"/>
        </w:rPr>
        <w:t>Người thực hiện:</w:t>
      </w:r>
      <w:r w:rsidRPr="00063730">
        <w:rPr>
          <w:rFonts w:ascii="Times New Roman" w:eastAsia="Times New Roman" w:hAnsi="Times New Roman" w:cs="Times New Roman"/>
          <w:sz w:val="26"/>
          <w:szCs w:val="26"/>
        </w:rPr>
        <w:t xml:space="preserve"> Nguyễn Phương Mai</w:t>
      </w:r>
      <w:r w:rsidRPr="000C7A93">
        <w:rPr>
          <w:rFonts w:ascii="Times New Roman" w:eastAsia="Times New Roman" w:hAnsi="Times New Roman" w:cs="Times New Roman"/>
          <w:sz w:val="26"/>
          <w:szCs w:val="26"/>
          <w:lang w:val="vi-VN"/>
        </w:rPr>
        <w:t xml:space="preserve"> </w:t>
      </w:r>
    </w:p>
    <w:p w:rsidR="00063730" w:rsidRPr="000C7A93" w:rsidRDefault="00063730" w:rsidP="000C7A93">
      <w:pPr>
        <w:spacing w:before="100" w:beforeAutospacing="1" w:after="100" w:afterAutospacing="1" w:line="240" w:lineRule="auto"/>
        <w:ind w:left="720"/>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lang w:val="vi-VN"/>
        </w:rPr>
        <w:t xml:space="preserve">              </w:t>
      </w:r>
      <w:r w:rsidRPr="00063730">
        <w:rPr>
          <w:rFonts w:ascii="Times New Roman" w:eastAsia="Times New Roman" w:hAnsi="Times New Roman" w:cs="Times New Roman"/>
          <w:b/>
          <w:bCs/>
          <w:sz w:val="26"/>
          <w:szCs w:val="26"/>
        </w:rPr>
        <w:t>Mã số sinh viên:</w:t>
      </w:r>
      <w:r w:rsidRPr="00063730">
        <w:rPr>
          <w:rFonts w:ascii="Times New Roman" w:eastAsia="Times New Roman" w:hAnsi="Times New Roman" w:cs="Times New Roman"/>
          <w:sz w:val="26"/>
          <w:szCs w:val="26"/>
        </w:rPr>
        <w:t xml:space="preserve"> </w:t>
      </w:r>
      <w:r w:rsidRPr="000C7A93">
        <w:rPr>
          <w:rFonts w:ascii="Times New Roman" w:eastAsia="Times New Roman" w:hAnsi="Times New Roman" w:cs="Times New Roman"/>
          <w:sz w:val="26"/>
          <w:szCs w:val="26"/>
          <w:lang w:val="vi-VN"/>
        </w:rPr>
        <w:t>25051244</w:t>
      </w:r>
    </w:p>
    <w:p w:rsidR="00063730" w:rsidRPr="000C7A93" w:rsidRDefault="00063730" w:rsidP="00074B60">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0C7A93">
        <w:rPr>
          <w:rFonts w:ascii="Times New Roman" w:eastAsia="Times New Roman" w:hAnsi="Times New Roman" w:cs="Times New Roman"/>
          <w:b/>
          <w:bCs/>
          <w:sz w:val="26"/>
          <w:szCs w:val="26"/>
        </w:rPr>
        <w:t>I. GIỚI THIỆU CHỦ ĐỀ NGHIÊN CỨU</w:t>
      </w:r>
    </w:p>
    <w:p w:rsidR="00063730" w:rsidRPr="000C7A93" w:rsidRDefault="00063730" w:rsidP="00074B60">
      <w:pPr>
        <w:spacing w:before="100" w:beforeAutospacing="1" w:after="100" w:afterAutospacing="1" w:line="240" w:lineRule="auto"/>
        <w:jc w:val="both"/>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Trong giai đoạn 2021 – 2026, cục diện địa chính trị thế giới </w:t>
      </w:r>
      <w:r w:rsidR="00074B60" w:rsidRPr="000C7A93">
        <w:rPr>
          <w:rFonts w:ascii="Times New Roman" w:eastAsia="Times New Roman" w:hAnsi="Times New Roman" w:cs="Times New Roman"/>
          <w:sz w:val="26"/>
          <w:szCs w:val="26"/>
          <w:lang w:val="vi-VN"/>
        </w:rPr>
        <w:t xml:space="preserve">đang </w:t>
      </w:r>
      <w:r w:rsidRPr="000C7A93">
        <w:rPr>
          <w:rFonts w:ascii="Times New Roman" w:eastAsia="Times New Roman" w:hAnsi="Times New Roman" w:cs="Times New Roman"/>
          <w:sz w:val="26"/>
          <w:szCs w:val="26"/>
        </w:rPr>
        <w:t>có những biến động phức tạp,</w:t>
      </w:r>
      <w:r w:rsidR="00074B60" w:rsidRPr="000C7A93">
        <w:rPr>
          <w:rFonts w:ascii="Times New Roman" w:eastAsia="Times New Roman" w:hAnsi="Times New Roman" w:cs="Times New Roman"/>
          <w:sz w:val="26"/>
          <w:szCs w:val="26"/>
          <w:lang w:val="vi-VN"/>
        </w:rPr>
        <w:t xml:space="preserve"> khó dự đoán</w:t>
      </w:r>
      <w:r w:rsidRPr="000C7A93">
        <w:rPr>
          <w:rFonts w:ascii="Times New Roman" w:eastAsia="Times New Roman" w:hAnsi="Times New Roman" w:cs="Times New Roman"/>
          <w:sz w:val="26"/>
          <w:szCs w:val="26"/>
        </w:rPr>
        <w:t xml:space="preserve"> </w:t>
      </w:r>
      <w:r w:rsidR="00074B60" w:rsidRPr="000C7A93">
        <w:rPr>
          <w:rFonts w:ascii="Times New Roman" w:eastAsia="Times New Roman" w:hAnsi="Times New Roman" w:cs="Times New Roman"/>
          <w:sz w:val="26"/>
          <w:szCs w:val="26"/>
          <w:lang w:val="vi-VN"/>
        </w:rPr>
        <w:t>làm</w:t>
      </w:r>
      <w:r w:rsidRPr="000C7A93">
        <w:rPr>
          <w:rFonts w:ascii="Times New Roman" w:eastAsia="Times New Roman" w:hAnsi="Times New Roman" w:cs="Times New Roman"/>
          <w:sz w:val="26"/>
          <w:szCs w:val="26"/>
        </w:rPr>
        <w:t xml:space="preserve"> thay đổi tư duy của các tập đoàn đa quốc gia từ</w:t>
      </w:r>
      <w:r w:rsidR="00074B60" w:rsidRPr="000C7A93">
        <w:rPr>
          <w:rFonts w:ascii="Times New Roman" w:eastAsia="Times New Roman" w:hAnsi="Times New Roman" w:cs="Times New Roman"/>
          <w:sz w:val="26"/>
          <w:szCs w:val="26"/>
          <w:lang w:val="vi-VN"/>
        </w:rPr>
        <w:t xml:space="preserve"> việc</w:t>
      </w:r>
      <w:r w:rsidRPr="000C7A93">
        <w:rPr>
          <w:rFonts w:ascii="Times New Roman" w:eastAsia="Times New Roman" w:hAnsi="Times New Roman" w:cs="Times New Roman"/>
          <w:sz w:val="26"/>
          <w:szCs w:val="26"/>
        </w:rPr>
        <w:t xml:space="preserve"> tối ưu hóa chi phí (Just-in-Time) sang tối ưu hóa tính an toàn và tự cường (Just-in-Case). Thuật ngữ </w:t>
      </w:r>
      <w:r w:rsidRPr="000C7A93">
        <w:rPr>
          <w:rFonts w:ascii="Times New Roman" w:eastAsia="Times New Roman" w:hAnsi="Times New Roman" w:cs="Times New Roman"/>
          <w:bCs/>
          <w:sz w:val="26"/>
          <w:szCs w:val="26"/>
        </w:rPr>
        <w:t>"Friend-shoring"</w:t>
      </w:r>
      <w:r w:rsidRPr="000C7A93">
        <w:rPr>
          <w:rFonts w:ascii="Times New Roman" w:eastAsia="Times New Roman" w:hAnsi="Times New Roman" w:cs="Times New Roman"/>
          <w:sz w:val="26"/>
          <w:szCs w:val="26"/>
        </w:rPr>
        <w:t xml:space="preserve"> xuất hiện như một chiến lược tái cấu trúc,</w:t>
      </w:r>
      <w:r w:rsidR="00074B60" w:rsidRPr="000C7A93">
        <w:rPr>
          <w:rFonts w:ascii="Times New Roman" w:eastAsia="Times New Roman" w:hAnsi="Times New Roman" w:cs="Times New Roman"/>
          <w:sz w:val="26"/>
          <w:szCs w:val="26"/>
          <w:lang w:val="vi-VN"/>
        </w:rPr>
        <w:t xml:space="preserve"> làm</w:t>
      </w:r>
      <w:r w:rsidRPr="000C7A93">
        <w:rPr>
          <w:rFonts w:ascii="Times New Roman" w:eastAsia="Times New Roman" w:hAnsi="Times New Roman" w:cs="Times New Roman"/>
          <w:sz w:val="26"/>
          <w:szCs w:val="26"/>
        </w:rPr>
        <w:t xml:space="preserve"> dịch chuyển chu</w:t>
      </w:r>
      <w:r w:rsidR="00074B60" w:rsidRPr="000C7A93">
        <w:rPr>
          <w:rFonts w:ascii="Times New Roman" w:eastAsia="Times New Roman" w:hAnsi="Times New Roman" w:cs="Times New Roman"/>
          <w:sz w:val="26"/>
          <w:szCs w:val="26"/>
        </w:rPr>
        <w:t>ỗi cung ứng</w:t>
      </w:r>
      <w:r w:rsidRPr="000C7A93">
        <w:rPr>
          <w:rFonts w:ascii="Times New Roman" w:eastAsia="Times New Roman" w:hAnsi="Times New Roman" w:cs="Times New Roman"/>
          <w:sz w:val="26"/>
          <w:szCs w:val="26"/>
        </w:rPr>
        <w:t xml:space="preserve"> các quốc gia.</w:t>
      </w:r>
      <w:r w:rsidR="000C7A93" w:rsidRPr="000C7A93">
        <w:rPr>
          <w:rFonts w:ascii="Times New Roman" w:eastAsia="Times New Roman" w:hAnsi="Times New Roman" w:cs="Times New Roman"/>
          <w:sz w:val="26"/>
          <w:szCs w:val="26"/>
          <w:lang w:val="vi-VN"/>
        </w:rPr>
        <w:t xml:space="preserve"> </w:t>
      </w:r>
      <w:r w:rsidRPr="000C7A93">
        <w:rPr>
          <w:rFonts w:ascii="Times New Roman" w:eastAsia="Times New Roman" w:hAnsi="Times New Roman" w:cs="Times New Roman"/>
          <w:sz w:val="26"/>
          <w:szCs w:val="26"/>
        </w:rPr>
        <w:t xml:space="preserve">Sự dịch chuyển này </w:t>
      </w:r>
      <w:r w:rsidR="000C7A93" w:rsidRPr="000C7A93">
        <w:rPr>
          <w:rFonts w:ascii="Times New Roman" w:eastAsia="Times New Roman" w:hAnsi="Times New Roman" w:cs="Times New Roman"/>
          <w:sz w:val="26"/>
          <w:szCs w:val="26"/>
          <w:lang w:val="vi-VN"/>
        </w:rPr>
        <w:t xml:space="preserve">đã </w:t>
      </w:r>
      <w:r w:rsidRPr="000C7A93">
        <w:rPr>
          <w:rFonts w:ascii="Times New Roman" w:eastAsia="Times New Roman" w:hAnsi="Times New Roman" w:cs="Times New Roman"/>
          <w:sz w:val="26"/>
          <w:szCs w:val="26"/>
        </w:rPr>
        <w:t xml:space="preserve">định hình lại </w:t>
      </w:r>
      <w:r w:rsidRPr="000C7A93">
        <w:rPr>
          <w:rFonts w:ascii="Times New Roman" w:eastAsia="Times New Roman" w:hAnsi="Times New Roman" w:cs="Times New Roman"/>
          <w:bCs/>
          <w:sz w:val="26"/>
          <w:szCs w:val="26"/>
        </w:rPr>
        <w:t>Chuỗi giá trị toàn cầu (Global Value Chains - GVCs)</w:t>
      </w:r>
      <w:r w:rsidRPr="000C7A93">
        <w:rPr>
          <w:rFonts w:ascii="Times New Roman" w:eastAsia="Times New Roman" w:hAnsi="Times New Roman" w:cs="Times New Roman"/>
          <w:sz w:val="26"/>
          <w:szCs w:val="26"/>
        </w:rPr>
        <w:t>. Báo cáo này tiến hành hệ thống hóa và đánh giá độ tin cậy của 10 tài liệu học thuật nhằm làm cơ sở lý luận cho vấn đề trên.</w:t>
      </w:r>
    </w:p>
    <w:p w:rsidR="00063730" w:rsidRPr="00063730" w:rsidRDefault="00063730" w:rsidP="00074B60">
      <w:pPr>
        <w:spacing w:before="100" w:beforeAutospacing="1" w:after="100" w:afterAutospacing="1" w:line="240" w:lineRule="auto"/>
        <w:outlineLvl w:val="1"/>
        <w:rPr>
          <w:rFonts w:ascii="Times New Roman" w:eastAsia="Times New Roman" w:hAnsi="Times New Roman" w:cs="Times New Roman"/>
          <w:b/>
          <w:bCs/>
          <w:sz w:val="26"/>
          <w:szCs w:val="26"/>
        </w:rPr>
      </w:pPr>
      <w:r w:rsidRPr="00063730">
        <w:rPr>
          <w:rFonts w:ascii="Times New Roman" w:eastAsia="Times New Roman" w:hAnsi="Times New Roman" w:cs="Times New Roman"/>
          <w:b/>
          <w:bCs/>
          <w:sz w:val="26"/>
          <w:szCs w:val="26"/>
        </w:rPr>
        <w:t>II. QUY TRÌNH TÌM KIẾM THÔNG TIN</w:t>
      </w:r>
    </w:p>
    <w:p w:rsidR="00063730" w:rsidRPr="00063730" w:rsidRDefault="00074B60" w:rsidP="00074B60">
      <w:p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lang w:val="vi-VN"/>
        </w:rPr>
        <w:t xml:space="preserve">1. </w:t>
      </w:r>
      <w:r w:rsidR="00063730" w:rsidRPr="00063730">
        <w:rPr>
          <w:rFonts w:ascii="Times New Roman" w:eastAsia="Times New Roman" w:hAnsi="Times New Roman" w:cs="Times New Roman"/>
          <w:b/>
          <w:bCs/>
          <w:sz w:val="26"/>
          <w:szCs w:val="26"/>
        </w:rPr>
        <w:t>Xác định từ khóa:</w:t>
      </w:r>
      <w:r w:rsidR="00063730" w:rsidRPr="00063730">
        <w:rPr>
          <w:rFonts w:ascii="Times New Roman" w:eastAsia="Times New Roman" w:hAnsi="Times New Roman" w:cs="Times New Roman"/>
          <w:sz w:val="26"/>
          <w:szCs w:val="26"/>
        </w:rPr>
        <w:t xml:space="preserve"> "Friend-shoring", "Supply Chain Resilience", "Global Value Chains", "FDI Relocation", "Geopolitics and Trade".</w:t>
      </w:r>
      <w:r w:rsidR="000C7A93">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 xml:space="preserve">2. </w:t>
      </w:r>
      <w:r w:rsidR="00063730" w:rsidRPr="00063730">
        <w:rPr>
          <w:rFonts w:ascii="Times New Roman" w:eastAsia="Times New Roman" w:hAnsi="Times New Roman" w:cs="Times New Roman"/>
          <w:b/>
          <w:bCs/>
          <w:sz w:val="26"/>
          <w:szCs w:val="26"/>
        </w:rPr>
        <w:t>Nguồn dữ liệu khai thác:</w:t>
      </w:r>
      <w:r w:rsidR="000C7A93">
        <w:rPr>
          <w:rFonts w:ascii="Times New Roman" w:eastAsia="Times New Roman" w:hAnsi="Times New Roman" w:cs="Times New Roman"/>
          <w:sz w:val="26"/>
          <w:szCs w:val="26"/>
        </w:rPr>
        <w:br/>
      </w:r>
      <w:r w:rsidRPr="000C7A93">
        <w:rPr>
          <w:rFonts w:ascii="Times New Roman" w:eastAsia="Times New Roman" w:hAnsi="Times New Roman" w:cs="Times New Roman"/>
          <w:i/>
          <w:iCs/>
          <w:sz w:val="26"/>
          <w:szCs w:val="26"/>
          <w:lang w:val="vi-VN"/>
        </w:rPr>
        <w:t xml:space="preserve">- </w:t>
      </w:r>
      <w:r w:rsidR="00063730" w:rsidRPr="00063730">
        <w:rPr>
          <w:rFonts w:ascii="Times New Roman" w:eastAsia="Times New Roman" w:hAnsi="Times New Roman" w:cs="Times New Roman"/>
          <w:i/>
          <w:iCs/>
          <w:sz w:val="26"/>
          <w:szCs w:val="26"/>
        </w:rPr>
        <w:t>CSDL học thuật &amp; Tạp chí:</w:t>
      </w:r>
      <w:r w:rsidR="00063730" w:rsidRPr="00063730">
        <w:rPr>
          <w:rFonts w:ascii="Times New Roman" w:eastAsia="Times New Roman" w:hAnsi="Times New Roman" w:cs="Times New Roman"/>
          <w:sz w:val="26"/>
          <w:szCs w:val="26"/>
        </w:rPr>
        <w:t xml:space="preserve"> </w:t>
      </w:r>
      <w:r w:rsidRPr="000C7A93">
        <w:rPr>
          <w:rFonts w:ascii="Times New Roman" w:hAnsi="Times New Roman" w:cs="Times New Roman"/>
          <w:sz w:val="26"/>
          <w:szCs w:val="26"/>
        </w:rPr>
        <w:t>Google Scholar, Harvard Growth Lab, Research Repository của Ngân hàng Thế giới, IMF eLibrary, Emerald Insight.</w:t>
      </w:r>
      <w:r w:rsidR="000C7A93">
        <w:rPr>
          <w:rFonts w:ascii="Times New Roman" w:eastAsia="Times New Roman" w:hAnsi="Times New Roman" w:cs="Times New Roman"/>
          <w:sz w:val="26"/>
          <w:szCs w:val="26"/>
        </w:rPr>
        <w:br/>
      </w:r>
      <w:r w:rsidRPr="000C7A93">
        <w:rPr>
          <w:rFonts w:ascii="Times New Roman" w:eastAsia="Times New Roman" w:hAnsi="Times New Roman" w:cs="Times New Roman"/>
          <w:i/>
          <w:iCs/>
          <w:sz w:val="26"/>
          <w:szCs w:val="26"/>
          <w:lang w:val="vi-VN"/>
        </w:rPr>
        <w:t xml:space="preserve">- </w:t>
      </w:r>
      <w:r w:rsidR="00063730" w:rsidRPr="00063730">
        <w:rPr>
          <w:rFonts w:ascii="Times New Roman" w:eastAsia="Times New Roman" w:hAnsi="Times New Roman" w:cs="Times New Roman"/>
          <w:i/>
          <w:iCs/>
          <w:sz w:val="26"/>
          <w:szCs w:val="26"/>
        </w:rPr>
        <w:t>Sách chuyên khảo:</w:t>
      </w:r>
      <w:r w:rsidR="00063730" w:rsidRPr="00063730">
        <w:rPr>
          <w:rFonts w:ascii="Times New Roman" w:eastAsia="Times New Roman" w:hAnsi="Times New Roman" w:cs="Times New Roman"/>
          <w:sz w:val="26"/>
          <w:szCs w:val="26"/>
        </w:rPr>
        <w:t xml:space="preserve"> </w:t>
      </w:r>
      <w:r w:rsidRPr="000C7A93">
        <w:rPr>
          <w:rFonts w:ascii="Times New Roman" w:hAnsi="Times New Roman" w:cs="Times New Roman"/>
          <w:sz w:val="26"/>
          <w:szCs w:val="26"/>
        </w:rPr>
        <w:t>Nhà xuất bản Princeton University Press, Harvard University Press, Oxford University Press.</w:t>
      </w:r>
      <w:r w:rsidR="000C7A93">
        <w:rPr>
          <w:rFonts w:ascii="Times New Roman" w:eastAsia="Times New Roman" w:hAnsi="Times New Roman" w:cs="Times New Roman"/>
          <w:sz w:val="26"/>
          <w:szCs w:val="26"/>
        </w:rPr>
        <w:br/>
      </w:r>
      <w:r w:rsidRPr="000C7A93">
        <w:rPr>
          <w:rFonts w:ascii="Times New Roman" w:eastAsia="Times New Roman" w:hAnsi="Times New Roman" w:cs="Times New Roman"/>
          <w:i/>
          <w:iCs/>
          <w:sz w:val="26"/>
          <w:szCs w:val="26"/>
          <w:lang w:val="vi-VN"/>
        </w:rPr>
        <w:t xml:space="preserve">- </w:t>
      </w:r>
      <w:r w:rsidR="00063730" w:rsidRPr="00063730">
        <w:rPr>
          <w:rFonts w:ascii="Times New Roman" w:eastAsia="Times New Roman" w:hAnsi="Times New Roman" w:cs="Times New Roman"/>
          <w:i/>
          <w:iCs/>
          <w:sz w:val="26"/>
          <w:szCs w:val="26"/>
        </w:rPr>
        <w:t>Nguồn mở uy tín:</w:t>
      </w:r>
      <w:r w:rsidR="00063730" w:rsidRPr="00063730">
        <w:rPr>
          <w:rFonts w:ascii="Times New Roman" w:eastAsia="Times New Roman" w:hAnsi="Times New Roman" w:cs="Times New Roman"/>
          <w:sz w:val="26"/>
          <w:szCs w:val="26"/>
        </w:rPr>
        <w:t xml:space="preserve"> </w:t>
      </w:r>
      <w:r w:rsidRPr="000C7A93">
        <w:rPr>
          <w:rFonts w:ascii="Times New Roman" w:hAnsi="Times New Roman" w:cs="Times New Roman"/>
          <w:sz w:val="26"/>
          <w:szCs w:val="26"/>
        </w:rPr>
        <w:t>IMF, World Bank, OECD.</w:t>
      </w:r>
      <w:r w:rsidR="000C7A93">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 xml:space="preserve">3. </w:t>
      </w:r>
      <w:r w:rsidR="00063730" w:rsidRPr="00063730">
        <w:rPr>
          <w:rFonts w:ascii="Times New Roman" w:eastAsia="Times New Roman" w:hAnsi="Times New Roman" w:cs="Times New Roman"/>
          <w:b/>
          <w:bCs/>
          <w:sz w:val="26"/>
          <w:szCs w:val="26"/>
        </w:rPr>
        <w:t>Tiêu chí giới hạn:</w:t>
      </w:r>
      <w:r w:rsidR="00063730" w:rsidRPr="00063730">
        <w:rPr>
          <w:rFonts w:ascii="Times New Roman" w:eastAsia="Times New Roman" w:hAnsi="Times New Roman" w:cs="Times New Roman"/>
          <w:sz w:val="26"/>
          <w:szCs w:val="26"/>
        </w:rPr>
        <w:t xml:space="preserve"> Ưu tiên tài liệu từ </w:t>
      </w:r>
      <w:r w:rsidR="00063730" w:rsidRPr="00063730">
        <w:rPr>
          <w:rFonts w:ascii="Times New Roman" w:eastAsia="Times New Roman" w:hAnsi="Times New Roman" w:cs="Times New Roman"/>
          <w:bCs/>
          <w:sz w:val="26"/>
          <w:szCs w:val="26"/>
        </w:rPr>
        <w:t>2022 – 2026</w:t>
      </w:r>
      <w:r w:rsidR="00063730" w:rsidRPr="00063730">
        <w:rPr>
          <w:rFonts w:ascii="Times New Roman" w:eastAsia="Times New Roman" w:hAnsi="Times New Roman" w:cs="Times New Roman"/>
          <w:sz w:val="26"/>
          <w:szCs w:val="26"/>
        </w:rPr>
        <w:t xml:space="preserve"> để đảm bảo tính thời sự</w:t>
      </w:r>
    </w:p>
    <w:p w:rsidR="00063730" w:rsidRPr="00063730" w:rsidRDefault="00063730" w:rsidP="00063730">
      <w:pPr>
        <w:spacing w:before="100" w:beforeAutospacing="1" w:after="100" w:afterAutospacing="1" w:line="240" w:lineRule="auto"/>
        <w:outlineLvl w:val="1"/>
        <w:rPr>
          <w:rFonts w:ascii="Times New Roman" w:eastAsia="Times New Roman" w:hAnsi="Times New Roman" w:cs="Times New Roman"/>
          <w:b/>
          <w:bCs/>
          <w:sz w:val="26"/>
          <w:szCs w:val="26"/>
        </w:rPr>
      </w:pPr>
      <w:r w:rsidRPr="00063730">
        <w:rPr>
          <w:rFonts w:ascii="Times New Roman" w:eastAsia="Times New Roman" w:hAnsi="Times New Roman" w:cs="Times New Roman"/>
          <w:b/>
          <w:bCs/>
          <w:sz w:val="26"/>
          <w:szCs w:val="26"/>
        </w:rPr>
        <w:t>III. ĐÁNH GIÁ ĐỘ TIN CẬY CỦA CÁC NGUỒN THÔNG TIN</w:t>
      </w:r>
    </w:p>
    <w:p w:rsidR="000C7A93" w:rsidRPr="000C7A93" w:rsidRDefault="000C7A93" w:rsidP="000C7A93">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0C7A93">
        <w:rPr>
          <w:rFonts w:ascii="Times New Roman" w:eastAsia="Times New Roman" w:hAnsi="Times New Roman" w:cs="Times New Roman"/>
          <w:b/>
          <w:bCs/>
          <w:sz w:val="26"/>
          <w:szCs w:val="26"/>
        </w:rPr>
        <w:t>1. Nhóm Bài báo Khoa học / Nghiên cứu chuyên sâu (Journal Articles / Working Papers) - 5 tài liệu</w:t>
      </w:r>
    </w:p>
    <w:p w:rsidR="000C7A93" w:rsidRPr="000C7A93" w:rsidRDefault="000C7A93" w:rsidP="000C7A93">
      <w:pPr>
        <w:spacing w:before="100" w:beforeAutospacing="1" w:after="100" w:afterAutospacing="1" w:line="240" w:lineRule="auto"/>
        <w:rPr>
          <w:rFonts w:ascii="Times New Roman" w:eastAsia="Times New Roman" w:hAnsi="Times New Roman" w:cs="Times New Roman"/>
          <w:b/>
          <w:bCs/>
          <w:sz w:val="26"/>
          <w:szCs w:val="26"/>
        </w:rPr>
      </w:pPr>
      <w:r w:rsidRPr="000C7A93">
        <w:rPr>
          <w:rFonts w:ascii="Times New Roman" w:eastAsia="Times New Roman" w:hAnsi="Times New Roman" w:cs="Times New Roman"/>
          <w:b/>
          <w:bCs/>
          <w:sz w:val="26"/>
          <w:szCs w:val="26"/>
          <w:lang w:val="vi-VN"/>
        </w:rPr>
        <w:t xml:space="preserve">- </w:t>
      </w:r>
      <w:r w:rsidRPr="000C7A93">
        <w:rPr>
          <w:rFonts w:ascii="Times New Roman" w:eastAsia="Times New Roman" w:hAnsi="Times New Roman" w:cs="Times New Roman"/>
          <w:b/>
          <w:bCs/>
          <w:sz w:val="26"/>
          <w:szCs w:val="26"/>
        </w:rPr>
        <w:t>Tài liệu [1] (Antràs, 2020):</w:t>
      </w:r>
      <w:r w:rsidRPr="000C7A93">
        <w:rPr>
          <w:rFonts w:ascii="Times New Roman" w:eastAsia="Times New Roman" w:hAnsi="Times New Roman" w:cs="Times New Roman"/>
          <w:sz w:val="26"/>
          <w:szCs w:val="26"/>
        </w:rPr>
        <w:t xml:space="preserve"> Công trình </w:t>
      </w:r>
      <w:r w:rsidRPr="000C7A93">
        <w:rPr>
          <w:rFonts w:ascii="Times New Roman" w:eastAsia="Times New Roman" w:hAnsi="Times New Roman" w:cs="Times New Roman"/>
          <w:i/>
          <w:iCs/>
          <w:sz w:val="26"/>
          <w:szCs w:val="26"/>
        </w:rPr>
        <w:t>"Conceptual Aspects of Global Value Chains"</w:t>
      </w:r>
      <w:r w:rsidRPr="000C7A93">
        <w:rPr>
          <w:rFonts w:ascii="Times New Roman" w:eastAsia="Times New Roman" w:hAnsi="Times New Roman" w:cs="Times New Roman"/>
          <w:sz w:val="26"/>
          <w:szCs w:val="26"/>
        </w:rPr>
        <w:t xml:space="preserve"> xuất bản trên Policy Research Working Paper của Ngân hàng Thế giới. Tác giả Pol Antràs là giáo sư kinh tế tại Đại học Harvard, một trong những chuyên gia hàng đầu thế giới về cấu trúc GVCs. Phương pháp nghiên cứu hệ thống hóa lý thuyết kinh tế thương mại một cách xuất sắc. </w:t>
      </w:r>
      <w:r w:rsidRPr="000C7A93">
        <w:rPr>
          <w:rFonts w:ascii="Times New Roman" w:eastAsia="Times New Roman" w:hAnsi="Times New Roman" w:cs="Times New Roman"/>
          <w:b/>
          <w:bCs/>
          <w:sz w:val="26"/>
          <w:szCs w:val="26"/>
        </w:rPr>
        <w:t>-&gt; Độ tin cậy: Rất cao.</w:t>
      </w:r>
      <w:r>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lastRenderedPageBreak/>
        <w:t xml:space="preserve">- </w:t>
      </w:r>
      <w:r w:rsidRPr="000C7A93">
        <w:rPr>
          <w:rFonts w:ascii="Times New Roman" w:eastAsia="Times New Roman" w:hAnsi="Times New Roman" w:cs="Times New Roman"/>
          <w:b/>
          <w:bCs/>
          <w:sz w:val="26"/>
          <w:szCs w:val="26"/>
        </w:rPr>
        <w:t>Tài liệu [2] (Aiyar, Malacrino &amp; Presbitero, 2024):</w:t>
      </w:r>
      <w:r w:rsidRPr="000C7A93">
        <w:rPr>
          <w:rFonts w:ascii="Times New Roman" w:eastAsia="Times New Roman" w:hAnsi="Times New Roman" w:cs="Times New Roman"/>
          <w:sz w:val="26"/>
          <w:szCs w:val="26"/>
        </w:rPr>
        <w:t xml:space="preserve"> Công trình </w:t>
      </w:r>
      <w:r w:rsidRPr="000C7A93">
        <w:rPr>
          <w:rFonts w:ascii="Times New Roman" w:eastAsia="Times New Roman" w:hAnsi="Times New Roman" w:cs="Times New Roman"/>
          <w:i/>
          <w:iCs/>
          <w:sz w:val="26"/>
          <w:szCs w:val="26"/>
        </w:rPr>
        <w:t>"Investing in Friends: The Role of Geopolitical Alignment in FDI Flows"</w:t>
      </w:r>
      <w:r w:rsidRPr="000C7A93">
        <w:rPr>
          <w:rFonts w:ascii="Times New Roman" w:eastAsia="Times New Roman" w:hAnsi="Times New Roman" w:cs="Times New Roman"/>
          <w:sz w:val="26"/>
          <w:szCs w:val="26"/>
        </w:rPr>
        <w:t xml:space="preserve"> công bố thông qua Hiệp hội Kinh tế Mỹ (AEA) và NCAER. Nhóm tác giả thuộc IMF sử dụng mô hình trọng lực (Gravity Model) định lượng trên bộ dữ liệu khổng lồ gồm 300,000 dự án FDI từ 2003-2022 để chứng minh yếu tố chính trị đang dẫn dắt dòng vốn. </w:t>
      </w:r>
      <w:r w:rsidRPr="000C7A93">
        <w:rPr>
          <w:rFonts w:ascii="Times New Roman" w:eastAsia="Times New Roman" w:hAnsi="Times New Roman" w:cs="Times New Roman"/>
          <w:b/>
          <w:bCs/>
          <w:sz w:val="26"/>
          <w:szCs w:val="26"/>
        </w:rPr>
        <w:t>-&gt; Độ tin cậy: Rất cao.</w:t>
      </w:r>
      <w:r>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[3] (Harvard Growth Lab, 2023):</w:t>
      </w:r>
      <w:r w:rsidRPr="000C7A93">
        <w:rPr>
          <w:rFonts w:ascii="Times New Roman" w:eastAsia="Times New Roman" w:hAnsi="Times New Roman" w:cs="Times New Roman"/>
          <w:sz w:val="26"/>
          <w:szCs w:val="26"/>
        </w:rPr>
        <w:t xml:space="preserve"> Báo cáo nghiên cứu </w:t>
      </w:r>
      <w:r w:rsidRPr="000C7A93">
        <w:rPr>
          <w:rFonts w:ascii="Times New Roman" w:eastAsia="Times New Roman" w:hAnsi="Times New Roman" w:cs="Times New Roman"/>
          <w:i/>
          <w:iCs/>
          <w:sz w:val="26"/>
          <w:szCs w:val="26"/>
        </w:rPr>
        <w:t>"Economic Costs of Friend-shoring"</w:t>
      </w:r>
      <w:r w:rsidRPr="000C7A93">
        <w:rPr>
          <w:rFonts w:ascii="Times New Roman" w:eastAsia="Times New Roman" w:hAnsi="Times New Roman" w:cs="Times New Roman"/>
          <w:sz w:val="26"/>
          <w:szCs w:val="26"/>
        </w:rPr>
        <w:t xml:space="preserve"> của Viện nghiên cứu Phát triển Quốc tế Harvard. Sử dụng mô hình liên ngành đa quốc gia để tính toán chính xác mức sụt giảm GDP (lên tới 4.7%) khi thế giới phân rã thành các khối thương mại biệt lập. Phương pháp luận toán học cực kỳ chặt chẽ. </w:t>
      </w:r>
      <w:r w:rsidRPr="000C7A93">
        <w:rPr>
          <w:rFonts w:ascii="Times New Roman" w:eastAsia="Times New Roman" w:hAnsi="Times New Roman" w:cs="Times New Roman"/>
          <w:b/>
          <w:bCs/>
          <w:sz w:val="26"/>
          <w:szCs w:val="26"/>
        </w:rPr>
        <w:t>-&gt; Độ tin cậy: Rất cao.</w:t>
      </w:r>
      <w:r>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[4] (Arriola et al., 2022):</w:t>
      </w:r>
      <w:r w:rsidRPr="000C7A93">
        <w:rPr>
          <w:rFonts w:ascii="Times New Roman" w:eastAsia="Times New Roman" w:hAnsi="Times New Roman" w:cs="Times New Roman"/>
          <w:sz w:val="26"/>
          <w:szCs w:val="26"/>
        </w:rPr>
        <w:t xml:space="preserve"> Bài báo </w:t>
      </w:r>
      <w:r w:rsidRPr="000C7A93">
        <w:rPr>
          <w:rFonts w:ascii="Times New Roman" w:eastAsia="Times New Roman" w:hAnsi="Times New Roman" w:cs="Times New Roman"/>
          <w:i/>
          <w:iCs/>
          <w:sz w:val="26"/>
          <w:szCs w:val="26"/>
        </w:rPr>
        <w:t>"Structural change and the resilience of global value chains to geopolitically-driven shocks"</w:t>
      </w:r>
      <w:r w:rsidRPr="000C7A93">
        <w:rPr>
          <w:rFonts w:ascii="Times New Roman" w:eastAsia="Times New Roman" w:hAnsi="Times New Roman" w:cs="Times New Roman"/>
          <w:sz w:val="26"/>
          <w:szCs w:val="26"/>
        </w:rPr>
        <w:t xml:space="preserve"> thuộc chuỗi nghiên cứu chính sách thương mại của OECD. Sử dụng phương pháp giả lập kịch bản kinh tế toàn cầu để đánh giá mức độ tự cường của chuỗi cung ứng trước các lệnh trừng phạt hoặc rào cản. </w:t>
      </w:r>
      <w:r w:rsidRPr="000C7A93">
        <w:rPr>
          <w:rFonts w:ascii="Times New Roman" w:eastAsia="Times New Roman" w:hAnsi="Times New Roman" w:cs="Times New Roman"/>
          <w:b/>
          <w:bCs/>
          <w:sz w:val="26"/>
          <w:szCs w:val="26"/>
        </w:rPr>
        <w:t>-&gt; Độ tin cậy: Rất cao.</w:t>
      </w:r>
      <w:r>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[5] (Emerald Insight, 2026):</w:t>
      </w:r>
      <w:r w:rsidRPr="000C7A93">
        <w:rPr>
          <w:rFonts w:ascii="Times New Roman" w:eastAsia="Times New Roman" w:hAnsi="Times New Roman" w:cs="Times New Roman"/>
          <w:sz w:val="26"/>
          <w:szCs w:val="26"/>
        </w:rPr>
        <w:t xml:space="preserve"> Nghiên cứu mới nhất </w:t>
      </w:r>
      <w:r w:rsidRPr="000C7A93">
        <w:rPr>
          <w:rFonts w:ascii="Times New Roman" w:eastAsia="Times New Roman" w:hAnsi="Times New Roman" w:cs="Times New Roman"/>
          <w:i/>
          <w:iCs/>
          <w:sz w:val="26"/>
          <w:szCs w:val="26"/>
        </w:rPr>
        <w:t>"Geoeconomic fragmentation and China's outward investment..."</w:t>
      </w:r>
      <w:r w:rsidRPr="000C7A93">
        <w:rPr>
          <w:rFonts w:ascii="Times New Roman" w:eastAsia="Times New Roman" w:hAnsi="Times New Roman" w:cs="Times New Roman"/>
          <w:sz w:val="26"/>
          <w:szCs w:val="26"/>
        </w:rPr>
        <w:t xml:space="preserve"> đăng trên Journal of Chinese Economic and Foreign Trade Studies. Sử dụng lý thuyết thể chế và mô hình OLI (Dunning) để phân tích thực nghiệm cách các doanh nghiệp điều chỉnh địa điểm đầu tư trong bối cảnh Friend-shoring. </w:t>
      </w:r>
      <w:r w:rsidRPr="000C7A93">
        <w:rPr>
          <w:rFonts w:ascii="Times New Roman" w:eastAsia="Times New Roman" w:hAnsi="Times New Roman" w:cs="Times New Roman"/>
          <w:b/>
          <w:bCs/>
          <w:sz w:val="26"/>
          <w:szCs w:val="26"/>
        </w:rPr>
        <w:t>-&gt; Độ tin cậy: Cao.</w:t>
      </w:r>
      <w:r w:rsidR="00AF3E5F">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rPr>
        <w:t>2. Nhóm Sách chuyên khảo (Monographs) - 3 tài liệu</w:t>
      </w:r>
    </w:p>
    <w:p w:rsidR="000C7A93" w:rsidRPr="000C7A93" w:rsidRDefault="000C7A93" w:rsidP="00AF3E5F">
      <w:p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[6] (Feenstra, 2015):</w:t>
      </w:r>
      <w:r w:rsidRPr="000C7A93">
        <w:rPr>
          <w:rFonts w:ascii="Times New Roman" w:eastAsia="Times New Roman" w:hAnsi="Times New Roman" w:cs="Times New Roman"/>
          <w:sz w:val="26"/>
          <w:szCs w:val="26"/>
        </w:rPr>
        <w:t xml:space="preserve"> Sách chuyên khảo kinh điển </w:t>
      </w:r>
      <w:r w:rsidRPr="000C7A93">
        <w:rPr>
          <w:rFonts w:ascii="Times New Roman" w:eastAsia="Times New Roman" w:hAnsi="Times New Roman" w:cs="Times New Roman"/>
          <w:i/>
          <w:iCs/>
          <w:sz w:val="26"/>
          <w:szCs w:val="26"/>
        </w:rPr>
        <w:t>"Advanced International Trade: Theory and Evidence"</w:t>
      </w:r>
      <w:r w:rsidRPr="000C7A93">
        <w:rPr>
          <w:rFonts w:ascii="Times New Roman" w:eastAsia="Times New Roman" w:hAnsi="Times New Roman" w:cs="Times New Roman"/>
          <w:sz w:val="26"/>
          <w:szCs w:val="26"/>
        </w:rPr>
        <w:t xml:space="preserve"> của NXB Princeton University Press. Đây là tài liệu nền tảng cung cấp các mô hình toán học cốt lõi về thuế quan, chi phí vận chuyển và rào cản thương mại quốc tế. </w:t>
      </w:r>
      <w:r w:rsidRPr="000C7A93">
        <w:rPr>
          <w:rFonts w:ascii="Times New Roman" w:eastAsia="Times New Roman" w:hAnsi="Times New Roman" w:cs="Times New Roman"/>
          <w:b/>
          <w:bCs/>
          <w:sz w:val="26"/>
          <w:szCs w:val="26"/>
        </w:rPr>
        <w:t>-&gt; Độ tin cậy: Rất cao.</w:t>
      </w:r>
      <w:r w:rsidR="00AF3E5F">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[7] (Baldwin, 2016):</w:t>
      </w:r>
      <w:r w:rsidRPr="000C7A93">
        <w:rPr>
          <w:rFonts w:ascii="Times New Roman" w:eastAsia="Times New Roman" w:hAnsi="Times New Roman" w:cs="Times New Roman"/>
          <w:sz w:val="26"/>
          <w:szCs w:val="26"/>
        </w:rPr>
        <w:t xml:space="preserve"> Sách chuyên khảo </w:t>
      </w:r>
      <w:r w:rsidRPr="000C7A93">
        <w:rPr>
          <w:rFonts w:ascii="Times New Roman" w:eastAsia="Times New Roman" w:hAnsi="Times New Roman" w:cs="Times New Roman"/>
          <w:i/>
          <w:iCs/>
          <w:sz w:val="26"/>
          <w:szCs w:val="26"/>
        </w:rPr>
        <w:t>"The Great Convergence: Information Technology and the New Globalization"</w:t>
      </w:r>
      <w:r w:rsidRPr="000C7A93">
        <w:rPr>
          <w:rFonts w:ascii="Times New Roman" w:eastAsia="Times New Roman" w:hAnsi="Times New Roman" w:cs="Times New Roman"/>
          <w:sz w:val="26"/>
          <w:szCs w:val="26"/>
        </w:rPr>
        <w:t xml:space="preserve"> của NXB Harvard University Press. Tác giả Richard Baldwin giải thích sâu sắc về bản chất của việc "sắp xếp lại" chuỗi cung ứng toàn cầu dưới tác động của công nghệ và chi phí kết nối. </w:t>
      </w:r>
      <w:r w:rsidRPr="000C7A93">
        <w:rPr>
          <w:rFonts w:ascii="Times New Roman" w:eastAsia="Times New Roman" w:hAnsi="Times New Roman" w:cs="Times New Roman"/>
          <w:b/>
          <w:bCs/>
          <w:sz w:val="26"/>
          <w:szCs w:val="26"/>
        </w:rPr>
        <w:t>-&gt; Độ tin cậy: Rất cao.</w:t>
      </w:r>
      <w:r w:rsidR="00AF3E5F">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[8] (Irwin, 2020):</w:t>
      </w:r>
      <w:r w:rsidRPr="000C7A93">
        <w:rPr>
          <w:rFonts w:ascii="Times New Roman" w:eastAsia="Times New Roman" w:hAnsi="Times New Roman" w:cs="Times New Roman"/>
          <w:sz w:val="26"/>
          <w:szCs w:val="26"/>
        </w:rPr>
        <w:t xml:space="preserve"> Sách chuyên khảo </w:t>
      </w:r>
      <w:r w:rsidRPr="000C7A93">
        <w:rPr>
          <w:rFonts w:ascii="Times New Roman" w:eastAsia="Times New Roman" w:hAnsi="Times New Roman" w:cs="Times New Roman"/>
          <w:i/>
          <w:iCs/>
          <w:sz w:val="26"/>
          <w:szCs w:val="26"/>
        </w:rPr>
        <w:t>"Clashing over Commerce: A History of US Trade Policy"</w:t>
      </w:r>
      <w:r w:rsidRPr="000C7A93">
        <w:rPr>
          <w:rFonts w:ascii="Times New Roman" w:eastAsia="Times New Roman" w:hAnsi="Times New Roman" w:cs="Times New Roman"/>
          <w:sz w:val="26"/>
          <w:szCs w:val="26"/>
        </w:rPr>
        <w:t xml:space="preserve"> của NXB University of Chicago Press. Cung cấp góc nhìn lịch sử và chính trị học kinh tế thương mại, giúp hiểu rõ căn nguyên các chính sách bảo hộ và dịch chuyển chuỗi cung ứng của các nước lớn. </w:t>
      </w:r>
      <w:r w:rsidRPr="000C7A93">
        <w:rPr>
          <w:rFonts w:ascii="Times New Roman" w:eastAsia="Times New Roman" w:hAnsi="Times New Roman" w:cs="Times New Roman"/>
          <w:b/>
          <w:bCs/>
          <w:sz w:val="26"/>
          <w:szCs w:val="26"/>
        </w:rPr>
        <w:t>-&gt; Độ tin cậy: Rất cao.</w:t>
      </w:r>
    </w:p>
    <w:p w:rsidR="000C7A93" w:rsidRPr="000C7A93" w:rsidRDefault="000C7A93" w:rsidP="000C7A93">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0C7A93">
        <w:rPr>
          <w:rFonts w:ascii="Times New Roman" w:eastAsia="Times New Roman" w:hAnsi="Times New Roman" w:cs="Times New Roman"/>
          <w:b/>
          <w:bCs/>
          <w:sz w:val="26"/>
          <w:szCs w:val="26"/>
        </w:rPr>
        <w:t>3. Nhóm Nguồn mở từ các Tổ chức Quốc tế (Open Resources) - 2 tài liệu</w:t>
      </w:r>
    </w:p>
    <w:p w:rsidR="000C7A93" w:rsidRPr="000C7A93" w:rsidRDefault="000C7A93" w:rsidP="00AF3E5F">
      <w:p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lang w:val="vi-VN"/>
        </w:rPr>
        <w:t>-</w:t>
      </w:r>
      <w:r w:rsidRPr="000C7A93">
        <w:rPr>
          <w:rFonts w:ascii="Times New Roman" w:eastAsia="Times New Roman" w:hAnsi="Times New Roman" w:cs="Times New Roman"/>
          <w:b/>
          <w:bCs/>
          <w:sz w:val="26"/>
          <w:szCs w:val="26"/>
        </w:rPr>
        <w:t>Tài liệu [9] (IMF, 2023):</w:t>
      </w:r>
      <w:r w:rsidRPr="000C7A93">
        <w:rPr>
          <w:rFonts w:ascii="Times New Roman" w:eastAsia="Times New Roman" w:hAnsi="Times New Roman" w:cs="Times New Roman"/>
          <w:sz w:val="26"/>
          <w:szCs w:val="26"/>
        </w:rPr>
        <w:t xml:space="preserve"> Chương 4 thuộc Báo cáo Triển vọng Kinh tế Thế giới (</w:t>
      </w:r>
      <w:r w:rsidRPr="000C7A93">
        <w:rPr>
          <w:rFonts w:ascii="Times New Roman" w:eastAsia="Times New Roman" w:hAnsi="Times New Roman" w:cs="Times New Roman"/>
          <w:i/>
          <w:iCs/>
          <w:sz w:val="26"/>
          <w:szCs w:val="26"/>
        </w:rPr>
        <w:t>World Economic Outlook, April 2023</w:t>
      </w:r>
      <w:r w:rsidRPr="000C7A93">
        <w:rPr>
          <w:rFonts w:ascii="Times New Roman" w:eastAsia="Times New Roman" w:hAnsi="Times New Roman" w:cs="Times New Roman"/>
          <w:sz w:val="26"/>
          <w:szCs w:val="26"/>
        </w:rPr>
        <w:t xml:space="preserve">), tiêu đề: </w:t>
      </w:r>
      <w:r w:rsidRPr="000C7A93">
        <w:rPr>
          <w:rFonts w:ascii="Times New Roman" w:eastAsia="Times New Roman" w:hAnsi="Times New Roman" w:cs="Times New Roman"/>
          <w:i/>
          <w:iCs/>
          <w:sz w:val="26"/>
          <w:szCs w:val="26"/>
        </w:rPr>
        <w:t>"Geoeconomic Fragmentation and Foreign Direct Investment"</w:t>
      </w:r>
      <w:r w:rsidRPr="000C7A93">
        <w:rPr>
          <w:rFonts w:ascii="Times New Roman" w:eastAsia="Times New Roman" w:hAnsi="Times New Roman" w:cs="Times New Roman"/>
          <w:sz w:val="26"/>
          <w:szCs w:val="26"/>
        </w:rPr>
        <w:t xml:space="preserve">. Đây là tài liệu "gối đầu giường" về Friend-shoring, phân tích thực trạng dòng vốn FDI toàn cầu đang co cụm lại giữa các nước có chung quan điểm địa chính trị. </w:t>
      </w:r>
      <w:r w:rsidRPr="000C7A93">
        <w:rPr>
          <w:rFonts w:ascii="Times New Roman" w:eastAsia="Times New Roman" w:hAnsi="Times New Roman" w:cs="Times New Roman"/>
          <w:b/>
          <w:bCs/>
          <w:sz w:val="26"/>
          <w:szCs w:val="26"/>
        </w:rPr>
        <w:t>-&gt; Độ tin cậy: Cao.</w:t>
      </w:r>
      <w:r w:rsidR="00AF3E5F">
        <w:rPr>
          <w:rFonts w:ascii="Times New Roman" w:eastAsia="Times New Roman" w:hAnsi="Times New Roman" w:cs="Times New Roman"/>
          <w:sz w:val="26"/>
          <w:szCs w:val="26"/>
        </w:rPr>
        <w:br/>
      </w:r>
      <w:r w:rsidRPr="000C7A93">
        <w:rPr>
          <w:rFonts w:ascii="Times New Roman" w:eastAsia="Times New Roman" w:hAnsi="Times New Roman" w:cs="Times New Roman"/>
          <w:b/>
          <w:bCs/>
          <w:sz w:val="26"/>
          <w:szCs w:val="26"/>
          <w:lang w:val="vi-VN"/>
        </w:rPr>
        <w:lastRenderedPageBreak/>
        <w:t>-</w:t>
      </w:r>
      <w:r w:rsidRPr="000C7A93">
        <w:rPr>
          <w:rFonts w:ascii="Times New Roman" w:eastAsia="Times New Roman" w:hAnsi="Times New Roman" w:cs="Times New Roman"/>
          <w:b/>
          <w:bCs/>
          <w:sz w:val="26"/>
          <w:szCs w:val="26"/>
        </w:rPr>
        <w:t>Tài liệu [10] (World Bank, 2020):</w:t>
      </w:r>
      <w:r w:rsidRPr="000C7A93">
        <w:rPr>
          <w:rFonts w:ascii="Times New Roman" w:eastAsia="Times New Roman" w:hAnsi="Times New Roman" w:cs="Times New Roman"/>
          <w:sz w:val="26"/>
          <w:szCs w:val="26"/>
        </w:rPr>
        <w:t xml:space="preserve"> Báo cáo Phát triển Thế giới </w:t>
      </w:r>
      <w:r w:rsidRPr="000C7A93">
        <w:rPr>
          <w:rFonts w:ascii="Times New Roman" w:eastAsia="Times New Roman" w:hAnsi="Times New Roman" w:cs="Times New Roman"/>
          <w:i/>
          <w:iCs/>
          <w:sz w:val="26"/>
          <w:szCs w:val="26"/>
        </w:rPr>
        <w:t>"World Development Report 2020: Trading for Development in the Age of Global Value Chains"</w:t>
      </w:r>
      <w:r w:rsidRPr="000C7A93">
        <w:rPr>
          <w:rFonts w:ascii="Times New Roman" w:eastAsia="Times New Roman" w:hAnsi="Times New Roman" w:cs="Times New Roman"/>
          <w:sz w:val="26"/>
          <w:szCs w:val="26"/>
        </w:rPr>
        <w:t xml:space="preserve">. Chứa nguồn dữ liệu vĩ mô chính thống, phân tích toàn diện vai trò của GVCs đối với sự tăng trưởng của các quốc gia đang phát triển. </w:t>
      </w:r>
      <w:r w:rsidRPr="000C7A93">
        <w:rPr>
          <w:rFonts w:ascii="Times New Roman" w:eastAsia="Times New Roman" w:hAnsi="Times New Roman" w:cs="Times New Roman"/>
          <w:b/>
          <w:bCs/>
          <w:sz w:val="26"/>
          <w:szCs w:val="26"/>
        </w:rPr>
        <w:t>-&gt; Độ tin cậy: Cao.</w:t>
      </w:r>
    </w:p>
    <w:p w:rsidR="00063730" w:rsidRDefault="00063730" w:rsidP="00063730">
      <w:pPr>
        <w:spacing w:before="100" w:beforeAutospacing="1" w:after="100" w:afterAutospacing="1" w:line="240" w:lineRule="auto"/>
        <w:outlineLvl w:val="1"/>
        <w:rPr>
          <w:rFonts w:ascii="Times New Roman" w:eastAsia="Times New Roman" w:hAnsi="Times New Roman" w:cs="Times New Roman"/>
          <w:b/>
          <w:bCs/>
          <w:sz w:val="26"/>
          <w:szCs w:val="26"/>
        </w:rPr>
      </w:pPr>
      <w:r w:rsidRPr="00063730">
        <w:rPr>
          <w:rFonts w:ascii="Times New Roman" w:eastAsia="Times New Roman" w:hAnsi="Times New Roman" w:cs="Times New Roman"/>
          <w:b/>
          <w:bCs/>
          <w:sz w:val="26"/>
          <w:szCs w:val="26"/>
        </w:rPr>
        <w:t>IV. BẢNG TỔNG HỢP VÀ XẾP HẠNG ĐỘ TIN CẬY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489"/>
        <w:gridCol w:w="1483"/>
        <w:gridCol w:w="2048"/>
        <w:gridCol w:w="2196"/>
        <w:gridCol w:w="1201"/>
      </w:tblGrid>
      <w:tr w:rsidR="000C7A93" w:rsidRPr="000C7A93" w:rsidTr="000C7A9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Tên tài liệu / 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Loại nguồn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Điểm mạnh (Tác giả, NXB, Phương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Điểm yếu / 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Xếp hạng độ tin cậy</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Antràs (2020)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Working Paper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Học giả Harvard đầu ngành, hệ thống khái niệm GVCs chuẩn mực.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Thiên về khung lý thuyết tổng quan, ít số liệu thực nghiệm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Aiyar et al.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Bài báo AEA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Sử dụng mô hình trọng lực trên dữ liệu thực tế cực lớn (300k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Khó tiếp cận chiều sâu nếu không mạnh về kinh tế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Harvard Growth Lab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Nghiên cứu chuyên sâu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Mô hình toán học đo lường tổn thất GDP chính xác, uy tín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Mang tính giả lập kịch bản vĩ mô toàn cầu, khó áp dụng cho một tỉnh/ngành hẹp.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Arriola et al.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Nghiên cứu OECD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Số liệu và kịc</w:t>
            </w:r>
            <w:bookmarkStart w:id="0" w:name="_GoBack"/>
            <w:bookmarkEnd w:id="0"/>
            <w:r w:rsidRPr="000C7A93">
              <w:rPr>
                <w:rFonts w:ascii="Times New Roman" w:eastAsia="Times New Roman" w:hAnsi="Times New Roman" w:cs="Times New Roman"/>
                <w:sz w:val="26"/>
                <w:szCs w:val="26"/>
              </w:rPr>
              <w:t>h bản từ tổ chức kinh tế lớn OECD, tính thực tiễn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Tập trung nhiều vào chính sách của khối các nước phát triển.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Emerald Insight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Bài báo 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Tính cập nhật rất cao (2026), phân tích thực nghiệm hành vi dòng vốn.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Phạm vi tập trung chủ yếu vào dòng vốn FDI đi ra từ Trung Quốc.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2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Feenstra (2015)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Sách chuyên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NXB Princeton danh tiếng, cuốn sách nền tảng về toán thương mại.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Xuất bản năm 2015 nên chưa trực tiếp có từ khóa "Friend-shoring".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Baldwin (2016)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Sách chuyên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Tác giả lớn, NXB Harvard, giải thích hoàn hảo tư duy chuỗi cung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Tập trung nhiều vào khía cạnh công nghệ thông tin hơn là địa chính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Irwin (2020)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Sách chuyên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Phân tích sâu sắc lịch sử chính sách bảo hộ và xung đột thương mại.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Thiên về phương pháp định tính và lịch sử kinh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1 (Rất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IMF WEO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Nguồn mở tổ chức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Nghiên cứu chính thống của IMF về phân rã địa kinh tế, số liệu biểu đồ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Không qua quy trình phản biện kín (Peer-review) như tạp chí hàn lâm.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2 (Cao)</w:t>
            </w:r>
          </w:p>
        </w:tc>
      </w:tr>
      <w:tr w:rsidR="000C7A93" w:rsidRPr="000C7A93" w:rsidTr="000C7A9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World Bank WDR (2020)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Nguồn mở tổ chức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Kho dữ liệu khổng lồ về GVCs của tất cả các nước đang phát triển.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Số liệu tổng quan vĩ mô, cần kết hợp thêm số liệu nội địa.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C7A93" w:rsidRPr="000C7A93" w:rsidRDefault="000C7A93" w:rsidP="000C7A93">
            <w:pPr>
              <w:spacing w:after="480"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b/>
                <w:bCs/>
                <w:sz w:val="26"/>
                <w:szCs w:val="26"/>
              </w:rPr>
              <w:t>Hạng 2 (Cao)</w:t>
            </w:r>
          </w:p>
        </w:tc>
      </w:tr>
    </w:tbl>
    <w:p w:rsidR="000C7A93" w:rsidRPr="000C7A93" w:rsidRDefault="000C7A93" w:rsidP="000C7A93">
      <w:pPr>
        <w:spacing w:before="100" w:beforeAutospacing="1" w:after="100" w:afterAutospacing="1" w:line="240" w:lineRule="auto"/>
        <w:outlineLvl w:val="1"/>
        <w:rPr>
          <w:rFonts w:ascii="Times New Roman" w:eastAsia="Times New Roman" w:hAnsi="Times New Roman" w:cs="Times New Roman"/>
          <w:b/>
          <w:bCs/>
          <w:sz w:val="26"/>
          <w:szCs w:val="26"/>
        </w:rPr>
      </w:pPr>
      <w:r w:rsidRPr="000C7A93">
        <w:rPr>
          <w:rFonts w:ascii="Times New Roman" w:eastAsia="Times New Roman" w:hAnsi="Times New Roman" w:cs="Times New Roman"/>
          <w:b/>
          <w:bCs/>
          <w:sz w:val="26"/>
          <w:szCs w:val="26"/>
        </w:rPr>
        <w:t>V. KẾT LUẬN VÀ HƯỚNG SỬ DỤNG TÀI LIỆU</w:t>
      </w:r>
    </w:p>
    <w:p w:rsidR="000C7A93" w:rsidRPr="000C7A93" w:rsidRDefault="000C7A93" w:rsidP="000C7A93">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w:t>
      </w:r>
      <w:r w:rsidRPr="000C7A93">
        <w:rPr>
          <w:rFonts w:ascii="Times New Roman" w:eastAsia="Times New Roman" w:hAnsi="Times New Roman" w:cs="Times New Roman"/>
          <w:sz w:val="26"/>
          <w:szCs w:val="26"/>
        </w:rPr>
        <w:t xml:space="preserve">ài liệu [1], [6], [7] để định nghĩa thế nào là Chuỗi giá trị toàn cầu (GVCs). Tiếp theo, dùng chương nghiên cứu của IMF [9], bài báo của Aiyar [2] và báo cáo Harvard [3] để làm luận cứ chứng minh: </w:t>
      </w:r>
      <w:r w:rsidRPr="000C7A93">
        <w:rPr>
          <w:rFonts w:ascii="Times New Roman" w:eastAsia="Times New Roman" w:hAnsi="Times New Roman" w:cs="Times New Roman"/>
          <w:i/>
          <w:iCs/>
          <w:sz w:val="26"/>
          <w:szCs w:val="26"/>
        </w:rPr>
        <w:t>Yếu tố địa chính trị đang thực sự bẻ gãy dòng vốn FDI truyền thống và tạo ra xu hướng Friend-shoring</w:t>
      </w:r>
      <w:r w:rsidRPr="000C7A93">
        <w:rPr>
          <w:rFonts w:ascii="Times New Roman" w:eastAsia="Times New Roman" w:hAnsi="Times New Roman" w:cs="Times New Roman"/>
          <w:sz w:val="26"/>
          <w:szCs w:val="26"/>
        </w:rPr>
        <w:t>. Cuối cùng, dùng báo cáo của World Bank [10] làm cơ sở thảo luận về giải pháp giúp các nước đang phát triển tận dụng cơ hội này.</w:t>
      </w:r>
    </w:p>
    <w:p w:rsidR="000C7A93" w:rsidRPr="000C7A93" w:rsidRDefault="000C7A93" w:rsidP="000C7A93">
      <w:pPr>
        <w:spacing w:before="100" w:beforeAutospacing="1" w:after="100" w:afterAutospacing="1" w:line="240" w:lineRule="auto"/>
        <w:outlineLvl w:val="1"/>
        <w:rPr>
          <w:rFonts w:ascii="Times New Roman" w:eastAsia="Times New Roman" w:hAnsi="Times New Roman" w:cs="Times New Roman"/>
          <w:b/>
          <w:bCs/>
          <w:sz w:val="26"/>
          <w:szCs w:val="26"/>
        </w:rPr>
      </w:pPr>
      <w:r w:rsidRPr="000C7A93">
        <w:rPr>
          <w:rFonts w:ascii="Times New Roman" w:eastAsia="Times New Roman" w:hAnsi="Times New Roman" w:cs="Times New Roman"/>
          <w:b/>
          <w:bCs/>
          <w:sz w:val="26"/>
          <w:szCs w:val="26"/>
        </w:rPr>
        <w:t>V</w:t>
      </w:r>
      <w:r>
        <w:rPr>
          <w:rFonts w:ascii="Times New Roman" w:eastAsia="Times New Roman" w:hAnsi="Times New Roman" w:cs="Times New Roman"/>
          <w:b/>
          <w:bCs/>
          <w:sz w:val="26"/>
          <w:szCs w:val="26"/>
        </w:rPr>
        <w:t xml:space="preserve">I. DANH MỤC TÀI LIỆU THAM KHẢO </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Aiyar, S., Malacrino, D. and Presbitero, A.F., 2024. Investing in Friends: The Role of Geopolitical Alignment in FDI Flows. </w:t>
      </w:r>
      <w:r w:rsidRPr="000C7A93">
        <w:rPr>
          <w:rFonts w:ascii="Times New Roman" w:eastAsia="Times New Roman" w:hAnsi="Times New Roman" w:cs="Times New Roman"/>
          <w:i/>
          <w:iCs/>
          <w:sz w:val="26"/>
          <w:szCs w:val="26"/>
        </w:rPr>
        <w:t xml:space="preserve">American Economic Association (AEA) </w:t>
      </w:r>
      <w:r w:rsidRPr="000C7A93">
        <w:rPr>
          <w:rFonts w:ascii="Times New Roman" w:eastAsia="Times New Roman" w:hAnsi="Times New Roman" w:cs="Times New Roman"/>
          <w:i/>
          <w:iCs/>
          <w:sz w:val="26"/>
          <w:szCs w:val="26"/>
        </w:rPr>
        <w:lastRenderedPageBreak/>
        <w:t>Papers and Proceedings</w:t>
      </w:r>
      <w:r w:rsidRPr="000C7A93">
        <w:rPr>
          <w:rFonts w:ascii="Times New Roman" w:eastAsia="Times New Roman" w:hAnsi="Times New Roman" w:cs="Times New Roman"/>
          <w:sz w:val="26"/>
          <w:szCs w:val="26"/>
        </w:rPr>
        <w:t xml:space="preserve">. [online] Available at: </w:t>
      </w:r>
      <w:hyperlink r:id="rId5" w:tgtFrame="_blank" w:history="1">
        <w:r w:rsidRPr="000C7A93">
          <w:rPr>
            <w:rFonts w:ascii="Times New Roman" w:eastAsia="Times New Roman" w:hAnsi="Times New Roman" w:cs="Times New Roman"/>
            <w:color w:val="0000FF"/>
            <w:sz w:val="26"/>
            <w:szCs w:val="26"/>
            <w:u w:val="single"/>
          </w:rPr>
          <w:t>https://www.aeaweb.org/conference/2024/program/paper/Ny3F5976</w:t>
        </w:r>
      </w:hyperlink>
      <w:r w:rsidRPr="000C7A93">
        <w:rPr>
          <w:rFonts w:ascii="Times New Roman" w:eastAsia="Times New Roman" w:hAnsi="Times New Roman" w:cs="Times New Roman"/>
          <w:sz w:val="26"/>
          <w:szCs w:val="26"/>
        </w:rPr>
        <w:t xml:space="preserve"> [Accessed 28 June 2026].</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Antràs, P., 2020. </w:t>
      </w:r>
      <w:r w:rsidRPr="000C7A93">
        <w:rPr>
          <w:rFonts w:ascii="Times New Roman" w:eastAsia="Times New Roman" w:hAnsi="Times New Roman" w:cs="Times New Roman"/>
          <w:i/>
          <w:iCs/>
          <w:sz w:val="26"/>
          <w:szCs w:val="26"/>
        </w:rPr>
        <w:t>Conceptual Aspects of Global Value Chains</w:t>
      </w:r>
      <w:r w:rsidRPr="000C7A93">
        <w:rPr>
          <w:rFonts w:ascii="Times New Roman" w:eastAsia="Times New Roman" w:hAnsi="Times New Roman" w:cs="Times New Roman"/>
          <w:sz w:val="26"/>
          <w:szCs w:val="26"/>
        </w:rPr>
        <w:t>. Policy Research Working Paper, No. 9114. Washington, DC: World Bank.</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Arriola, C., Benz, S., Mourougane, A. and van Tongeren, F., 2022. Structural change and the resilience of global value chains to geopolitically-driven shocks. </w:t>
      </w:r>
      <w:r w:rsidRPr="000C7A93">
        <w:rPr>
          <w:rFonts w:ascii="Times New Roman" w:eastAsia="Times New Roman" w:hAnsi="Times New Roman" w:cs="Times New Roman"/>
          <w:i/>
          <w:iCs/>
          <w:sz w:val="26"/>
          <w:szCs w:val="26"/>
        </w:rPr>
        <w:t>OECD Trade Policy Papers</w:t>
      </w:r>
      <w:r w:rsidRPr="000C7A93">
        <w:rPr>
          <w:rFonts w:ascii="Times New Roman" w:eastAsia="Times New Roman" w:hAnsi="Times New Roman" w:cs="Times New Roman"/>
          <w:sz w:val="26"/>
          <w:szCs w:val="26"/>
        </w:rPr>
        <w:t>, No. 264. Paris: OECD Publishing.</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Baldwin, R., 2016. </w:t>
      </w:r>
      <w:r w:rsidRPr="000C7A93">
        <w:rPr>
          <w:rFonts w:ascii="Times New Roman" w:eastAsia="Times New Roman" w:hAnsi="Times New Roman" w:cs="Times New Roman"/>
          <w:i/>
          <w:iCs/>
          <w:sz w:val="26"/>
          <w:szCs w:val="26"/>
        </w:rPr>
        <w:t>The Great Convergence: Information Technology and the New Globalization</w:t>
      </w:r>
      <w:r w:rsidRPr="000C7A93">
        <w:rPr>
          <w:rFonts w:ascii="Times New Roman" w:eastAsia="Times New Roman" w:hAnsi="Times New Roman" w:cs="Times New Roman"/>
          <w:sz w:val="26"/>
          <w:szCs w:val="26"/>
        </w:rPr>
        <w:t>. Cambridge, MA: Harvard University Press.</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Emerald Insight, 2026. Geoeconomic fragmentation and China's outward investment: the interplay of ownership, institutions and politics. </w:t>
      </w:r>
      <w:r w:rsidRPr="000C7A93">
        <w:rPr>
          <w:rFonts w:ascii="Times New Roman" w:eastAsia="Times New Roman" w:hAnsi="Times New Roman" w:cs="Times New Roman"/>
          <w:i/>
          <w:iCs/>
          <w:sz w:val="26"/>
          <w:szCs w:val="26"/>
        </w:rPr>
        <w:t>Journal of Chinese Economic and Foreign Trade Studies</w:t>
      </w:r>
      <w:r w:rsidRPr="000C7A93">
        <w:rPr>
          <w:rFonts w:ascii="Times New Roman" w:eastAsia="Times New Roman" w:hAnsi="Times New Roman" w:cs="Times New Roman"/>
          <w:sz w:val="26"/>
          <w:szCs w:val="26"/>
        </w:rPr>
        <w:t xml:space="preserve">, [online] Available at: </w:t>
      </w:r>
      <w:hyperlink r:id="rId6" w:tgtFrame="_blank" w:history="1">
        <w:r w:rsidRPr="000C7A93">
          <w:rPr>
            <w:rFonts w:ascii="Times New Roman" w:eastAsia="Times New Roman" w:hAnsi="Times New Roman" w:cs="Times New Roman"/>
            <w:color w:val="0000FF"/>
            <w:sz w:val="26"/>
            <w:szCs w:val="26"/>
            <w:u w:val="single"/>
          </w:rPr>
          <w:t>https://www.emerald.com/jcefts</w:t>
        </w:r>
      </w:hyperlink>
      <w:r w:rsidRPr="000C7A93">
        <w:rPr>
          <w:rFonts w:ascii="Times New Roman" w:eastAsia="Times New Roman" w:hAnsi="Times New Roman" w:cs="Times New Roman"/>
          <w:sz w:val="26"/>
          <w:szCs w:val="26"/>
        </w:rPr>
        <w:t xml:space="preserve"> [Accessed 28 June 2026].</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Feenstra, R.C., 2015. </w:t>
      </w:r>
      <w:r w:rsidRPr="000C7A93">
        <w:rPr>
          <w:rFonts w:ascii="Times New Roman" w:eastAsia="Times New Roman" w:hAnsi="Times New Roman" w:cs="Times New Roman"/>
          <w:i/>
          <w:iCs/>
          <w:sz w:val="26"/>
          <w:szCs w:val="26"/>
        </w:rPr>
        <w:t>Advanced International Trade: Theory and Evidence</w:t>
      </w:r>
      <w:r w:rsidRPr="000C7A93">
        <w:rPr>
          <w:rFonts w:ascii="Times New Roman" w:eastAsia="Times New Roman" w:hAnsi="Times New Roman" w:cs="Times New Roman"/>
          <w:sz w:val="26"/>
          <w:szCs w:val="26"/>
        </w:rPr>
        <w:t>. 2nd ed. Princeton: Princeton University Press.</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Harvard Growth Lab, 2023. </w:t>
      </w:r>
      <w:r w:rsidRPr="000C7A93">
        <w:rPr>
          <w:rFonts w:ascii="Times New Roman" w:eastAsia="Times New Roman" w:hAnsi="Times New Roman" w:cs="Times New Roman"/>
          <w:i/>
          <w:iCs/>
          <w:sz w:val="26"/>
          <w:szCs w:val="26"/>
        </w:rPr>
        <w:t>Economic Costs of Friend-shoring</w:t>
      </w:r>
      <w:r w:rsidRPr="000C7A93">
        <w:rPr>
          <w:rFonts w:ascii="Times New Roman" w:eastAsia="Times New Roman" w:hAnsi="Times New Roman" w:cs="Times New Roman"/>
          <w:sz w:val="26"/>
          <w:szCs w:val="26"/>
        </w:rPr>
        <w:t>. Center for International Development (CID) Working Paper Series, No. 422. Cambridge, MA: Harvard Kennedy School.</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International Monetary Fund (IMF), 2023. Geoeconomic Fragmentation and Foreign Direct Investment. In: </w:t>
      </w:r>
      <w:r w:rsidRPr="000C7A93">
        <w:rPr>
          <w:rFonts w:ascii="Times New Roman" w:eastAsia="Times New Roman" w:hAnsi="Times New Roman" w:cs="Times New Roman"/>
          <w:i/>
          <w:iCs/>
          <w:sz w:val="26"/>
          <w:szCs w:val="26"/>
        </w:rPr>
        <w:t>World Economic Outlook, April 2023: A Rocky Recovery</w:t>
      </w:r>
      <w:r w:rsidRPr="000C7A93">
        <w:rPr>
          <w:rFonts w:ascii="Times New Roman" w:eastAsia="Times New Roman" w:hAnsi="Times New Roman" w:cs="Times New Roman"/>
          <w:sz w:val="26"/>
          <w:szCs w:val="26"/>
        </w:rPr>
        <w:t>. Washington, DC: IMF, pp. 91-114.</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Irwin, D.A., 2020. </w:t>
      </w:r>
      <w:r w:rsidRPr="000C7A93">
        <w:rPr>
          <w:rFonts w:ascii="Times New Roman" w:eastAsia="Times New Roman" w:hAnsi="Times New Roman" w:cs="Times New Roman"/>
          <w:i/>
          <w:iCs/>
          <w:sz w:val="26"/>
          <w:szCs w:val="26"/>
        </w:rPr>
        <w:t>Clashing over Commerce: A History of US Trade Policy</w:t>
      </w:r>
      <w:r w:rsidRPr="000C7A93">
        <w:rPr>
          <w:rFonts w:ascii="Times New Roman" w:eastAsia="Times New Roman" w:hAnsi="Times New Roman" w:cs="Times New Roman"/>
          <w:sz w:val="26"/>
          <w:szCs w:val="26"/>
        </w:rPr>
        <w:t>. Chicago: University of Chicago Press.</w:t>
      </w:r>
    </w:p>
    <w:p w:rsidR="000C7A93" w:rsidRPr="000C7A93" w:rsidRDefault="000C7A93" w:rsidP="000C7A93">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0C7A93">
        <w:rPr>
          <w:rFonts w:ascii="Times New Roman" w:eastAsia="Times New Roman" w:hAnsi="Times New Roman" w:cs="Times New Roman"/>
          <w:sz w:val="26"/>
          <w:szCs w:val="26"/>
        </w:rPr>
        <w:t xml:space="preserve">World Bank, 2020. </w:t>
      </w:r>
      <w:r w:rsidRPr="000C7A93">
        <w:rPr>
          <w:rFonts w:ascii="Times New Roman" w:eastAsia="Times New Roman" w:hAnsi="Times New Roman" w:cs="Times New Roman"/>
          <w:i/>
          <w:iCs/>
          <w:sz w:val="26"/>
          <w:szCs w:val="26"/>
        </w:rPr>
        <w:t>World Development Report 2020: Trading for Development in the Age of Global Value Chains</w:t>
      </w:r>
      <w:r w:rsidRPr="000C7A93">
        <w:rPr>
          <w:rFonts w:ascii="Times New Roman" w:eastAsia="Times New Roman" w:hAnsi="Times New Roman" w:cs="Times New Roman"/>
          <w:sz w:val="26"/>
          <w:szCs w:val="26"/>
        </w:rPr>
        <w:t>. Washington, DC: World Bank.</w:t>
      </w:r>
    </w:p>
    <w:p w:rsidR="000C7A93" w:rsidRDefault="000C7A93" w:rsidP="00063730">
      <w:pPr>
        <w:spacing w:before="100" w:beforeAutospacing="1" w:after="100" w:afterAutospacing="1" w:line="240" w:lineRule="auto"/>
        <w:outlineLvl w:val="1"/>
        <w:rPr>
          <w:rFonts w:ascii="Times New Roman" w:eastAsia="Times New Roman" w:hAnsi="Times New Roman" w:cs="Times New Roman"/>
          <w:b/>
          <w:bCs/>
          <w:sz w:val="26"/>
          <w:szCs w:val="26"/>
        </w:rPr>
      </w:pPr>
    </w:p>
    <w:p w:rsidR="000C7A93" w:rsidRDefault="000C7A93" w:rsidP="00063730">
      <w:pPr>
        <w:spacing w:before="100" w:beforeAutospacing="1" w:after="100" w:afterAutospacing="1" w:line="240" w:lineRule="auto"/>
        <w:outlineLvl w:val="1"/>
        <w:rPr>
          <w:rFonts w:ascii="Times New Roman" w:eastAsia="Times New Roman" w:hAnsi="Times New Roman" w:cs="Times New Roman"/>
          <w:b/>
          <w:bCs/>
          <w:sz w:val="26"/>
          <w:szCs w:val="26"/>
        </w:rPr>
      </w:pPr>
    </w:p>
    <w:p w:rsidR="000C7A93" w:rsidRDefault="000C7A93" w:rsidP="00063730">
      <w:pPr>
        <w:spacing w:before="100" w:beforeAutospacing="1" w:after="100" w:afterAutospacing="1" w:line="240" w:lineRule="auto"/>
        <w:outlineLvl w:val="1"/>
        <w:rPr>
          <w:rFonts w:ascii="Times New Roman" w:eastAsia="Times New Roman" w:hAnsi="Times New Roman" w:cs="Times New Roman"/>
          <w:b/>
          <w:bCs/>
          <w:sz w:val="26"/>
          <w:szCs w:val="26"/>
        </w:rPr>
      </w:pPr>
    </w:p>
    <w:sectPr w:rsidR="000C7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724B6"/>
    <w:multiLevelType w:val="multilevel"/>
    <w:tmpl w:val="26A0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70729"/>
    <w:multiLevelType w:val="multilevel"/>
    <w:tmpl w:val="E266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830D3"/>
    <w:multiLevelType w:val="multilevel"/>
    <w:tmpl w:val="A90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6719"/>
    <w:multiLevelType w:val="multilevel"/>
    <w:tmpl w:val="F4B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65EF"/>
    <w:multiLevelType w:val="multilevel"/>
    <w:tmpl w:val="BAE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D0BB5"/>
    <w:multiLevelType w:val="multilevel"/>
    <w:tmpl w:val="9330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D6746"/>
    <w:multiLevelType w:val="multilevel"/>
    <w:tmpl w:val="632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E7E9E"/>
    <w:multiLevelType w:val="multilevel"/>
    <w:tmpl w:val="80B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A1F4A"/>
    <w:multiLevelType w:val="multilevel"/>
    <w:tmpl w:val="213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A4C26"/>
    <w:multiLevelType w:val="multilevel"/>
    <w:tmpl w:val="2D6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F1FB2"/>
    <w:multiLevelType w:val="multilevel"/>
    <w:tmpl w:val="37D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C23A2"/>
    <w:multiLevelType w:val="multilevel"/>
    <w:tmpl w:val="7E9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1"/>
  </w:num>
  <w:num w:numId="4">
    <w:abstractNumId w:val="4"/>
  </w:num>
  <w:num w:numId="5">
    <w:abstractNumId w:val="6"/>
  </w:num>
  <w:num w:numId="6">
    <w:abstractNumId w:val="10"/>
  </w:num>
  <w:num w:numId="7">
    <w:abstractNumId w:val="1"/>
  </w:num>
  <w:num w:numId="8">
    <w:abstractNumId w:val="3"/>
  </w:num>
  <w:num w:numId="9">
    <w:abstractNumId w:val="9"/>
  </w:num>
  <w:num w:numId="10">
    <w:abstractNumId w:val="2"/>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730"/>
    <w:rsid w:val="00063730"/>
    <w:rsid w:val="00074B60"/>
    <w:rsid w:val="000C7A93"/>
    <w:rsid w:val="00AF3E5F"/>
    <w:rsid w:val="00B46E55"/>
    <w:rsid w:val="00B9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E18C"/>
  <w15:chartTrackingRefBased/>
  <w15:docId w15:val="{4D9D8F89-06A0-409B-A815-2B88858F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46E55"/>
    <w:pPr>
      <w:keepNext/>
      <w:keepLines/>
      <w:spacing w:before="40" w:after="0" w:line="240" w:lineRule="auto"/>
      <w:ind w:firstLine="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46E55"/>
    <w:pPr>
      <w:keepNext/>
      <w:keepLines/>
      <w:spacing w:before="40" w:after="0" w:line="240" w:lineRule="auto"/>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46E55"/>
    <w:pPr>
      <w:keepNext/>
      <w:keepLines/>
      <w:spacing w:before="40" w:after="0" w:line="240" w:lineRule="auto"/>
      <w:outlineLvl w:val="3"/>
    </w:pPr>
    <w:rPr>
      <w:rFonts w:eastAsiaTheme="majorEastAsia" w:cstheme="majorBid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6E55"/>
    <w:rPr>
      <w:rFonts w:eastAsiaTheme="majorEastAsia" w:cstheme="majorBidi"/>
      <w:i/>
      <w:iCs/>
      <w:sz w:val="24"/>
      <w:szCs w:val="24"/>
    </w:rPr>
  </w:style>
  <w:style w:type="character" w:customStyle="1" w:styleId="Heading2Char">
    <w:name w:val="Heading 2 Char"/>
    <w:basedOn w:val="DefaultParagraphFont"/>
    <w:link w:val="Heading2"/>
    <w:uiPriority w:val="9"/>
    <w:rsid w:val="00B46E55"/>
    <w:rPr>
      <w:rFonts w:eastAsiaTheme="majorEastAsia" w:cstheme="majorBidi"/>
      <w:b/>
      <w:szCs w:val="26"/>
    </w:rPr>
  </w:style>
  <w:style w:type="character" w:customStyle="1" w:styleId="Heading3Char">
    <w:name w:val="Heading 3 Char"/>
    <w:basedOn w:val="DefaultParagraphFont"/>
    <w:link w:val="Heading3"/>
    <w:uiPriority w:val="9"/>
    <w:rsid w:val="00B46E55"/>
    <w:rPr>
      <w:rFonts w:eastAsiaTheme="majorEastAsia" w:cstheme="majorBidi"/>
      <w:color w:val="000000" w:themeColor="text1"/>
      <w:sz w:val="24"/>
      <w:szCs w:val="24"/>
    </w:rPr>
  </w:style>
  <w:style w:type="paragraph" w:styleId="NormalWeb">
    <w:name w:val="Normal (Web)"/>
    <w:basedOn w:val="Normal"/>
    <w:uiPriority w:val="99"/>
    <w:semiHidden/>
    <w:unhideWhenUsed/>
    <w:rsid w:val="0006373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37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583732">
      <w:bodyDiv w:val="1"/>
      <w:marLeft w:val="0"/>
      <w:marRight w:val="0"/>
      <w:marTop w:val="0"/>
      <w:marBottom w:val="0"/>
      <w:divBdr>
        <w:top w:val="none" w:sz="0" w:space="0" w:color="auto"/>
        <w:left w:val="none" w:sz="0" w:space="0" w:color="auto"/>
        <w:bottom w:val="none" w:sz="0" w:space="0" w:color="auto"/>
        <w:right w:val="none" w:sz="0" w:space="0" w:color="auto"/>
      </w:divBdr>
    </w:div>
    <w:div w:id="583298863">
      <w:bodyDiv w:val="1"/>
      <w:marLeft w:val="0"/>
      <w:marRight w:val="0"/>
      <w:marTop w:val="0"/>
      <w:marBottom w:val="0"/>
      <w:divBdr>
        <w:top w:val="none" w:sz="0" w:space="0" w:color="auto"/>
        <w:left w:val="none" w:sz="0" w:space="0" w:color="auto"/>
        <w:bottom w:val="none" w:sz="0" w:space="0" w:color="auto"/>
        <w:right w:val="none" w:sz="0" w:space="0" w:color="auto"/>
      </w:divBdr>
    </w:div>
    <w:div w:id="885683565">
      <w:bodyDiv w:val="1"/>
      <w:marLeft w:val="0"/>
      <w:marRight w:val="0"/>
      <w:marTop w:val="0"/>
      <w:marBottom w:val="0"/>
      <w:divBdr>
        <w:top w:val="none" w:sz="0" w:space="0" w:color="auto"/>
        <w:left w:val="none" w:sz="0" w:space="0" w:color="auto"/>
        <w:bottom w:val="none" w:sz="0" w:space="0" w:color="auto"/>
        <w:right w:val="none" w:sz="0" w:space="0" w:color="auto"/>
      </w:divBdr>
    </w:div>
    <w:div w:id="1432362699">
      <w:bodyDiv w:val="1"/>
      <w:marLeft w:val="0"/>
      <w:marRight w:val="0"/>
      <w:marTop w:val="0"/>
      <w:marBottom w:val="0"/>
      <w:divBdr>
        <w:top w:val="none" w:sz="0" w:space="0" w:color="auto"/>
        <w:left w:val="none" w:sz="0" w:space="0" w:color="auto"/>
        <w:bottom w:val="none" w:sz="0" w:space="0" w:color="auto"/>
        <w:right w:val="none" w:sz="0" w:space="0" w:color="auto"/>
      </w:divBdr>
    </w:div>
    <w:div w:id="1514875619">
      <w:bodyDiv w:val="1"/>
      <w:marLeft w:val="0"/>
      <w:marRight w:val="0"/>
      <w:marTop w:val="0"/>
      <w:marBottom w:val="0"/>
      <w:divBdr>
        <w:top w:val="none" w:sz="0" w:space="0" w:color="auto"/>
        <w:left w:val="none" w:sz="0" w:space="0" w:color="auto"/>
        <w:bottom w:val="none" w:sz="0" w:space="0" w:color="auto"/>
        <w:right w:val="none" w:sz="0" w:space="0" w:color="auto"/>
      </w:divBdr>
    </w:div>
    <w:div w:id="1945728701">
      <w:bodyDiv w:val="1"/>
      <w:marLeft w:val="0"/>
      <w:marRight w:val="0"/>
      <w:marTop w:val="0"/>
      <w:marBottom w:val="0"/>
      <w:divBdr>
        <w:top w:val="none" w:sz="0" w:space="0" w:color="auto"/>
        <w:left w:val="none" w:sz="0" w:space="0" w:color="auto"/>
        <w:bottom w:val="none" w:sz="0" w:space="0" w:color="auto"/>
        <w:right w:val="none" w:sz="0" w:space="0" w:color="auto"/>
      </w:divBdr>
    </w:div>
    <w:div w:id="208086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merald.com/jcefts" TargetMode="External"/><Relationship Id="rId5" Type="http://schemas.openxmlformats.org/officeDocument/2006/relationships/hyperlink" Target="https://www.aeaweb.org/conference/2024/program/paper/Ny3F59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2026-06-28T16:09:00Z</dcterms:created>
  <dcterms:modified xsi:type="dcterms:W3CDTF">2026-06-28T16:41:00Z</dcterms:modified>
</cp:coreProperties>
</file>