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EDA for Customer Segmentation Dataset</w:t>
      </w:r>
    </w:p>
    <w:p>
      <w:pPr>
        <w:pStyle w:val="Heading2"/>
      </w:pPr>
      <w:r>
        <w:t>Messages Dataset Analysis</w:t>
      </w:r>
    </w:p>
    <w:p>
      <w:r>
        <w:t>The messages dataset contains 10243 entries with details on campaigns, customers, and engagement.</w:t>
        <w:br/>
        <w:br/>
        <w:t>Key Engagement Metrics:</w:t>
        <w:br/>
        <w:t>- Open Rate: 16.13%</w:t>
        <w:br/>
        <w:t>- Click Rate: 16.13%</w:t>
      </w:r>
    </w:p>
    <w:p>
      <w:pPr>
        <w:pStyle w:val="Heading3"/>
      </w:pPr>
      <w:r>
        <w:t>Distribution of Campaign Types</w:t>
      </w:r>
    </w:p>
    <w:p>
      <w:r>
        <w:t>The following bar chart shows the distribution of messages across campaign types.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ssages_campaign_type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Distribution of Channels</w:t>
      </w:r>
    </w:p>
    <w:p>
      <w:r>
        <w:t>The following bar chart shows the distribution of messages across channels.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ssages_channel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Engagement Rates</w:t>
      </w:r>
    </w:p>
    <w:p>
      <w:r>
        <w:t>The following bar chart illustrates the open and click rates for the messages.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ssages_engagement_rat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