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288C6D00"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40BAB64"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4292B718">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00B50C0"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6706DC4"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1CBA4D31">
            <wp:extent cx="539940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9302" b="7742"/>
                    <a:stretch/>
                  </pic:blipFill>
                  <pic:spPr bwMode="auto">
                    <a:xfrm>
                      <a:off x="0" y="0"/>
                      <a:ext cx="5400040" cy="2038590"/>
                    </a:xfrm>
                    <a:prstGeom prst="rect">
                      <a:avLst/>
                    </a:prstGeom>
                    <a:ln>
                      <a:noFill/>
                    </a:ln>
                    <a:extLst>
                      <a:ext uri="{53640926-AAD7-44D8-BBD7-CCE9431645EC}">
                        <a14:shadowObscured xmlns:a14="http://schemas.microsoft.com/office/drawing/2010/main"/>
                      </a:ext>
                    </a:extLst>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2</w:t>
      </w:r>
    </w:p>
    <w:p w14:paraId="2BC04185" w14:textId="77777777" w:rsidR="00B31C31" w:rsidRDefault="009E711E" w:rsidP="00624F60">
      <w:pPr>
        <w:pStyle w:val="NormalWeb"/>
        <w:jc w:val="both"/>
      </w:pPr>
      <w:r>
        <w:t xml:space="preserve">Utilizando Python, hemos abordado el problema de asignación de operaciones quirúrgicas a quirófanos mediante un modelo basado en "set </w:t>
      </w:r>
      <w:proofErr w:type="spellStart"/>
      <w:r>
        <w:t>covering</w:t>
      </w:r>
      <w:proofErr w:type="spellEnd"/>
      <w:r>
        <w:t xml:space="preserve">". En este enfoque, cada planificación representa un quirófano utilizado para cubrir las operaciones asignadas en un día específico. </w:t>
      </w:r>
    </w:p>
    <w:p w14:paraId="1FEEE751" w14:textId="740CD7D0" w:rsidR="004C6340" w:rsidRDefault="009E711E" w:rsidP="00624F60">
      <w:pPr>
        <w:pStyle w:val="NormalWeb"/>
        <w:jc w:val="both"/>
      </w:pPr>
      <w:r>
        <w:t xml:space="preserve">El objetivo principal fue garantizar una solución factible que asegurara la cobertura de todas las operaciones planificadas sin conflictos, optimizando el uso de quirófanos. El modelo obtuvo una solución factible con un coste total mínimo de </w:t>
      </w:r>
      <w:r>
        <w:rPr>
          <w:rStyle w:val="Textoennegrita"/>
        </w:rPr>
        <w:t>57923.63</w:t>
      </w:r>
      <w:r>
        <w:t xml:space="preserve">, utilizando un total de </w:t>
      </w:r>
      <w:r>
        <w:rPr>
          <w:rStyle w:val="Textoennegrita"/>
        </w:rPr>
        <w:t>24 quirófanos</w:t>
      </w:r>
      <w:r>
        <w:t>. A continuación, se describen las planificaciones con las operaciones asignadas y los costes totales:</w:t>
      </w:r>
    </w:p>
    <w:p w14:paraId="10807860" w14:textId="64CFF34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 xml:space="preserve">Planificación 1. </w:t>
      </w:r>
      <w:r w:rsidRPr="003E7538">
        <w:rPr>
          <w:sz w:val="22"/>
          <w:szCs w:val="22"/>
        </w:rPr>
        <w:t xml:space="preserve">OP-68, OP-57, OP-12, OP-18, OP-67, OP-5, OP-143, OP-21. </w:t>
      </w:r>
      <w:r w:rsidRPr="00A54C55">
        <w:rPr>
          <w:sz w:val="22"/>
          <w:szCs w:val="22"/>
        </w:rPr>
        <w:t>Coste: 11,450.11.</w:t>
      </w:r>
    </w:p>
    <w:p w14:paraId="2B96BAF1" w14:textId="703A911C"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 xml:space="preserve">Planificación 2. </w:t>
      </w:r>
      <w:r w:rsidRPr="003E7538">
        <w:rPr>
          <w:sz w:val="22"/>
          <w:szCs w:val="22"/>
        </w:rPr>
        <w:t xml:space="preserve">OP-133, OP-138, OP-99, OP-9, OP-121. </w:t>
      </w:r>
      <w:r w:rsidRPr="00A54C55">
        <w:rPr>
          <w:sz w:val="22"/>
          <w:szCs w:val="22"/>
        </w:rPr>
        <w:t>Coste: 5,157.78.</w:t>
      </w:r>
    </w:p>
    <w:p w14:paraId="508E6EA4" w14:textId="6DB60713"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3. OP-159, OP-2, OP-22, OP-105. Coste: 5,225.48.</w:t>
      </w:r>
    </w:p>
    <w:p w14:paraId="0337612C" w14:textId="498EB29E"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4. OP-44, OP-70, OP-102. Coste: 2,265.14.</w:t>
      </w:r>
    </w:p>
    <w:p w14:paraId="7E97956B" w14:textId="604AA435"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5. OP-107, OP-148. Coste: 2,041.68.</w:t>
      </w:r>
    </w:p>
    <w:p w14:paraId="184C322C" w14:textId="5A599536"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6. OP-88, OP-117, OP-36. Coste: 2,596.31.</w:t>
      </w:r>
    </w:p>
    <w:p w14:paraId="3E2D759C" w14:textId="0C49D9A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7. OP-167. Coste: 1,265.87.</w:t>
      </w:r>
    </w:p>
    <w:p w14:paraId="7105C147" w14:textId="1C55B8FE"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8. OP-35. Cost</w:t>
      </w:r>
      <w:r w:rsidR="00A54C55">
        <w:rPr>
          <w:sz w:val="22"/>
          <w:szCs w:val="22"/>
        </w:rPr>
        <w:t>e</w:t>
      </w:r>
      <w:r w:rsidRPr="00A54C55">
        <w:rPr>
          <w:sz w:val="22"/>
          <w:szCs w:val="22"/>
        </w:rPr>
        <w:t>: 1,862.63.</w:t>
      </w:r>
    </w:p>
    <w:p w14:paraId="04D4B84F" w14:textId="2497250B"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9. OP-125, OP-139. Coste: 3,144.61.</w:t>
      </w:r>
    </w:p>
    <w:p w14:paraId="6FAF5762" w14:textId="39B9369A"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10. OP-110. Coste: 1,267.66.</w:t>
      </w:r>
    </w:p>
    <w:p w14:paraId="34B83CA5" w14:textId="553C02D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11. OP-55. Coste: 1,249.11.</w:t>
      </w:r>
    </w:p>
    <w:p w14:paraId="1AFB4B1A" w14:textId="3CFEE9A7"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12. OP-104. Coste: 1,600.24.</w:t>
      </w:r>
    </w:p>
    <w:p w14:paraId="357CF106" w14:textId="41CD5377"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13. OP-165. Coste: 513.12.</w:t>
      </w:r>
    </w:p>
    <w:p w14:paraId="15373F16" w14:textId="2E10B652"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14. OP-126. Coste: 1,135.08.</w:t>
      </w:r>
    </w:p>
    <w:p w14:paraId="037BE28C" w14:textId="2EDE3D0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15. OP-23. Coste: 1,442.64.</w:t>
      </w:r>
    </w:p>
    <w:p w14:paraId="42AEC723" w14:textId="30BB49B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16. OP-73, OP-83. Coste: 3,316.39.</w:t>
      </w:r>
    </w:p>
    <w:p w14:paraId="461A5EFC" w14:textId="42C90C31"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17. OP-34. Cost</w:t>
      </w:r>
      <w:r w:rsidR="00A54C55">
        <w:rPr>
          <w:sz w:val="22"/>
          <w:szCs w:val="22"/>
        </w:rPr>
        <w:t>e</w:t>
      </w:r>
      <w:r w:rsidRPr="00A54C55">
        <w:rPr>
          <w:sz w:val="22"/>
          <w:szCs w:val="22"/>
        </w:rPr>
        <w:t>: 2,041.36.</w:t>
      </w:r>
    </w:p>
    <w:p w14:paraId="7CBAB825" w14:textId="519D2BE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18. OP-1. Coste: 1,253.84.</w:t>
      </w:r>
    </w:p>
    <w:p w14:paraId="2237520A" w14:textId="1E65284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19. OP-59, OP-78. Coste: 1,761.43.</w:t>
      </w:r>
    </w:p>
    <w:p w14:paraId="3F530101" w14:textId="0B90E35C"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20. OP-135. Coste: 1,482.28.</w:t>
      </w:r>
    </w:p>
    <w:p w14:paraId="6E5A661E" w14:textId="75DC5D04"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21. OP-164. Coste: 1,240.55.</w:t>
      </w:r>
    </w:p>
    <w:p w14:paraId="1D0C762D" w14:textId="20AAC89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22. OP-30. Coste: 1,135.05.</w:t>
      </w:r>
    </w:p>
    <w:p w14:paraId="021E57C5" w14:textId="567F3693"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23. OP-163. Coste: 2,036.54.</w:t>
      </w:r>
    </w:p>
    <w:p w14:paraId="028693B0" w14:textId="72F63A91" w:rsidR="00834644"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24. OP-156. Coste: 1,438.73.</w:t>
      </w:r>
    </w:p>
    <w:p w14:paraId="6E1821BB" w14:textId="77777777" w:rsidR="00834644" w:rsidRPr="00834644" w:rsidRDefault="00834644" w:rsidP="00834644">
      <w:pPr>
        <w:pStyle w:val="NormalWeb"/>
        <w:spacing w:before="0" w:beforeAutospacing="0" w:after="0" w:afterAutospacing="0"/>
        <w:jc w:val="both"/>
        <w:rPr>
          <w:sz w:val="22"/>
          <w:szCs w:val="22"/>
        </w:rPr>
      </w:pPr>
    </w:p>
    <w:p w14:paraId="080E0CB2" w14:textId="7229134D" w:rsidR="00B31C31" w:rsidRDefault="00834644" w:rsidP="00834644">
      <w:pPr>
        <w:pStyle w:val="NormalWeb"/>
        <w:spacing w:before="0" w:beforeAutospacing="0" w:after="240"/>
        <w:jc w:val="both"/>
      </w:pPr>
      <w:r w:rsidRPr="00834644">
        <w:t>El modelo asegura que todas las operaciones quirúrgicas programadas están cubiertas sin solapamientos y que cada quirófano planificado respeta las restricciones de incompatibilidad.</w:t>
      </w:r>
      <w:r>
        <w:t xml:space="preserve"> </w:t>
      </w:r>
      <w:r w:rsidR="00B31C31">
        <w:t xml:space="preserve">Para </w:t>
      </w:r>
      <w:r w:rsidR="009E711E">
        <w:t>garanti</w:t>
      </w:r>
      <w:r w:rsidR="00B31C31">
        <w:t>zar</w:t>
      </w:r>
      <w:r w:rsidR="009E711E">
        <w:t xml:space="preserve"> la cobertura de todas las operaciones quirúrgicas programadas y </w:t>
      </w:r>
      <w:r w:rsidR="00B31C31">
        <w:t>asegurar</w:t>
      </w:r>
      <w:r w:rsidR="009E711E">
        <w:t xml:space="preserve"> la factibilidad de la solución</w:t>
      </w:r>
      <w:r w:rsidR="00B31C31">
        <w:t xml:space="preserve"> se ha añadido al final del código una verificación a través de bucles. El código puede observarse en el archivo .</w:t>
      </w:r>
      <w:proofErr w:type="spellStart"/>
      <w:r w:rsidR="00B31C31">
        <w:t>py</w:t>
      </w:r>
      <w:proofErr w:type="spellEnd"/>
      <w:r w:rsidR="00B31C31">
        <w:t xml:space="preserve"> , pero el resultado obtenido al compilar es lo siguiente:</w:t>
      </w:r>
    </w:p>
    <w:p w14:paraId="5299ABA2" w14:textId="59616289" w:rsidR="00B31C31" w:rsidRDefault="00B31C31" w:rsidP="00B31C31">
      <w:pPr>
        <w:pStyle w:val="NormalWeb"/>
        <w:spacing w:before="240" w:after="240"/>
        <w:jc w:val="both"/>
      </w:pPr>
      <w:r w:rsidRPr="00B31C31">
        <w:t xml:space="preserve"> </w:t>
      </w:r>
      <w:r>
        <w:t>=== Verificación de Solución ===</w:t>
      </w:r>
    </w:p>
    <w:p w14:paraId="6C5A5784" w14:textId="77777777" w:rsidR="00B31C31" w:rsidRDefault="00B31C31" w:rsidP="00B31C31">
      <w:pPr>
        <w:pStyle w:val="NormalWeb"/>
        <w:spacing w:before="240" w:after="240"/>
        <w:jc w:val="both"/>
      </w:pPr>
      <w:r>
        <w:t>Todas las operaciones están cubiertas.</w:t>
      </w:r>
    </w:p>
    <w:p w14:paraId="6C82B4F2" w14:textId="32300B19" w:rsidR="00B31C31" w:rsidRDefault="00B31C31" w:rsidP="009E711E">
      <w:pPr>
        <w:pStyle w:val="NormalWeb"/>
        <w:spacing w:before="240" w:beforeAutospacing="0" w:after="240" w:afterAutospacing="0"/>
        <w:jc w:val="both"/>
      </w:pPr>
      <w:r>
        <w:lastRenderedPageBreak/>
        <w:t>No se encontraron incompatibilidades dentro de las planificaciones.</w:t>
      </w:r>
    </w:p>
    <w:p w14:paraId="12BDEE82" w14:textId="77777777" w:rsidR="00A54C55" w:rsidRDefault="00A54C55" w:rsidP="009E711E">
      <w:pPr>
        <w:pStyle w:val="NormalWeb"/>
        <w:spacing w:before="240" w:beforeAutospacing="0" w:after="240" w:afterAutospacing="0"/>
        <w:jc w:val="both"/>
      </w:pPr>
    </w:p>
    <w:p w14:paraId="0E306CD5" w14:textId="57F8EA96" w:rsidR="00085B74" w:rsidRPr="00085B74" w:rsidRDefault="00085B74" w:rsidP="00085B74">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w:t>
      </w:r>
      <w:r>
        <w:rPr>
          <w:rFonts w:ascii="Times New Roman" w:hAnsi="Times New Roman" w:cs="Times New Roman"/>
          <w:color w:val="365F91" w:themeColor="accent1" w:themeShade="BF"/>
          <w:sz w:val="32"/>
        </w:rPr>
        <w:t>partado 3</w:t>
      </w:r>
    </w:p>
    <w:p w14:paraId="28488371" w14:textId="77777777" w:rsidR="003E7538" w:rsidRPr="003E7538" w:rsidRDefault="003E7538" w:rsidP="003E7538">
      <w:pPr>
        <w:spacing w:before="100" w:beforeAutospacing="1" w:after="100" w:afterAutospacing="1"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 xml:space="preserve">En el tercer apartado, se aborda el problema de asignación de quirófanos mediante un enfoque de </w:t>
      </w:r>
      <w:r w:rsidRPr="003E7538">
        <w:rPr>
          <w:rFonts w:ascii="Times New Roman" w:eastAsia="Times New Roman" w:hAnsi="Times New Roman" w:cs="Times New Roman"/>
          <w:b/>
          <w:bCs/>
          <w:sz w:val="24"/>
          <w:szCs w:val="24"/>
          <w:lang w:eastAsia="es-ES"/>
        </w:rPr>
        <w:t xml:space="preserve">generación de </w:t>
      </w:r>
      <w:proofErr w:type="gramStart"/>
      <w:r w:rsidRPr="003E7538">
        <w:rPr>
          <w:rFonts w:ascii="Times New Roman" w:eastAsia="Times New Roman" w:hAnsi="Times New Roman" w:cs="Times New Roman"/>
          <w:b/>
          <w:bCs/>
          <w:sz w:val="24"/>
          <w:szCs w:val="24"/>
          <w:lang w:eastAsia="es-ES"/>
        </w:rPr>
        <w:t>columnas</w:t>
      </w:r>
      <w:r w:rsidRPr="003E7538">
        <w:rPr>
          <w:rFonts w:ascii="Times New Roman" w:eastAsia="Times New Roman" w:hAnsi="Times New Roman" w:cs="Times New Roman"/>
          <w:sz w:val="24"/>
          <w:szCs w:val="24"/>
          <w:lang w:eastAsia="es-ES"/>
        </w:rPr>
        <w:t xml:space="preserve"> ,</w:t>
      </w:r>
      <w:proofErr w:type="gramEnd"/>
      <w:r w:rsidRPr="003E7538">
        <w:rPr>
          <w:rFonts w:ascii="Times New Roman" w:eastAsia="Times New Roman" w:hAnsi="Times New Roman" w:cs="Times New Roman"/>
          <w:sz w:val="24"/>
          <w:szCs w:val="24"/>
          <w:lang w:eastAsia="es-ES"/>
        </w:rPr>
        <w:t xml:space="preserve"> cuyo objetivo principal es minimizar el número de quirófanos necesarios para cubrir todas las operaciones quirúrgicas planificadas. Este enfoque permite asignar las operaciones de forma eficiente, reduciendo el uso de recursos y dejando quirófanos disponibles para emergencias u otras necesidades no planificadas.</w:t>
      </w:r>
    </w:p>
    <w:p w14:paraId="00E75135" w14:textId="54A0F622" w:rsidR="003E7538" w:rsidRDefault="003E7538" w:rsidP="003E753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modelo </w:t>
      </w:r>
      <w:r w:rsidRPr="003E7538">
        <w:rPr>
          <w:rFonts w:ascii="Times New Roman" w:eastAsia="Times New Roman" w:hAnsi="Times New Roman" w:cs="Times New Roman"/>
          <w:sz w:val="24"/>
          <w:szCs w:val="24"/>
          <w:lang w:eastAsia="es-ES"/>
        </w:rPr>
        <w:t xml:space="preserve">calcula que el número mínimo de quirófanos necesarios es </w:t>
      </w:r>
      <w:proofErr w:type="gramStart"/>
      <w:r w:rsidR="00D00159">
        <w:rPr>
          <w:rFonts w:ascii="Times New Roman" w:eastAsia="Times New Roman" w:hAnsi="Times New Roman" w:cs="Times New Roman"/>
          <w:b/>
          <w:bCs/>
          <w:sz w:val="24"/>
          <w:szCs w:val="24"/>
          <w:lang w:eastAsia="es-ES"/>
        </w:rPr>
        <w:t>9</w:t>
      </w:r>
      <w:r w:rsidRPr="003E7538">
        <w:rPr>
          <w:rFonts w:ascii="Times New Roman" w:eastAsia="Times New Roman" w:hAnsi="Times New Roman" w:cs="Times New Roman"/>
          <w:b/>
          <w:bCs/>
          <w:sz w:val="24"/>
          <w:szCs w:val="24"/>
          <w:lang w:eastAsia="es-ES"/>
        </w:rPr>
        <w:t>4</w:t>
      </w:r>
      <w:r w:rsidRPr="003E7538">
        <w:rPr>
          <w:rFonts w:ascii="Times New Roman" w:eastAsia="Times New Roman" w:hAnsi="Times New Roman" w:cs="Times New Roman"/>
          <w:sz w:val="24"/>
          <w:szCs w:val="24"/>
          <w:lang w:eastAsia="es-ES"/>
        </w:rPr>
        <w:t xml:space="preserve"> ,</w:t>
      </w:r>
      <w:proofErr w:type="gramEnd"/>
      <w:r w:rsidRPr="003E7538">
        <w:rPr>
          <w:rFonts w:ascii="Times New Roman" w:eastAsia="Times New Roman" w:hAnsi="Times New Roman" w:cs="Times New Roman"/>
          <w:sz w:val="24"/>
          <w:szCs w:val="24"/>
          <w:lang w:eastAsia="es-ES"/>
        </w:rPr>
        <w:t xml:space="preserve"> distribuyendo las operaciones quirúrgicas de manera óptima.</w:t>
      </w:r>
      <w:r>
        <w:rPr>
          <w:rFonts w:ascii="Times New Roman" w:eastAsia="Times New Roman" w:hAnsi="Times New Roman" w:cs="Times New Roman"/>
          <w:sz w:val="24"/>
          <w:szCs w:val="24"/>
          <w:lang w:eastAsia="es-ES"/>
        </w:rPr>
        <w:t xml:space="preserve"> A continuación se observa que operación ha sido asignada a cada quirófano.</w:t>
      </w:r>
    </w:p>
    <w:p w14:paraId="1259F46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 20241204 OP-68, 20241204 OP-57, 20241204 OP-12, 20241204 OP-18, 20241204 OP-67, 20241204 OP-5, 20241204 OP-143, 20241204 OP-21, 20241204 OP-91, 20241204 OP-130, 20241204 OP-41, 20241204 OP-160, 20241204 OP-46</w:t>
      </w:r>
    </w:p>
    <w:p w14:paraId="2000CB7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 20241204 OP-133, 20241204 OP-138, 20241204 OP-99, 20241204 OP-9, 20241204 OP-42, 20241204 OP-145, 20241204 OP-154, 20241204 OP-166, 20241204 OP-58, 20241204 OP-65</w:t>
      </w:r>
    </w:p>
    <w:p w14:paraId="598942E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3: 20241204 OP-159, 20241204 OP-2, 20241204 OP-22, 20241204 OP-157, 20241204 OP-132, 20241204 OP-32, 20241204 OP-172</w:t>
      </w:r>
    </w:p>
    <w:p w14:paraId="01D79E9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4: 20241204 OP-44, 20241204 OP-70, 20241204 OP-102, 20241204 OP-80</w:t>
      </w:r>
    </w:p>
    <w:p w14:paraId="47EC9D9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5: 20241204 OP-107, 20241204 OP-148, 20241204 OP-114, 20241204 OP-105, 20241204 OP-54, 20241204 OP-151, 20241204 OP-168</w:t>
      </w:r>
    </w:p>
    <w:p w14:paraId="5B66784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6: 20241204 OP-88, 20241204 OP-121, 20241204 OP-36, 20241204 OP-120, 20241204 OP-79, 20241204 OP-20</w:t>
      </w:r>
    </w:p>
    <w:p w14:paraId="0522400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7: 20241204 OP-167, 20241204 OP-25, 20241204 OP-117, 20241204 OP-118, 20241204 OP-27, 20241204 OP-103, 20241204 OP-37, 20241204 OP-106</w:t>
      </w:r>
    </w:p>
    <w:p w14:paraId="0DFDF68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8: 20241204 OP-35, 20241204 OP-47, 20241204 OP-13, 20241204 OP-113, 20241204 OP-39, 20241204 OP-149</w:t>
      </w:r>
    </w:p>
    <w:p w14:paraId="62E83BB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9: 20241204 OP-125, 20241204 OP-139, 20241204 OP-150, 20241204 OP-11, 20241204 OP-24, 20241204 OP-111</w:t>
      </w:r>
    </w:p>
    <w:p w14:paraId="0246BF2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10: 20241204 OP-110, 20241204 OP-90, 20241204 OP-147, 20241204 OP-108, 20241204 OP-158, 20241204 OP-169</w:t>
      </w:r>
    </w:p>
    <w:p w14:paraId="6F21254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11: 20241204 OP-55, 20241204 OP-101, 20241204 OP-134</w:t>
      </w:r>
    </w:p>
    <w:p w14:paraId="65A0A96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12: 20241204 OP-104, 20241204 OP-152, 20241204 OP-72, 20241204 OP-96</w:t>
      </w:r>
    </w:p>
    <w:p w14:paraId="5F90C33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13: 20241204 OP-165, 20241204 OP-89, 20241204 OP-131, 20241204 OP-75</w:t>
      </w:r>
    </w:p>
    <w:p w14:paraId="4F9D0DA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14: 20241204 OP-126, 20241204 OP-76</w:t>
      </w:r>
    </w:p>
    <w:p w14:paraId="5721E49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15: 20241204 OP-23</w:t>
      </w:r>
    </w:p>
    <w:p w14:paraId="4A4B205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16: 20241204 OP-73, 20241204 OP-86, 20241204 OP-97</w:t>
      </w:r>
    </w:p>
    <w:p w14:paraId="3F23846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lastRenderedPageBreak/>
        <w:t>Quirófano 17: 20241204 OP-34</w:t>
      </w:r>
    </w:p>
    <w:p w14:paraId="509AB64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18: 20241204 OP-1, 20241204 OP-94</w:t>
      </w:r>
    </w:p>
    <w:p w14:paraId="5A50E79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19: 20241204 OP-59, 20241204 OP-83</w:t>
      </w:r>
    </w:p>
    <w:p w14:paraId="6CD06A9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20: 20241204 OP-64, 20241204 OP-92</w:t>
      </w:r>
    </w:p>
    <w:p w14:paraId="1296C0B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21: 20241204 OP-140</w:t>
      </w:r>
    </w:p>
    <w:p w14:paraId="3C6BB81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22: 20241204 OP-112</w:t>
      </w:r>
    </w:p>
    <w:p w14:paraId="0B82507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23: 20241204 OP-77</w:t>
      </w:r>
    </w:p>
    <w:p w14:paraId="2156376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24: 20241204 OP-43</w:t>
      </w:r>
    </w:p>
    <w:p w14:paraId="0398578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25: 20241204 OP-135</w:t>
      </w:r>
    </w:p>
    <w:p w14:paraId="0662286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26: 20241204 OP-164</w:t>
      </w:r>
    </w:p>
    <w:p w14:paraId="7EB52C9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27: 20241204 OP-78, 20241204 OP-50</w:t>
      </w:r>
    </w:p>
    <w:p w14:paraId="077CA5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28: 20241204 OP-30</w:t>
      </w:r>
    </w:p>
    <w:p w14:paraId="53D2CC7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29: 20241204 OP-163</w:t>
      </w:r>
    </w:p>
    <w:p w14:paraId="58FBA8E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30: 20241204 OP-156</w:t>
      </w:r>
    </w:p>
    <w:p w14:paraId="498CA44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31: 20241204 OP-170</w:t>
      </w:r>
    </w:p>
    <w:p w14:paraId="33870E4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32: 20241204 OP-61</w:t>
      </w:r>
    </w:p>
    <w:p w14:paraId="5F3AEB5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33: 20241204 OP-129</w:t>
      </w:r>
    </w:p>
    <w:p w14:paraId="726361F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34: 20241204 OP-146, 20241204 OP-7</w:t>
      </w:r>
    </w:p>
    <w:p w14:paraId="69B30AA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35: 20241204 OP-69</w:t>
      </w:r>
    </w:p>
    <w:p w14:paraId="14AC066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36: 20241204 OP-109</w:t>
      </w:r>
    </w:p>
    <w:p w14:paraId="267F5D1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37: 20241204 OP-15</w:t>
      </w:r>
    </w:p>
    <w:p w14:paraId="7F2204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38: 20241204 OP-128, 20241204 OP-60</w:t>
      </w:r>
    </w:p>
    <w:p w14:paraId="5700885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39: 20241204 OP-28</w:t>
      </w:r>
    </w:p>
    <w:p w14:paraId="4A7BFDC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40: 20241204 OP-4</w:t>
      </w:r>
    </w:p>
    <w:p w14:paraId="11C3724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41: 20241204 OP-116</w:t>
      </w:r>
    </w:p>
    <w:p w14:paraId="1204672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42: 20241204 OP-87</w:t>
      </w:r>
    </w:p>
    <w:p w14:paraId="4DF6676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43: 20241204 OP-142</w:t>
      </w:r>
    </w:p>
    <w:p w14:paraId="00EA06F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44: 20241204 OP-141</w:t>
      </w:r>
    </w:p>
    <w:p w14:paraId="2D1A8AE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45: 20241204 OP-66</w:t>
      </w:r>
    </w:p>
    <w:p w14:paraId="6E4E75F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46: 20241204 OP-122</w:t>
      </w:r>
    </w:p>
    <w:p w14:paraId="53113C3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47: 20241204 OP-95</w:t>
      </w:r>
    </w:p>
    <w:p w14:paraId="57410A2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48: 20241204 OP-127</w:t>
      </w:r>
    </w:p>
    <w:p w14:paraId="752EC4F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49: 20241204 OP-124</w:t>
      </w:r>
    </w:p>
    <w:p w14:paraId="1E47394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50: 20241204 OP-63</w:t>
      </w:r>
    </w:p>
    <w:p w14:paraId="2D6D5B3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51: 20241204 OP-38</w:t>
      </w:r>
    </w:p>
    <w:p w14:paraId="57523C6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52: 20241204 OP-40</w:t>
      </w:r>
    </w:p>
    <w:p w14:paraId="08E518D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53: 20241204 OP-8</w:t>
      </w:r>
    </w:p>
    <w:p w14:paraId="57F596A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54: 20241204 OP-26</w:t>
      </w:r>
    </w:p>
    <w:p w14:paraId="03A1CCF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55: 20241204 OP-115</w:t>
      </w:r>
    </w:p>
    <w:p w14:paraId="7140744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56: 20241204 OP-123</w:t>
      </w:r>
    </w:p>
    <w:p w14:paraId="50B96DC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57: 20241204 OP-162</w:t>
      </w:r>
    </w:p>
    <w:p w14:paraId="74B56F1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58: 20241204 OP-74</w:t>
      </w:r>
    </w:p>
    <w:p w14:paraId="6F73B29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59: 20241204 OP-82</w:t>
      </w:r>
    </w:p>
    <w:p w14:paraId="4497917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60: 20241204 OP-155</w:t>
      </w:r>
    </w:p>
    <w:p w14:paraId="05B556A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61: 20241204 OP-85, 20241204 OP-161</w:t>
      </w:r>
    </w:p>
    <w:p w14:paraId="18C93FB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62: 20241204 OP-71</w:t>
      </w:r>
    </w:p>
    <w:p w14:paraId="7B9F536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63: 20241204 OP-49</w:t>
      </w:r>
    </w:p>
    <w:p w14:paraId="2A4EBE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lastRenderedPageBreak/>
        <w:t>Quirófano 64: 20241204 OP-171</w:t>
      </w:r>
    </w:p>
    <w:p w14:paraId="29DBF95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65: 20241204 OP-53</w:t>
      </w:r>
    </w:p>
    <w:p w14:paraId="76F860C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66: 20241204 OP-81</w:t>
      </w:r>
    </w:p>
    <w:p w14:paraId="31A6AA8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67: 20241204 OP-14</w:t>
      </w:r>
    </w:p>
    <w:p w14:paraId="61E817D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68: 20241204 OP-10</w:t>
      </w:r>
    </w:p>
    <w:p w14:paraId="1FE6778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69: 20241204 OP-174</w:t>
      </w:r>
    </w:p>
    <w:p w14:paraId="6785592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70: 20241204 OP-52</w:t>
      </w:r>
    </w:p>
    <w:p w14:paraId="01B918F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71: 20241204 OP-136</w:t>
      </w:r>
    </w:p>
    <w:p w14:paraId="34FF644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72: 20241204 OP-56</w:t>
      </w:r>
    </w:p>
    <w:p w14:paraId="44B668C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73: 20241204 OP-6</w:t>
      </w:r>
    </w:p>
    <w:p w14:paraId="24DFB17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74: 20241204 OP-16</w:t>
      </w:r>
    </w:p>
    <w:p w14:paraId="34A78A5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75: 20241204 OP-175</w:t>
      </w:r>
    </w:p>
    <w:p w14:paraId="1A72948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76: 20241204 OP-31</w:t>
      </w:r>
    </w:p>
    <w:p w14:paraId="38B8DAF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77: 20241204 OP-51</w:t>
      </w:r>
    </w:p>
    <w:p w14:paraId="26B5A42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78: 20241204 OP-153</w:t>
      </w:r>
    </w:p>
    <w:p w14:paraId="2167454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79: 20241204 OP-3</w:t>
      </w:r>
    </w:p>
    <w:p w14:paraId="11D8CDB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80: 20241204 OP-33</w:t>
      </w:r>
    </w:p>
    <w:p w14:paraId="4557DB8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81: 20241204 OP-144</w:t>
      </w:r>
    </w:p>
    <w:p w14:paraId="568E079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82: 20241204 OP-119</w:t>
      </w:r>
    </w:p>
    <w:p w14:paraId="21C6DAA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83: 20241204 OP-173</w:t>
      </w:r>
    </w:p>
    <w:p w14:paraId="64BE9FC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84: 20241204 OP-98</w:t>
      </w:r>
    </w:p>
    <w:p w14:paraId="0004FCE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85: 20241204 OP-100</w:t>
      </w:r>
    </w:p>
    <w:p w14:paraId="5A66C85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86: 20241204 OP-137</w:t>
      </w:r>
    </w:p>
    <w:p w14:paraId="342081B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87: 20241204 OP-17</w:t>
      </w:r>
    </w:p>
    <w:p w14:paraId="5E1CC4C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88: 20241204 OP-19</w:t>
      </w:r>
    </w:p>
    <w:p w14:paraId="10B535A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89: 20241204 OP-84</w:t>
      </w:r>
    </w:p>
    <w:p w14:paraId="12D8D03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90: 20241204 OP-48</w:t>
      </w:r>
    </w:p>
    <w:p w14:paraId="22B99C5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91: 20241204 OP-45</w:t>
      </w:r>
    </w:p>
    <w:p w14:paraId="45AE6EF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92: 20241204 OP-29</w:t>
      </w:r>
    </w:p>
    <w:p w14:paraId="4FE40BF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93: 20241204 OP-62</w:t>
      </w:r>
    </w:p>
    <w:p w14:paraId="6FF41683" w14:textId="77777777" w:rsidR="00D00159" w:rsidRPr="00D00159" w:rsidRDefault="00D00159" w:rsidP="00D00159">
      <w:pPr>
        <w:pStyle w:val="Prrafodelista"/>
        <w:numPr>
          <w:ilvl w:val="0"/>
          <w:numId w:val="12"/>
        </w:numPr>
        <w:spacing w:before="24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94: 20241204 OP-93</w:t>
      </w:r>
    </w:p>
    <w:p w14:paraId="7F71854C" w14:textId="02108BB7" w:rsidR="003E7538" w:rsidRPr="003E7538" w:rsidRDefault="003E7538" w:rsidP="00D00159">
      <w:pPr>
        <w:spacing w:before="240" w:line="240" w:lineRule="auto"/>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Este resultado confirma la efectividad del enfoque, maximizando la eficiencia del bloque quirúrgico y garantizando que todas las operaciones sean cubiertas dentro de las restricciones y requisitos definidos.</w:t>
      </w:r>
    </w:p>
    <w:p w14:paraId="72CBEBC9" w14:textId="70487F4C" w:rsidR="00085B74" w:rsidRPr="00624F60" w:rsidRDefault="00085B74" w:rsidP="003E7538">
      <w:pPr>
        <w:pStyle w:val="NormalWeb"/>
        <w:spacing w:before="240" w:beforeAutospacing="0" w:after="240" w:afterAutospacing="0"/>
        <w:jc w:val="both"/>
      </w:pPr>
      <w:bookmarkStart w:id="0" w:name="_GoBack"/>
      <w:bookmarkEnd w:id="0"/>
    </w:p>
    <w:sectPr w:rsidR="00085B74" w:rsidRPr="00624F60" w:rsidSect="00F41C52">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E4667" w14:textId="77777777" w:rsidR="007B0BA8" w:rsidRDefault="007B0BA8" w:rsidP="00AA559B">
      <w:pPr>
        <w:spacing w:after="0" w:line="240" w:lineRule="auto"/>
      </w:pPr>
      <w:r>
        <w:separator/>
      </w:r>
    </w:p>
  </w:endnote>
  <w:endnote w:type="continuationSeparator" w:id="0">
    <w:p w14:paraId="27C470CC" w14:textId="77777777" w:rsidR="007B0BA8" w:rsidRDefault="007B0BA8"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47954"/>
      <w:docPartObj>
        <w:docPartGallery w:val="Page Numbers (Bottom of Page)"/>
        <w:docPartUnique/>
      </w:docPartObj>
    </w:sdtPr>
    <w:sdtEndPr/>
    <w:sdtContent>
      <w:p w14:paraId="02B7CF9C" w14:textId="3C36F055" w:rsidR="007B6FDF" w:rsidRDefault="007B6FDF">
        <w:pPr>
          <w:pStyle w:val="Piedepgina"/>
          <w:jc w:val="right"/>
        </w:pPr>
        <w:r>
          <w:fldChar w:fldCharType="begin"/>
        </w:r>
        <w:r>
          <w:instrText>PAGE   \* MERGEFORMAT</w:instrText>
        </w:r>
        <w:r>
          <w:fldChar w:fldCharType="separate"/>
        </w:r>
        <w:r w:rsidR="00D00159">
          <w:rPr>
            <w:noProof/>
          </w:rPr>
          <w:t>2</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657F9" w14:textId="77777777" w:rsidR="007B0BA8" w:rsidRDefault="007B0BA8" w:rsidP="00AA559B">
      <w:pPr>
        <w:spacing w:after="0" w:line="240" w:lineRule="auto"/>
      </w:pPr>
      <w:r>
        <w:separator/>
      </w:r>
    </w:p>
  </w:footnote>
  <w:footnote w:type="continuationSeparator" w:id="0">
    <w:p w14:paraId="334828DA" w14:textId="77777777" w:rsidR="007B0BA8" w:rsidRDefault="007B0BA8" w:rsidP="00AA5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9636D7"/>
    <w:multiLevelType w:val="hybridMultilevel"/>
    <w:tmpl w:val="3D02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nsid w:val="7EE01E3F"/>
    <w:multiLevelType w:val="hybridMultilevel"/>
    <w:tmpl w:val="9F98F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9"/>
  </w:num>
  <w:num w:numId="5">
    <w:abstractNumId w:val="2"/>
  </w:num>
  <w:num w:numId="6">
    <w:abstractNumId w:val="0"/>
  </w:num>
  <w:num w:numId="7">
    <w:abstractNumId w:val="4"/>
  </w:num>
  <w:num w:numId="8">
    <w:abstractNumId w:val="1"/>
  </w:num>
  <w:num w:numId="9">
    <w:abstractNumId w:val="7"/>
  </w:num>
  <w:num w:numId="10">
    <w:abstractNumId w:val="3"/>
  </w:num>
  <w:num w:numId="11">
    <w:abstractNumId w:val="5"/>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85B74"/>
    <w:rsid w:val="00093D6D"/>
    <w:rsid w:val="00095970"/>
    <w:rsid w:val="00097276"/>
    <w:rsid w:val="000A3878"/>
    <w:rsid w:val="000A6509"/>
    <w:rsid w:val="000A708F"/>
    <w:rsid w:val="000B6652"/>
    <w:rsid w:val="000C6F27"/>
    <w:rsid w:val="000F0F67"/>
    <w:rsid w:val="00107315"/>
    <w:rsid w:val="00141172"/>
    <w:rsid w:val="001460C8"/>
    <w:rsid w:val="0014613B"/>
    <w:rsid w:val="00171439"/>
    <w:rsid w:val="00176494"/>
    <w:rsid w:val="00187A27"/>
    <w:rsid w:val="00197E6C"/>
    <w:rsid w:val="001D0418"/>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C41D4"/>
    <w:rsid w:val="003E7538"/>
    <w:rsid w:val="003F7CCB"/>
    <w:rsid w:val="0040738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7519"/>
    <w:rsid w:val="005344BE"/>
    <w:rsid w:val="00535979"/>
    <w:rsid w:val="0055107E"/>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91DEE"/>
    <w:rsid w:val="006A1D73"/>
    <w:rsid w:val="006B493E"/>
    <w:rsid w:val="006D10BB"/>
    <w:rsid w:val="006D461C"/>
    <w:rsid w:val="006D74BA"/>
    <w:rsid w:val="006E153F"/>
    <w:rsid w:val="006E2936"/>
    <w:rsid w:val="006E4660"/>
    <w:rsid w:val="006F411F"/>
    <w:rsid w:val="00700387"/>
    <w:rsid w:val="0070428A"/>
    <w:rsid w:val="00711255"/>
    <w:rsid w:val="0074567A"/>
    <w:rsid w:val="0077606D"/>
    <w:rsid w:val="0078006C"/>
    <w:rsid w:val="00781D3E"/>
    <w:rsid w:val="00790596"/>
    <w:rsid w:val="007B0BA8"/>
    <w:rsid w:val="007B2F03"/>
    <w:rsid w:val="007B5352"/>
    <w:rsid w:val="007B6FDF"/>
    <w:rsid w:val="007D3521"/>
    <w:rsid w:val="00806743"/>
    <w:rsid w:val="00812BD0"/>
    <w:rsid w:val="00815F25"/>
    <w:rsid w:val="00830D58"/>
    <w:rsid w:val="00834644"/>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E711E"/>
    <w:rsid w:val="009F57D4"/>
    <w:rsid w:val="009F7389"/>
    <w:rsid w:val="00A204B5"/>
    <w:rsid w:val="00A20E33"/>
    <w:rsid w:val="00A54C55"/>
    <w:rsid w:val="00A70F84"/>
    <w:rsid w:val="00A73AC9"/>
    <w:rsid w:val="00A74725"/>
    <w:rsid w:val="00A81B90"/>
    <w:rsid w:val="00A94AD4"/>
    <w:rsid w:val="00AA559B"/>
    <w:rsid w:val="00AA5877"/>
    <w:rsid w:val="00AB7840"/>
    <w:rsid w:val="00AD1B24"/>
    <w:rsid w:val="00B0010C"/>
    <w:rsid w:val="00B151DC"/>
    <w:rsid w:val="00B178AA"/>
    <w:rsid w:val="00B21952"/>
    <w:rsid w:val="00B31C31"/>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CB0783"/>
    <w:rsid w:val="00D00159"/>
    <w:rsid w:val="00D070E5"/>
    <w:rsid w:val="00D264B3"/>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Epgrafe">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Epgrafe">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0607">
      <w:bodyDiv w:val="1"/>
      <w:marLeft w:val="0"/>
      <w:marRight w:val="0"/>
      <w:marTop w:val="0"/>
      <w:marBottom w:val="0"/>
      <w:divBdr>
        <w:top w:val="none" w:sz="0" w:space="0" w:color="auto"/>
        <w:left w:val="none" w:sz="0" w:space="0" w:color="auto"/>
        <w:bottom w:val="none" w:sz="0" w:space="0" w:color="auto"/>
        <w:right w:val="none" w:sz="0" w:space="0" w:color="auto"/>
      </w:divBdr>
    </w:div>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437723217">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03314539">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135373121">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DF593-2186-4717-BA83-968AA1D3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User</cp:lastModifiedBy>
  <cp:revision>13</cp:revision>
  <cp:lastPrinted>2012-12-17T20:58:00Z</cp:lastPrinted>
  <dcterms:created xsi:type="dcterms:W3CDTF">2024-11-12T13:38:00Z</dcterms:created>
  <dcterms:modified xsi:type="dcterms:W3CDTF">2024-12-05T08:53:00Z</dcterms:modified>
</cp:coreProperties>
</file>