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</w:pPr>
      <w:r>
        <w:rPr>
          <w:rStyle w:val="4"/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X-Frame-Options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DENY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：不允许被任何页面嵌入；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SAMEORIGIN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：不允许被本域以外的页面嵌入；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ALLOW-FROM uri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：不允许被指定的域名以外的页面嵌入（Chrome现阶段不支持）；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X-XSS-Protection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：禁用XSS保护；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：启用XSS保护；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1; mode=block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：启用XSS保护，并在检查到XSS攻击时，停止渲染页面（例如IE8中，检查到攻击时，整个页面会被一个#替换）；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X-Content-Type-Options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互联网上的资源有各种类型，通常浏览器会根据响应头的Content-Type字段来分辨它们的类型。例如：”text/html”代表html文档，”image/png”是PNG图片，”text/css”是CSS样式文档。然而，有些资源的Content-Type是错的或者未定义。这时，某些浏览器会启用MIME-sniffing来猜测该资源的类型，解析内容并执行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例如，我们即使给一个html文档指定Content-Type为”text/plain”，在IE8-中这个文档依然会被当做html来解析。利用浏览器的这个特性，攻击者甚至可以让原本应该解析为图片的请求被解析为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"http://lib.csdn.net/base/javascript" \o "JavaScript知识库" \t "http://blog.csdn.net/beckham1984/article/details/_blank"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JavaScript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nosniff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: 禁用浏览器的类型猜测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X-Content-Security-Policy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"http://www.w3.org/TR/CSP/"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t>Content Security Policy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，简称CSP。顾名思义，这个规范与内容安全有关，主要是用来定义页面可以加载哪些资源，减少XSS的发生。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指令示例：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tbl>
      <w:tblPr>
        <w:tblW w:w="14219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5"/>
        <w:gridCol w:w="1846"/>
        <w:gridCol w:w="10958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1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指令</w:t>
            </w:r>
          </w:p>
        </w:tc>
        <w:tc>
          <w:tcPr>
            <w:tcW w:w="18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指令值示例</w:t>
            </w:r>
          </w:p>
        </w:tc>
        <w:tc>
          <w:tcPr>
            <w:tcW w:w="109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default-src</w:t>
            </w:r>
          </w:p>
        </w:tc>
        <w:tc>
          <w:tcPr>
            <w:tcW w:w="18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‘self’ cnd.a.com</w:t>
            </w:r>
          </w:p>
        </w:tc>
        <w:tc>
          <w:tcPr>
            <w:tcW w:w="109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定义针对所有类型（js、image、css、web font，ajax请求，iframe，多媒体等）资源的默认加载策略，某类型资源如果没有单独定义策略，就使用默认的。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script-src</w:t>
            </w:r>
          </w:p>
        </w:tc>
        <w:tc>
          <w:tcPr>
            <w:tcW w:w="18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‘self’ js.a.com</w:t>
            </w:r>
          </w:p>
        </w:tc>
        <w:tc>
          <w:tcPr>
            <w:tcW w:w="109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定义针对JavaScript的加载策略。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style-src</w:t>
            </w:r>
          </w:p>
        </w:tc>
        <w:tc>
          <w:tcPr>
            <w:tcW w:w="18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‘self’ css.a.com</w:t>
            </w:r>
          </w:p>
        </w:tc>
        <w:tc>
          <w:tcPr>
            <w:tcW w:w="109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定义针对样式的加载策略。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img-src</w:t>
            </w:r>
          </w:p>
        </w:tc>
        <w:tc>
          <w:tcPr>
            <w:tcW w:w="18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‘self’ img.a.com</w:t>
            </w:r>
          </w:p>
        </w:tc>
        <w:tc>
          <w:tcPr>
            <w:tcW w:w="109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定义针对图片的加载策略。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connect-src</w:t>
            </w:r>
          </w:p>
        </w:tc>
        <w:tc>
          <w:tcPr>
            <w:tcW w:w="18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‘self’</w:t>
            </w:r>
          </w:p>
        </w:tc>
        <w:tc>
          <w:tcPr>
            <w:tcW w:w="109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针对Ajax、WebSocket等请求的加载策略。不允许的情况下，浏览器会模拟一个状态为400的响应。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font-src</w:t>
            </w:r>
          </w:p>
        </w:tc>
        <w:tc>
          <w:tcPr>
            <w:tcW w:w="18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font.a.com</w:t>
            </w:r>
          </w:p>
        </w:tc>
        <w:tc>
          <w:tcPr>
            <w:tcW w:w="109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针对Web Font的加载策略。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object-src</w:t>
            </w:r>
          </w:p>
        </w:tc>
        <w:tc>
          <w:tcPr>
            <w:tcW w:w="18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‘self’</w:t>
            </w:r>
          </w:p>
        </w:tc>
        <w:tc>
          <w:tcPr>
            <w:tcW w:w="109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针对</w:t>
            </w:r>
            <w:r>
              <w:rPr>
                <w:rStyle w:val="6"/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&lt;object&gt;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、</w:t>
            </w:r>
            <w:r>
              <w:rPr>
                <w:rStyle w:val="6"/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&lt;embed&gt;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或</w:t>
            </w:r>
            <w:r>
              <w:rPr>
                <w:rStyle w:val="6"/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&lt;applet&gt;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等标签引入的flash等插件的加载策略。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media-src</w:t>
            </w:r>
          </w:p>
        </w:tc>
        <w:tc>
          <w:tcPr>
            <w:tcW w:w="18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media.a.com</w:t>
            </w:r>
          </w:p>
        </w:tc>
        <w:tc>
          <w:tcPr>
            <w:tcW w:w="109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针对</w:t>
            </w:r>
            <w:r>
              <w:rPr>
                <w:rStyle w:val="6"/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audio&gt;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或</w:t>
            </w:r>
            <w:r>
              <w:rPr>
                <w:rStyle w:val="6"/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&lt;video&gt;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等标签引入的html多媒体的加载策略。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frame-src</w:t>
            </w:r>
          </w:p>
        </w:tc>
        <w:tc>
          <w:tcPr>
            <w:tcW w:w="18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‘self’</w:t>
            </w:r>
          </w:p>
        </w:tc>
        <w:tc>
          <w:tcPr>
            <w:tcW w:w="109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针对frame的加载策略。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sandbox</w:t>
            </w:r>
          </w:p>
        </w:tc>
        <w:tc>
          <w:tcPr>
            <w:tcW w:w="18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allow-forms</w:t>
            </w:r>
          </w:p>
        </w:tc>
        <w:tc>
          <w:tcPr>
            <w:tcW w:w="109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对请求的资源启用sandbox（类似于iframe的sandbox属性）。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report-uri</w:t>
            </w:r>
          </w:p>
        </w:tc>
        <w:tc>
          <w:tcPr>
            <w:tcW w:w="18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/report-uri</w:t>
            </w:r>
          </w:p>
        </w:tc>
        <w:tc>
          <w:tcPr>
            <w:tcW w:w="109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告诉浏览器如果请求的资源不被策略允许时，往哪个地址提交日志信息。 特别的：如果想让浏览器只汇报日志，不阻止任何内容，可以改用Content-Security-Policy-Report-Only头。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指令值示例：</w:t>
      </w:r>
    </w:p>
    <w:tbl>
      <w:tblPr>
        <w:tblW w:w="14219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0"/>
        <w:gridCol w:w="3186"/>
        <w:gridCol w:w="8943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9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指令</w:t>
            </w:r>
          </w:p>
        </w:tc>
        <w:tc>
          <w:tcPr>
            <w:tcW w:w="318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指令示例</w:t>
            </w:r>
          </w:p>
        </w:tc>
        <w:tc>
          <w:tcPr>
            <w:tcW w:w="8943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</w:p>
        </w:tc>
        <w:tc>
          <w:tcPr>
            <w:tcW w:w="318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img-src</w:t>
            </w:r>
          </w:p>
        </w:tc>
        <w:tc>
          <w:tcPr>
            <w:tcW w:w="8943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允许任何内容。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‘none’</w:t>
            </w:r>
          </w:p>
        </w:tc>
        <w:tc>
          <w:tcPr>
            <w:tcW w:w="318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img-src ‘none’</w:t>
            </w:r>
          </w:p>
        </w:tc>
        <w:tc>
          <w:tcPr>
            <w:tcW w:w="8943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不允许任何内容。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‘self’</w:t>
            </w:r>
          </w:p>
        </w:tc>
        <w:tc>
          <w:tcPr>
            <w:tcW w:w="318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img-src ‘self’</w:t>
            </w:r>
          </w:p>
        </w:tc>
        <w:tc>
          <w:tcPr>
            <w:tcW w:w="8943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允许来自相同来源的内容（相同的协议、域名和端口）。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318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img-src data</w:t>
            </w:r>
          </w:p>
        </w:tc>
        <w:tc>
          <w:tcPr>
            <w:tcW w:w="8943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允许data:协议（如base64编码的图片）。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www.a.com</w:t>
            </w:r>
          </w:p>
        </w:tc>
        <w:tc>
          <w:tcPr>
            <w:tcW w:w="318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img-src img.a.com</w:t>
            </w:r>
          </w:p>
        </w:tc>
        <w:tc>
          <w:tcPr>
            <w:tcW w:w="8943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允许加载指定域名的资源。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*.a.com</w:t>
            </w:r>
          </w:p>
        </w:tc>
        <w:tc>
          <w:tcPr>
            <w:tcW w:w="318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img-src *.a.com</w:t>
            </w:r>
          </w:p>
        </w:tc>
        <w:tc>
          <w:tcPr>
            <w:tcW w:w="8943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允许加载a.com任何子域的资源。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C89C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C89C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"https://img.com/"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C89C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b w:val="0"/>
                <w:i w:val="0"/>
                <w:caps w:val="0"/>
                <w:color w:val="0C89CF"/>
                <w:spacing w:val="0"/>
                <w:sz w:val="21"/>
                <w:szCs w:val="21"/>
                <w:u w:val="none"/>
                <w:bdr w:val="none" w:color="auto" w:sz="0" w:space="0"/>
              </w:rPr>
              <w:t>https://img.com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C89C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8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img-src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C89C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C89C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"https://img.com/"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C89C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b w:val="0"/>
                <w:i w:val="0"/>
                <w:caps w:val="0"/>
                <w:color w:val="0C89CF"/>
                <w:spacing w:val="0"/>
                <w:sz w:val="21"/>
                <w:szCs w:val="21"/>
                <w:u w:val="none"/>
                <w:bdr w:val="none" w:color="auto" w:sz="0" w:space="0"/>
              </w:rPr>
              <w:t>https://img.com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C89C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943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允许加载img.com的https资源（协议需匹配）。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https:</w:t>
            </w:r>
          </w:p>
        </w:tc>
        <w:tc>
          <w:tcPr>
            <w:tcW w:w="318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img-src https:</w:t>
            </w:r>
          </w:p>
        </w:tc>
        <w:tc>
          <w:tcPr>
            <w:tcW w:w="8943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允许加载https资源。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‘unsafe-inline’</w:t>
            </w:r>
          </w:p>
        </w:tc>
        <w:tc>
          <w:tcPr>
            <w:tcW w:w="318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script-src ‘unsafe-inline’</w:t>
            </w:r>
          </w:p>
        </w:tc>
        <w:tc>
          <w:tcPr>
            <w:tcW w:w="8943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允许加载inline资源（例如常见的style属性，onclick，inline js和inline css等等）。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‘unsafe-eval’</w:t>
            </w:r>
          </w:p>
        </w:tc>
        <w:tc>
          <w:tcPr>
            <w:tcW w:w="318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script-src ‘unsafe-eval’</w:t>
            </w:r>
          </w:p>
        </w:tc>
        <w:tc>
          <w:tcPr>
            <w:tcW w:w="8943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允许加载动态js代码，例如eval()。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3A893"/>
    <w:multiLevelType w:val="multilevel"/>
    <w:tmpl w:val="5833A8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340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2016-11-22T02:06:23Z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