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552469">
      <w:pPr>
        <w:spacing w:line="20" w:lineRule="atLeast"/>
        <w:jc w:val="right"/>
        <w:rPr>
          <w:rFonts w:asciiTheme="minorHAnsi" w:hAnsiTheme="minorHAnsi"/>
          <w:lang w:val="es-AR"/>
        </w:rPr>
      </w:pPr>
      <w:r w:rsidRPr="0022396E">
        <w:rPr>
          <w:rFonts w:asciiTheme="minorHAnsi" w:hAnsiTheme="minorHAnsi"/>
          <w:noProof/>
          <w:lang w:val="es-AR"/>
        </w:rPr>
        <w:drawing>
          <wp:anchor distT="114300" distB="114300" distL="114300" distR="114300" simplePos="0" relativeHeight="251658752" behindDoc="0" locked="0" layoutInCell="0" hidden="0" allowOverlap="0">
            <wp:simplePos x="0" y="0"/>
            <wp:positionH relativeFrom="margin">
              <wp:posOffset>5067300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552469">
      <w:pPr>
        <w:spacing w:line="20" w:lineRule="atLeast"/>
        <w:rPr>
          <w:rFonts w:asciiTheme="minorHAnsi" w:hAnsiTheme="minorHAnsi"/>
          <w:lang w:val="es-AR"/>
        </w:rPr>
      </w:pPr>
    </w:p>
    <w:p w:rsidR="000C184C" w:rsidRPr="0022396E" w:rsidRDefault="000C184C" w:rsidP="00552469">
      <w:pPr>
        <w:spacing w:line="20" w:lineRule="atLeast"/>
        <w:jc w:val="right"/>
        <w:rPr>
          <w:rFonts w:asciiTheme="minorHAnsi" w:hAnsiTheme="minorHAnsi"/>
          <w:lang w:val="es-AR"/>
        </w:rPr>
      </w:pPr>
    </w:p>
    <w:p w:rsidR="000C184C" w:rsidRPr="0022396E" w:rsidRDefault="00A07C83" w:rsidP="00552469">
      <w:pPr>
        <w:spacing w:line="20" w:lineRule="atLeast"/>
        <w:jc w:val="right"/>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552469">
      <w:pPr>
        <w:spacing w:line="20" w:lineRule="atLeast"/>
        <w:jc w:val="right"/>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552469">
      <w:pPr>
        <w:spacing w:line="20" w:lineRule="atLeast"/>
        <w:jc w:val="right"/>
        <w:rPr>
          <w:rFonts w:asciiTheme="minorHAnsi" w:hAnsiTheme="minorHAnsi"/>
          <w:lang w:val="es-AR"/>
        </w:rPr>
      </w:pPr>
    </w:p>
    <w:p w:rsidR="000C184C" w:rsidRPr="0022396E" w:rsidRDefault="000C184C" w:rsidP="00552469">
      <w:pPr>
        <w:spacing w:line="20" w:lineRule="atLeast"/>
        <w:jc w:val="right"/>
        <w:rPr>
          <w:rFonts w:asciiTheme="minorHAnsi" w:hAnsiTheme="minorHAnsi"/>
          <w:lang w:val="es-AR"/>
        </w:rPr>
      </w:pPr>
    </w:p>
    <w:p w:rsidR="000C184C" w:rsidRPr="0022396E" w:rsidRDefault="000C184C" w:rsidP="00552469">
      <w:pPr>
        <w:spacing w:line="20" w:lineRule="atLeast"/>
        <w:jc w:val="right"/>
        <w:rPr>
          <w:rFonts w:asciiTheme="minorHAnsi" w:hAnsiTheme="minorHAnsi"/>
          <w:lang w:val="es-AR"/>
        </w:rPr>
      </w:pPr>
    </w:p>
    <w:p w:rsidR="000C184C" w:rsidRPr="0022396E" w:rsidRDefault="000C184C" w:rsidP="00552469">
      <w:pPr>
        <w:spacing w:line="20" w:lineRule="atLeast"/>
        <w:jc w:val="right"/>
        <w:rPr>
          <w:rFonts w:asciiTheme="minorHAnsi" w:hAnsiTheme="minorHAnsi"/>
          <w:lang w:val="es-AR"/>
        </w:rPr>
      </w:pPr>
    </w:p>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552469">
      <w:pPr>
        <w:spacing w:line="20" w:lineRule="atLeast"/>
        <w:rPr>
          <w:rFonts w:asciiTheme="minorHAnsi" w:hAnsiTheme="minorHAnsi"/>
          <w:lang w:val="es-AR"/>
        </w:rPr>
      </w:pP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552469">
      <w:pPr>
        <w:spacing w:line="20" w:lineRule="atLeast"/>
        <w:rPr>
          <w:rFonts w:asciiTheme="minorHAnsi" w:hAnsiTheme="minorHAnsi"/>
          <w:lang w:val="es-AR"/>
        </w:rPr>
      </w:pP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Bettini</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Apud</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Ureta</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552469">
      <w:pPr>
        <w:spacing w:line="20" w:lineRule="atLeast"/>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maine.parnisari@gmail.com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552469">
            <w:pPr>
              <w:spacing w:line="20" w:lineRule="atLeast"/>
              <w:jc w:val="center"/>
              <w:rPr>
                <w:rFonts w:asciiTheme="minorHAnsi" w:hAnsiTheme="minorHAnsi"/>
                <w:lang w:val="es-AR"/>
              </w:rPr>
            </w:pPr>
            <w:r w:rsidRPr="0022396E">
              <w:rPr>
                <w:rFonts w:asciiTheme="minorHAnsi" w:hAnsiTheme="minorHAnsi"/>
                <w:lang w:val="es-AR"/>
              </w:rPr>
              <w:t>75.17</w:t>
            </w:r>
          </w:p>
        </w:tc>
      </w:tr>
    </w:tbl>
    <w:p w:rsidR="000C184C" w:rsidRPr="0022396E" w:rsidRDefault="000C184C" w:rsidP="00552469">
      <w:pPr>
        <w:spacing w:line="20" w:lineRule="atLeast"/>
        <w:rPr>
          <w:rFonts w:asciiTheme="minorHAnsi" w:hAnsiTheme="minorHAnsi"/>
          <w:lang w:val="es-AR"/>
        </w:rPr>
      </w:pPr>
    </w:p>
    <w:p w:rsidR="000C184C" w:rsidRPr="0022396E" w:rsidRDefault="000C184C" w:rsidP="00552469">
      <w:pPr>
        <w:spacing w:line="20" w:lineRule="atLeast"/>
        <w:rPr>
          <w:rFonts w:asciiTheme="minorHAnsi" w:hAnsiTheme="minorHAnsi"/>
          <w:lang w:val="es-AR"/>
        </w:rPr>
      </w:pPr>
    </w:p>
    <w:p w:rsidR="002D5E29" w:rsidRPr="0022396E" w:rsidRDefault="002D5E29">
      <w:pPr>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552469">
      <w:pPr>
        <w:spacing w:line="20" w:lineRule="atLeast"/>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hAnsiTheme="minorHAnsi"/>
        </w:rPr>
        <w:id w:val="-706806462"/>
        <w:docPartObj>
          <w:docPartGallery w:val="Table of Contents"/>
          <w:docPartUnique/>
        </w:docPartObj>
      </w:sdtPr>
      <w:sdtEndPr>
        <w:rPr>
          <w:rFonts w:eastAsia="Arial" w:cs="Arial"/>
          <w:b/>
          <w:bCs/>
          <w:noProof/>
          <w:color w:val="000000"/>
          <w:sz w:val="22"/>
          <w:szCs w:val="20"/>
        </w:rPr>
      </w:sdtEndPr>
      <w:sdtContent>
        <w:p w:rsidR="002D5E29" w:rsidRPr="0022396E" w:rsidRDefault="002D5E29">
          <w:pPr>
            <w:pStyle w:val="TOCHeading"/>
            <w:rPr>
              <w:rFonts w:asciiTheme="minorHAnsi" w:hAnsiTheme="minorHAnsi"/>
            </w:rPr>
          </w:pPr>
        </w:p>
        <w:p w:rsidR="002D5E29" w:rsidRPr="0022396E" w:rsidRDefault="002D5E29">
          <w:pPr>
            <w:pStyle w:val="TOC1"/>
            <w:tabs>
              <w:tab w:val="right" w:leader="dot" w:pos="9650"/>
            </w:tabs>
            <w:rPr>
              <w:rFonts w:asciiTheme="minorHAnsi" w:hAnsiTheme="minorHAnsi"/>
              <w:noProof/>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hyperlink w:anchor="_Toc403175502" w:history="1">
            <w:r w:rsidRPr="0022396E">
              <w:rPr>
                <w:rStyle w:val="Hyperlink"/>
                <w:rFonts w:asciiTheme="minorHAnsi" w:hAnsiTheme="minorHAnsi"/>
                <w:b/>
                <w:noProof/>
                <w:lang w:val="es-AR"/>
              </w:rPr>
              <w:t>Enunciado</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_Toc403175502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3</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3" w:history="1">
            <w:r w:rsidRPr="0022396E">
              <w:rPr>
                <w:rStyle w:val="Hyperlink"/>
                <w:rFonts w:asciiTheme="minorHAnsi" w:hAnsiTheme="minorHAnsi"/>
                <w:i/>
                <w:noProof/>
                <w:lang w:val="es-AR"/>
              </w:rPr>
              <w:t>Enunciado particular</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_Toc403175503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3</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4" w:history="1">
            <w:r w:rsidRPr="0022396E">
              <w:rPr>
                <w:rStyle w:val="Hyperlink"/>
                <w:rFonts w:asciiTheme="minorHAnsi" w:hAnsiTheme="minorHAnsi"/>
                <w:i/>
                <w:noProof/>
                <w:lang w:val="es-AR"/>
              </w:rPr>
              <w:t>Enunciado general</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_Toc403175504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3</w:t>
            </w:r>
            <w:r w:rsidRPr="0022396E">
              <w:rPr>
                <w:rFonts w:asciiTheme="minorHAnsi" w:hAnsiTheme="minorHAnsi"/>
                <w:noProof/>
                <w:webHidden/>
              </w:rPr>
              <w:fldChar w:fldCharType="end"/>
            </w:r>
          </w:hyperlink>
        </w:p>
        <w:p w:rsidR="002D5E29" w:rsidRPr="0022396E" w:rsidRDefault="002D5E29">
          <w:pPr>
            <w:pStyle w:val="TOC1"/>
            <w:tabs>
              <w:tab w:val="right" w:leader="dot" w:pos="9650"/>
            </w:tabs>
            <w:rPr>
              <w:rFonts w:asciiTheme="minorHAnsi" w:hAnsiTheme="minorHAnsi"/>
              <w:noProof/>
            </w:rPr>
          </w:pPr>
          <w:hyperlink w:anchor="_Toc403175505" w:history="1">
            <w:r w:rsidRPr="0022396E">
              <w:rPr>
                <w:rStyle w:val="Hyperlink"/>
                <w:rFonts w:asciiTheme="minorHAnsi" w:hAnsiTheme="minorHAnsi"/>
                <w:b/>
                <w:noProof/>
                <w:lang w:val="es-AR"/>
              </w:rPr>
              <w:t>Introducción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_Toc403175505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4</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6" w:history="1">
            <w:r w:rsidRPr="0022396E">
              <w:rPr>
                <w:rStyle w:val="Hyperlink"/>
                <w:rFonts w:asciiTheme="minorHAnsi" w:hAnsiTheme="minorHAnsi"/>
                <w:i/>
                <w:noProof/>
                <w:lang w:val="es-AR"/>
              </w:rPr>
              <w:t>El activo más valioso de las organizaciones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_Toc403175506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4</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7" w:history="1">
            <w:r w:rsidRPr="0022396E">
              <w:rPr>
                <w:rStyle w:val="Hyperlink"/>
                <w:rFonts w:asciiTheme="minorHAnsi" w:hAnsiTheme="minorHAnsi"/>
                <w:i/>
                <w:noProof/>
                <w:lang w:val="es-AR"/>
              </w:rPr>
              <w:t>La fuga de información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_Toc403175507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4</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8" w:history="1">
            <w:r w:rsidRPr="0022396E">
              <w:rPr>
                <w:rStyle w:val="Hyperlink"/>
                <w:rFonts w:asciiTheme="minorHAnsi" w:hAnsiTheme="minorHAnsi"/>
                <w:i/>
                <w:noProof/>
                <w:lang w:val="es-AR"/>
              </w:rPr>
              <w:t>Cómo deshacerse de forma segura de información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_Toc403175508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5</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09" w:history="1">
            <w:r w:rsidRPr="0022396E">
              <w:rPr>
                <w:rStyle w:val="Hyperlink"/>
                <w:rFonts w:asciiTheme="minorHAnsi" w:hAnsiTheme="minorHAnsi"/>
                <w:i/>
                <w:noProof/>
                <w:lang w:val="es-AR"/>
              </w:rPr>
              <w:t>Riesgos existentes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_Toc403175509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6</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10" w:history="1">
            <w:r w:rsidRPr="0022396E">
              <w:rPr>
                <w:rStyle w:val="Hyperlink"/>
                <w:rFonts w:asciiTheme="minorHAnsi" w:hAnsiTheme="minorHAnsi"/>
                <w:i/>
                <w:noProof/>
                <w:lang w:val="es-AR"/>
              </w:rPr>
              <w:t>Tipos de controles para mitigar riesgos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_Toc403175510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6</w:t>
            </w:r>
            <w:r w:rsidRPr="0022396E">
              <w:rPr>
                <w:rFonts w:asciiTheme="minorHAnsi" w:hAnsiTheme="minorHAnsi"/>
                <w:noProof/>
                <w:webHidden/>
              </w:rPr>
              <w:fldChar w:fldCharType="end"/>
            </w:r>
          </w:hyperlink>
        </w:p>
        <w:p w:rsidR="002D5E29" w:rsidRPr="0022396E" w:rsidRDefault="002D5E29">
          <w:pPr>
            <w:pStyle w:val="TOC1"/>
            <w:tabs>
              <w:tab w:val="right" w:leader="dot" w:pos="9650"/>
            </w:tabs>
            <w:rPr>
              <w:rFonts w:asciiTheme="minorHAnsi" w:hAnsiTheme="minorHAnsi"/>
              <w:noProof/>
            </w:rPr>
          </w:pPr>
          <w:hyperlink w:anchor="_Toc403175511" w:history="1">
            <w:r w:rsidRPr="0022396E">
              <w:rPr>
                <w:rStyle w:val="Hyperlink"/>
                <w:rFonts w:asciiTheme="minorHAnsi" w:hAnsiTheme="minorHAnsi"/>
                <w:b/>
                <w:noProof/>
                <w:lang w:val="es-AR"/>
              </w:rPr>
              <w:t>Siglo XIX</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_Toc403175511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6</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12" w:history="1">
            <w:r w:rsidRPr="0022396E">
              <w:rPr>
                <w:rStyle w:val="Hyperlink"/>
                <w:rFonts w:asciiTheme="minorHAnsi" w:hAnsiTheme="minorHAnsi"/>
                <w:i/>
                <w:noProof/>
                <w:lang w:val="es-AR"/>
              </w:rPr>
              <w:t>Introducción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_Toc403175512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6</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13" w:history="1">
            <w:r w:rsidRPr="0022396E">
              <w:rPr>
                <w:rStyle w:val="Hyperlink"/>
                <w:rFonts w:asciiTheme="minorHAnsi" w:hAnsiTheme="minorHAnsi"/>
                <w:i/>
                <w:noProof/>
                <w:lang w:val="es-AR"/>
              </w:rPr>
              <w:t>Mecanismos de defensa</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_Toc403175513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9</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14" w:history="1">
            <w:r w:rsidRPr="0022396E">
              <w:rPr>
                <w:rStyle w:val="Hyperlink"/>
                <w:rFonts w:asciiTheme="minorHAnsi" w:hAnsiTheme="minorHAnsi"/>
                <w:noProof/>
                <w:lang w:val="es-AR"/>
              </w:rPr>
              <w:t>Esteganografía</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_Toc403175514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9</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15" w:history="1">
            <w:r w:rsidRPr="0022396E">
              <w:rPr>
                <w:rStyle w:val="Hyperlink"/>
                <w:rFonts w:asciiTheme="minorHAnsi" w:hAnsiTheme="minorHAnsi"/>
                <w:noProof/>
                <w:lang w:val="es-AR"/>
              </w:rPr>
              <w:t>Criptografía</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_Toc403175515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9</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16" w:history="1">
            <w:r w:rsidRPr="0022396E">
              <w:rPr>
                <w:rStyle w:val="Hyperlink"/>
                <w:rFonts w:asciiTheme="minorHAnsi" w:hAnsiTheme="minorHAnsi"/>
                <w:noProof/>
                <w:lang w:val="es-AR"/>
              </w:rPr>
              <w:t>Patentes de Invención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_Toc403175516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10</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17" w:history="1">
            <w:r w:rsidRPr="0022396E">
              <w:rPr>
                <w:rStyle w:val="Hyperlink"/>
                <w:rFonts w:asciiTheme="minorHAnsi" w:hAnsiTheme="minorHAnsi"/>
                <w:noProof/>
                <w:lang w:val="es-AR"/>
              </w:rPr>
              <w:t>Caja de seguridad</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_Toc403175517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11</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18" w:history="1">
            <w:r w:rsidRPr="0022396E">
              <w:rPr>
                <w:rStyle w:val="Hyperlink"/>
                <w:rFonts w:asciiTheme="minorHAnsi" w:hAnsiTheme="minorHAnsi"/>
                <w:i/>
                <w:noProof/>
                <w:lang w:val="es-AR"/>
              </w:rPr>
              <w:t>Riesgos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_Toc403175518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11</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19" w:history="1">
            <w:r w:rsidRPr="0022396E">
              <w:rPr>
                <w:rStyle w:val="Hyperlink"/>
                <w:rFonts w:asciiTheme="minorHAnsi" w:hAnsiTheme="minorHAnsi"/>
                <w:i/>
                <w:noProof/>
                <w:lang w:val="es-AR"/>
              </w:rPr>
              <w:t>Casos reales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_Toc403175519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13</w:t>
            </w:r>
            <w:r w:rsidRPr="0022396E">
              <w:rPr>
                <w:rFonts w:asciiTheme="minorHAnsi" w:hAnsiTheme="minorHAnsi"/>
                <w:noProof/>
                <w:webHidden/>
              </w:rPr>
              <w:fldChar w:fldCharType="end"/>
            </w:r>
          </w:hyperlink>
        </w:p>
        <w:p w:rsidR="002D5E29" w:rsidRPr="0022396E" w:rsidRDefault="002D5E29">
          <w:pPr>
            <w:pStyle w:val="TOC1"/>
            <w:tabs>
              <w:tab w:val="right" w:leader="dot" w:pos="9650"/>
            </w:tabs>
            <w:rPr>
              <w:rFonts w:asciiTheme="minorHAnsi" w:hAnsiTheme="minorHAnsi"/>
              <w:noProof/>
            </w:rPr>
          </w:pPr>
          <w:hyperlink w:anchor="_Toc403175520" w:history="1">
            <w:r w:rsidRPr="0022396E">
              <w:rPr>
                <w:rStyle w:val="Hyperlink"/>
                <w:rFonts w:asciiTheme="minorHAnsi" w:hAnsiTheme="minorHAnsi"/>
                <w:b/>
                <w:noProof/>
                <w:lang w:val="es-AR"/>
              </w:rPr>
              <w:t>Siglo XXI</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_Toc403175520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17</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21" w:history="1">
            <w:r w:rsidRPr="0022396E">
              <w:rPr>
                <w:rStyle w:val="Hyperlink"/>
                <w:rFonts w:asciiTheme="minorHAnsi" w:hAnsiTheme="minorHAnsi"/>
                <w:i/>
                <w:noProof/>
                <w:lang w:val="es-AR"/>
              </w:rPr>
              <w:t>Introducción</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_Toc403175521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17</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22" w:history="1">
            <w:r w:rsidRPr="0022396E">
              <w:rPr>
                <w:rStyle w:val="Hyperlink"/>
                <w:rFonts w:asciiTheme="minorHAnsi" w:hAnsiTheme="minorHAnsi"/>
                <w:i/>
                <w:noProof/>
                <w:lang w:val="es-AR"/>
              </w:rPr>
              <w:t>Mecanismos de defensa</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_Toc403175522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18</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23" w:history="1">
            <w:r w:rsidRPr="0022396E">
              <w:rPr>
                <w:rStyle w:val="Hyperlink"/>
                <w:rFonts w:asciiTheme="minorHAnsi" w:hAnsiTheme="minorHAnsi"/>
                <w:noProof/>
                <w:lang w:val="es-AR"/>
              </w:rPr>
              <w:t>Controles informáticos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_Toc403175523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18</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24" w:history="1">
            <w:r w:rsidRPr="0022396E">
              <w:rPr>
                <w:rStyle w:val="Hyperlink"/>
                <w:rFonts w:asciiTheme="minorHAnsi" w:hAnsiTheme="minorHAnsi"/>
                <w:noProof/>
                <w:lang w:val="es-AR"/>
              </w:rPr>
              <w:t>Utilización de patentes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_Toc403175524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18</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25" w:history="1">
            <w:r w:rsidRPr="0022396E">
              <w:rPr>
                <w:rStyle w:val="Hyperlink"/>
                <w:rFonts w:asciiTheme="minorHAnsi" w:hAnsiTheme="minorHAnsi"/>
                <w:noProof/>
                <w:lang w:val="es-AR"/>
              </w:rPr>
              <w:t>Utilización de estándares internacionales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_Toc403175525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19</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26" w:history="1">
            <w:r w:rsidRPr="0022396E">
              <w:rPr>
                <w:rStyle w:val="Hyperlink"/>
                <w:rFonts w:asciiTheme="minorHAnsi" w:hAnsiTheme="minorHAnsi"/>
                <w:noProof/>
                <w:lang w:val="es-AR"/>
              </w:rPr>
              <w:t>Auditorías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_Toc403175526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19</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27" w:history="1">
            <w:r w:rsidRPr="0022396E">
              <w:rPr>
                <w:rStyle w:val="Hyperlink"/>
                <w:rFonts w:asciiTheme="minorHAnsi" w:hAnsiTheme="minorHAnsi"/>
                <w:noProof/>
                <w:lang w:val="es-AR"/>
              </w:rPr>
              <w:t xml:space="preserve">Uso de </w:t>
            </w:r>
            <w:r w:rsidRPr="0022396E">
              <w:rPr>
                <w:rStyle w:val="Hyperlink"/>
                <w:rFonts w:asciiTheme="minorHAnsi" w:hAnsiTheme="minorHAnsi"/>
                <w:i/>
                <w:noProof/>
                <w:lang w:val="es-AR"/>
              </w:rPr>
              <w:t xml:space="preserve">code names </w:t>
            </w:r>
            <w:r w:rsidRPr="0022396E">
              <w:rPr>
                <w:rStyle w:val="Hyperlink"/>
                <w:rFonts w:asciiTheme="minorHAnsi" w:hAnsiTheme="minorHAnsi"/>
                <w:noProof/>
                <w:lang w:val="es-AR"/>
              </w:rPr>
              <w:t>para los proyectos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_Toc403175527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20</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28" w:history="1">
            <w:r w:rsidRPr="0022396E">
              <w:rPr>
                <w:rStyle w:val="Hyperlink"/>
                <w:rFonts w:asciiTheme="minorHAnsi" w:hAnsiTheme="minorHAnsi"/>
                <w:i/>
                <w:noProof/>
                <w:lang w:val="es-AR"/>
              </w:rPr>
              <w:t>Riesgos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_Toc403175528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21</w:t>
            </w:r>
            <w:r w:rsidRPr="0022396E">
              <w:rPr>
                <w:rFonts w:asciiTheme="minorHAnsi" w:hAnsiTheme="minorHAnsi"/>
                <w:noProof/>
                <w:webHidden/>
              </w:rPr>
              <w:fldChar w:fldCharType="end"/>
            </w:r>
          </w:hyperlink>
        </w:p>
        <w:p w:rsidR="002D5E29" w:rsidRPr="0022396E" w:rsidRDefault="002D5E29">
          <w:pPr>
            <w:pStyle w:val="TOC2"/>
            <w:tabs>
              <w:tab w:val="right" w:leader="dot" w:pos="9650"/>
            </w:tabs>
            <w:rPr>
              <w:rFonts w:asciiTheme="minorHAnsi" w:hAnsiTheme="minorHAnsi"/>
              <w:noProof/>
            </w:rPr>
          </w:pPr>
          <w:hyperlink w:anchor="_Toc403175529" w:history="1">
            <w:r w:rsidRPr="0022396E">
              <w:rPr>
                <w:rStyle w:val="Hyperlink"/>
                <w:rFonts w:asciiTheme="minorHAnsi" w:hAnsiTheme="minorHAnsi"/>
                <w:i/>
                <w:noProof/>
                <w:lang w:val="es-AR"/>
              </w:rPr>
              <w:t>Casos reales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_Toc403175529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23</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30" w:history="1">
            <w:r w:rsidRPr="0022396E">
              <w:rPr>
                <w:rStyle w:val="Hyperlink"/>
                <w:rFonts w:asciiTheme="minorHAnsi" w:hAnsiTheme="minorHAnsi"/>
                <w:noProof/>
                <w:lang w:val="es-AR"/>
              </w:rPr>
              <w:t>Empresas relacionadas con la salud</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_Toc403175530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23</w:t>
            </w:r>
            <w:r w:rsidRPr="0022396E">
              <w:rPr>
                <w:rFonts w:asciiTheme="minorHAnsi" w:hAnsiTheme="minorHAnsi"/>
                <w:noProof/>
                <w:webHidden/>
              </w:rPr>
              <w:fldChar w:fldCharType="end"/>
            </w:r>
          </w:hyperlink>
        </w:p>
        <w:p w:rsidR="002D5E29" w:rsidRPr="0022396E" w:rsidRDefault="002D5E29">
          <w:pPr>
            <w:pStyle w:val="TOC3"/>
            <w:tabs>
              <w:tab w:val="right" w:leader="dot" w:pos="9650"/>
            </w:tabs>
            <w:rPr>
              <w:rFonts w:asciiTheme="minorHAnsi" w:hAnsiTheme="minorHAnsi"/>
              <w:noProof/>
            </w:rPr>
          </w:pPr>
          <w:hyperlink w:anchor="_Toc403175531" w:history="1">
            <w:r w:rsidRPr="0022396E">
              <w:rPr>
                <w:rStyle w:val="Hyperlink"/>
                <w:rFonts w:asciiTheme="minorHAnsi" w:hAnsiTheme="minorHAnsi"/>
                <w:noProof/>
                <w:lang w:val="es-AR"/>
              </w:rPr>
              <w:t>Empresas tecnológicas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_Toc403175531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23</w:t>
            </w:r>
            <w:r w:rsidRPr="0022396E">
              <w:rPr>
                <w:rFonts w:asciiTheme="minorHAnsi" w:hAnsiTheme="minorHAnsi"/>
                <w:noProof/>
                <w:webHidden/>
              </w:rPr>
              <w:fldChar w:fldCharType="end"/>
            </w:r>
          </w:hyperlink>
        </w:p>
        <w:p w:rsidR="002D5E29" w:rsidRPr="0022396E" w:rsidRDefault="002D5E29">
          <w:pPr>
            <w:pStyle w:val="TOC1"/>
            <w:tabs>
              <w:tab w:val="right" w:leader="dot" w:pos="9650"/>
            </w:tabs>
            <w:rPr>
              <w:rFonts w:asciiTheme="minorHAnsi" w:hAnsiTheme="minorHAnsi"/>
              <w:noProof/>
            </w:rPr>
          </w:pPr>
          <w:hyperlink w:anchor="_Toc403175532" w:history="1">
            <w:r w:rsidRPr="0022396E">
              <w:rPr>
                <w:rStyle w:val="Hyperlink"/>
                <w:rFonts w:asciiTheme="minorHAnsi" w:hAnsiTheme="minorHAnsi"/>
                <w:b/>
                <w:noProof/>
                <w:lang w:val="es-AR"/>
              </w:rPr>
              <w:t>Conclusiones</w:t>
            </w:r>
            <w:r w:rsidRPr="0022396E">
              <w:rPr>
                <w:rFonts w:asciiTheme="minorHAnsi" w:hAnsiTheme="minorHAnsi"/>
                <w:noProof/>
                <w:webHidden/>
              </w:rPr>
              <w:tab/>
            </w:r>
            <w:r w:rsidRPr="0022396E">
              <w:rPr>
                <w:rFonts w:asciiTheme="minorHAnsi" w:hAnsiTheme="minorHAnsi"/>
                <w:noProof/>
                <w:webHidden/>
              </w:rPr>
              <w:fldChar w:fldCharType="begin"/>
            </w:r>
            <w:r w:rsidRPr="0022396E">
              <w:rPr>
                <w:rFonts w:asciiTheme="minorHAnsi" w:hAnsiTheme="minorHAnsi"/>
                <w:noProof/>
                <w:webHidden/>
              </w:rPr>
              <w:instrText xml:space="preserve"> PAGEREF _Toc403175532 \h </w:instrText>
            </w:r>
            <w:r w:rsidRPr="0022396E">
              <w:rPr>
                <w:rFonts w:asciiTheme="minorHAnsi" w:hAnsiTheme="minorHAnsi"/>
                <w:noProof/>
                <w:webHidden/>
              </w:rPr>
            </w:r>
            <w:r w:rsidRPr="0022396E">
              <w:rPr>
                <w:rFonts w:asciiTheme="minorHAnsi" w:hAnsiTheme="minorHAnsi"/>
                <w:noProof/>
                <w:webHidden/>
              </w:rPr>
              <w:fldChar w:fldCharType="separate"/>
            </w:r>
            <w:r w:rsidRPr="0022396E">
              <w:rPr>
                <w:rFonts w:asciiTheme="minorHAnsi" w:hAnsiTheme="minorHAnsi"/>
                <w:noProof/>
                <w:webHidden/>
              </w:rPr>
              <w:t>24</w:t>
            </w:r>
            <w:r w:rsidRPr="0022396E">
              <w:rPr>
                <w:rFonts w:asciiTheme="minorHAnsi" w:hAnsiTheme="minorHAnsi"/>
                <w:noProof/>
                <w:webHidden/>
              </w:rPr>
              <w:fldChar w:fldCharType="end"/>
            </w:r>
          </w:hyperlink>
        </w:p>
        <w:p w:rsidR="002D5E29" w:rsidRPr="0022396E" w:rsidRDefault="002D5E29">
          <w:pPr>
            <w:rPr>
              <w:rFonts w:asciiTheme="minorHAnsi" w:hAnsiTheme="minorHAnsi"/>
            </w:rPr>
          </w:pPr>
          <w:r w:rsidRPr="0022396E">
            <w:rPr>
              <w:rFonts w:asciiTheme="minorHAnsi" w:hAnsiTheme="minorHAnsi"/>
              <w:b/>
              <w:bCs/>
              <w:noProof/>
            </w:rPr>
            <w:lastRenderedPageBreak/>
            <w:fldChar w:fldCharType="end"/>
          </w:r>
        </w:p>
      </w:sdtContent>
    </w:sdt>
    <w:p w:rsidR="002D5E29" w:rsidRPr="0022396E" w:rsidRDefault="002D5E29" w:rsidP="00552469">
      <w:pPr>
        <w:spacing w:line="20" w:lineRule="atLeast"/>
        <w:rPr>
          <w:rFonts w:asciiTheme="minorHAnsi" w:hAnsiTheme="minorHAnsi"/>
          <w:lang w:val="es-AR"/>
        </w:rPr>
      </w:pPr>
    </w:p>
    <w:p w:rsidR="000C184C" w:rsidRPr="0022396E" w:rsidRDefault="00A07C83" w:rsidP="00552469">
      <w:pPr>
        <w:pStyle w:val="Heading1"/>
        <w:spacing w:before="0" w:line="20" w:lineRule="atLeast"/>
        <w:contextualSpacing w:val="0"/>
        <w:rPr>
          <w:rFonts w:asciiTheme="minorHAnsi" w:hAnsiTheme="minorHAnsi"/>
          <w:lang w:val="es-AR"/>
        </w:rPr>
      </w:pPr>
      <w:bookmarkStart w:id="0" w:name="h.bzsm9abn5w76" w:colFirst="0" w:colLast="0"/>
      <w:bookmarkStart w:id="1" w:name="_Toc403175502"/>
      <w:bookmarkEnd w:id="0"/>
      <w:r w:rsidRPr="0022396E">
        <w:rPr>
          <w:rFonts w:asciiTheme="minorHAnsi" w:hAnsiTheme="minorHAnsi"/>
          <w:b/>
          <w:u w:val="single"/>
          <w:lang w:val="es-AR"/>
        </w:rPr>
        <w:t>Enunciado</w:t>
      </w:r>
      <w:bookmarkEnd w:id="1"/>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2" w:name="h.lbcwcyt7bzhd" w:colFirst="0" w:colLast="0"/>
      <w:bookmarkStart w:id="3" w:name="_Toc403175503"/>
      <w:bookmarkEnd w:id="2"/>
      <w:r w:rsidRPr="0022396E">
        <w:rPr>
          <w:rFonts w:asciiTheme="minorHAnsi" w:hAnsiTheme="minorHAnsi"/>
          <w:b w:val="0"/>
          <w:i/>
          <w:sz w:val="28"/>
          <w:u w:val="single"/>
          <w:lang w:val="es-AR"/>
        </w:rPr>
        <w:t>Enunciado particular</w:t>
      </w:r>
      <w:bookmarkEnd w:id="3"/>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Controles efectivos (preventivos y detectivos)</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4" w:name="h.hjwrc1z22h2b" w:colFirst="0" w:colLast="0"/>
      <w:bookmarkStart w:id="5" w:name="_Toc403175504"/>
      <w:bookmarkEnd w:id="4"/>
      <w:r w:rsidRPr="0022396E">
        <w:rPr>
          <w:rFonts w:asciiTheme="minorHAnsi" w:hAnsiTheme="minorHAnsi"/>
          <w:b w:val="0"/>
          <w:i/>
          <w:sz w:val="28"/>
          <w:u w:val="single"/>
          <w:lang w:val="es-AR"/>
        </w:rPr>
        <w:t>Enunciado general</w:t>
      </w:r>
      <w:bookmarkEnd w:id="5"/>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552469">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552469">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552469">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552469">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i/>
          <w:lang w:val="es-AR"/>
        </w:rPr>
        <w:t>De contenido:</w:t>
      </w:r>
      <w:bookmarkStart w:id="6" w:name="_GoBack"/>
      <w:bookmarkEnd w:id="6"/>
    </w:p>
    <w:p w:rsidR="000C184C" w:rsidRPr="0022396E" w:rsidRDefault="00A07C83" w:rsidP="00552469">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552469">
      <w:pPr>
        <w:spacing w:line="20" w:lineRule="atLeast"/>
        <w:ind w:left="720"/>
        <w:jc w:val="both"/>
        <w:rPr>
          <w:rFonts w:asciiTheme="minorHAnsi" w:hAnsiTheme="minorHAnsi"/>
          <w:lang w:val="es-AR"/>
        </w:rPr>
      </w:pPr>
    </w:p>
    <w:p w:rsidR="000C184C" w:rsidRPr="0022396E" w:rsidRDefault="00A07C83" w:rsidP="00552469">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Debe situar el análisis de riesgo en un determinado país y década. Comparación con la situación de riesgo en un país de cada una de las siguientes regiones/continentes: América del Norte, Europa Occidental, Africa.</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552469">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552469">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1"/>
        <w:spacing w:before="0" w:line="20" w:lineRule="atLeast"/>
        <w:contextualSpacing w:val="0"/>
        <w:rPr>
          <w:rFonts w:asciiTheme="minorHAnsi" w:hAnsiTheme="minorHAnsi"/>
          <w:lang w:val="es-AR"/>
        </w:rPr>
      </w:pPr>
      <w:bookmarkStart w:id="7" w:name="h.o6h0fhm3hlo9" w:colFirst="0" w:colLast="0"/>
      <w:bookmarkStart w:id="8" w:name="_Toc403175505"/>
      <w:bookmarkEnd w:id="7"/>
      <w:r w:rsidRPr="0022396E">
        <w:rPr>
          <w:rFonts w:asciiTheme="minorHAnsi" w:hAnsiTheme="minorHAnsi"/>
          <w:b/>
          <w:u w:val="single"/>
          <w:lang w:val="es-AR"/>
        </w:rPr>
        <w:t>Introducción</w:t>
      </w:r>
      <w:bookmarkEnd w:id="8"/>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9" w:name="h.wt2pqc5vwmrr" w:colFirst="0" w:colLast="0"/>
      <w:bookmarkStart w:id="10" w:name="_Toc403175506"/>
      <w:bookmarkEnd w:id="9"/>
      <w:r w:rsidRPr="0022396E">
        <w:rPr>
          <w:rFonts w:asciiTheme="minorHAnsi" w:hAnsiTheme="minorHAnsi"/>
          <w:b w:val="0"/>
          <w:i/>
          <w:sz w:val="28"/>
          <w:u w:val="single"/>
          <w:lang w:val="es-AR"/>
        </w:rPr>
        <w:t>El activo más valioso de las organizaciones</w:t>
      </w:r>
      <w:bookmarkEnd w:id="10"/>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11" w:name="h.gckqp4dg0j1n" w:colFirst="0" w:colLast="0"/>
      <w:bookmarkStart w:id="12" w:name="_Toc403175507"/>
      <w:bookmarkEnd w:id="11"/>
      <w:r w:rsidRPr="0022396E">
        <w:rPr>
          <w:rFonts w:asciiTheme="minorHAnsi" w:hAnsiTheme="minorHAnsi"/>
          <w:b w:val="0"/>
          <w:i/>
          <w:sz w:val="28"/>
          <w:u w:val="single"/>
          <w:lang w:val="es-AR"/>
        </w:rPr>
        <w:t>La fuga de información</w:t>
      </w:r>
      <w:bookmarkEnd w:id="12"/>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552469">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552469">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lastRenderedPageBreak/>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almacenada. Para ello, se debe categorizar la información (por ejemplo, memorandums, presentaciones, listados de salarios, minutas de reuniones estratégicas) y luego asociar un tipo de </w:t>
      </w:r>
      <w:r w:rsidRPr="0022396E">
        <w:rPr>
          <w:rFonts w:asciiTheme="minorHAnsi" w:hAnsiTheme="minorHAnsi"/>
          <w:b/>
          <w:lang w:val="es-AR"/>
        </w:rPr>
        <w:t>mecanismo para deshacerse de esa información</w:t>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13" w:name="h.ecz8wbbmjtxg" w:colFirst="0" w:colLast="0"/>
      <w:bookmarkStart w:id="14" w:name="_Toc403175508"/>
      <w:bookmarkEnd w:id="13"/>
      <w:r w:rsidRPr="0022396E">
        <w:rPr>
          <w:rFonts w:asciiTheme="minorHAnsi" w:hAnsiTheme="minorHAnsi"/>
          <w:b w:val="0"/>
          <w:i/>
          <w:sz w:val="28"/>
          <w:u w:val="single"/>
          <w:lang w:val="es-AR"/>
        </w:rPr>
        <w:t>Cómo deshacerse de forma segura de información</w:t>
      </w:r>
      <w:bookmarkEnd w:id="14"/>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552469">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552469">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552469">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552469">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pStyle w:val="NoSpacing"/>
        <w:spacing w:line="20" w:lineRule="atLeast"/>
        <w:rPr>
          <w:rFonts w:asciiTheme="minorHAnsi" w:hAnsiTheme="minorHAnsi"/>
          <w:lang w:val="es-AR"/>
        </w:rPr>
      </w:pPr>
      <w:bookmarkStart w:id="15" w:name="h.h55bcmxlm31o" w:colFirst="0" w:colLast="0"/>
      <w:bookmarkEnd w:id="15"/>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pStyle w:val="NoSpacing"/>
        <w:spacing w:line="20" w:lineRule="atLeast"/>
        <w:rPr>
          <w:rFonts w:asciiTheme="minorHAnsi" w:hAnsiTheme="minorHAnsi"/>
          <w:lang w:val="es-AR"/>
        </w:rPr>
      </w:pPr>
      <w:bookmarkStart w:id="16" w:name="h.9gsh2iexqhqm" w:colFirst="0" w:colLast="0"/>
      <w:bookmarkEnd w:id="16"/>
    </w:p>
    <w:p w:rsidR="000C184C" w:rsidRPr="0022396E" w:rsidRDefault="00A07C83" w:rsidP="00552469">
      <w:pPr>
        <w:pStyle w:val="Heading2"/>
        <w:spacing w:before="0" w:line="20" w:lineRule="atLeast"/>
        <w:contextualSpacing w:val="0"/>
        <w:rPr>
          <w:rFonts w:asciiTheme="minorHAnsi" w:hAnsiTheme="minorHAnsi"/>
          <w:lang w:val="es-AR"/>
        </w:rPr>
      </w:pPr>
      <w:bookmarkStart w:id="17" w:name="h.ecwvoyobam8l" w:colFirst="0" w:colLast="0"/>
      <w:bookmarkStart w:id="18" w:name="_Toc403175509"/>
      <w:bookmarkEnd w:id="17"/>
      <w:r w:rsidRPr="0022396E">
        <w:rPr>
          <w:rFonts w:asciiTheme="minorHAnsi" w:hAnsiTheme="minorHAnsi"/>
          <w:b w:val="0"/>
          <w:i/>
          <w:sz w:val="28"/>
          <w:u w:val="single"/>
          <w:lang w:val="es-AR"/>
        </w:rPr>
        <w:t>Riesgos existentes</w:t>
      </w:r>
      <w:bookmarkEnd w:id="18"/>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numPr>
          <w:ilvl w:val="0"/>
          <w:numId w:val="14"/>
        </w:numPr>
        <w:spacing w:line="20" w:lineRule="atLeast"/>
        <w:ind w:hanging="359"/>
        <w:contextualSpacing/>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552469">
      <w:pPr>
        <w:numPr>
          <w:ilvl w:val="0"/>
          <w:numId w:val="14"/>
        </w:numPr>
        <w:spacing w:line="20" w:lineRule="atLeast"/>
        <w:ind w:hanging="359"/>
        <w:contextualSpacing/>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552469">
      <w:pPr>
        <w:numPr>
          <w:ilvl w:val="0"/>
          <w:numId w:val="14"/>
        </w:numPr>
        <w:spacing w:line="20" w:lineRule="atLeast"/>
        <w:ind w:hanging="359"/>
        <w:contextualSpacing/>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19" w:name="h.2gc8hjheqmv7" w:colFirst="0" w:colLast="0"/>
      <w:bookmarkStart w:id="20" w:name="_Toc403175510"/>
      <w:bookmarkEnd w:id="19"/>
      <w:r w:rsidRPr="0022396E">
        <w:rPr>
          <w:rFonts w:asciiTheme="minorHAnsi" w:hAnsiTheme="minorHAnsi"/>
          <w:b w:val="0"/>
          <w:i/>
          <w:sz w:val="28"/>
          <w:u w:val="single"/>
          <w:lang w:val="es-AR"/>
        </w:rPr>
        <w:t>Tipos de controles para mitigar riesgos</w:t>
      </w:r>
      <w:bookmarkEnd w:id="20"/>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552469">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Detectivos</w:t>
      </w:r>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552469">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detectivos sobre los controles correctivos, debido a que la corrección de errores es en sí una actividad altamente propensa a errores.</w:t>
      </w:r>
    </w:p>
    <w:p w:rsidR="000C184C" w:rsidRPr="0022396E" w:rsidRDefault="00A07C83" w:rsidP="00552469">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552469">
      <w:pPr>
        <w:pStyle w:val="Heading1"/>
        <w:spacing w:before="0" w:line="20" w:lineRule="atLeast"/>
        <w:contextualSpacing w:val="0"/>
        <w:rPr>
          <w:rFonts w:asciiTheme="minorHAnsi" w:hAnsiTheme="minorHAnsi"/>
          <w:lang w:val="es-AR"/>
        </w:rPr>
      </w:pPr>
      <w:bookmarkStart w:id="21" w:name="h.4b2noxoesr87" w:colFirst="0" w:colLast="0"/>
      <w:bookmarkStart w:id="22" w:name="_Toc403175511"/>
      <w:bookmarkEnd w:id="21"/>
      <w:r w:rsidRPr="0022396E">
        <w:rPr>
          <w:rFonts w:asciiTheme="minorHAnsi" w:hAnsiTheme="minorHAnsi"/>
          <w:b/>
          <w:u w:val="single"/>
          <w:lang w:val="es-AR"/>
        </w:rPr>
        <w:t>Siglo XIX</w:t>
      </w:r>
      <w:bookmarkEnd w:id="22"/>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23" w:name="h.b4vum47g7rqj" w:colFirst="0" w:colLast="0"/>
      <w:bookmarkStart w:id="24" w:name="_Toc403175512"/>
      <w:bookmarkEnd w:id="23"/>
      <w:r w:rsidRPr="0022396E">
        <w:rPr>
          <w:rFonts w:asciiTheme="minorHAnsi" w:hAnsiTheme="minorHAnsi"/>
          <w:b w:val="0"/>
          <w:i/>
          <w:sz w:val="28"/>
          <w:u w:val="single"/>
          <w:lang w:val="es-AR"/>
        </w:rPr>
        <w:t>Introducción</w:t>
      </w:r>
      <w:bookmarkEnd w:id="24"/>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Benjamin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Inventos como el teléfono, la radio, o el automóvil serán fundamentales en el siglo XX. El desarrollo de motores como el de cuatro tiempos y posteriormente del motor diesel y del motor eléctrico compacto, serán esenciales para el desarrollo del automóvil, que se convertirá en el elemento básico de transporte en la centuria siguiente.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highlight w:val="white"/>
          <w:lang w:val="es-AR"/>
        </w:rPr>
        <w:t>Otros inventos importantes de este período son la máquina de escribir, el periscopio, la esquiladora, el ventilador eléctrico o la tarjeta perforada. A final de siglo verán la luz el cinematógrafo de los hermanos Lumiere, la fotografía de colores, la cremallera, la grabadora de cinta o la estufa eléctrica.</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Locomotora: 1804.</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Fonógrafo: 1878.</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Fotófono: 1880.</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Cinematógrafo: 1894.</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Vitascopio: 1896.</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Gramónofo: 1888.</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Fotografía: 1826.</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Telefóno: 1854.</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Anestesia: 1846.</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Dirigible: 1863.</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Avión: 1890.</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Lente de Fresnel.</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Pastilla de jabón.</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Margarina.</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Coca-Cola, 1886.</w:t>
      </w:r>
    </w:p>
    <w:p w:rsidR="000C184C" w:rsidRPr="0022396E" w:rsidRDefault="00A07C83" w:rsidP="00552469">
      <w:pPr>
        <w:numPr>
          <w:ilvl w:val="0"/>
          <w:numId w:val="15"/>
        </w:numPr>
        <w:spacing w:line="20" w:lineRule="atLeast"/>
        <w:ind w:hanging="359"/>
        <w:contextualSpacing/>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jc w:val="both"/>
        <w:rPr>
          <w:rFonts w:asciiTheme="minorHAnsi" w:hAnsiTheme="minorHAnsi"/>
          <w:lang w:val="es-AR"/>
        </w:rPr>
      </w:pPr>
      <w:bookmarkStart w:id="25" w:name="h.inqgucuuwd3k" w:colFirst="0" w:colLast="0"/>
      <w:bookmarkStart w:id="26" w:name="_Toc403175513"/>
      <w:bookmarkEnd w:id="25"/>
      <w:r w:rsidRPr="0022396E">
        <w:rPr>
          <w:rFonts w:asciiTheme="minorHAnsi" w:hAnsiTheme="minorHAnsi"/>
          <w:b w:val="0"/>
          <w:i/>
          <w:sz w:val="28"/>
          <w:u w:val="single"/>
          <w:lang w:val="es-AR"/>
        </w:rPr>
        <w:t>Mecanismos de defensa</w:t>
      </w:r>
      <w:bookmarkEnd w:id="26"/>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jc w:val="both"/>
        <w:rPr>
          <w:rFonts w:asciiTheme="minorHAnsi" w:hAnsiTheme="minorHAnsi"/>
          <w:lang w:val="es-AR"/>
        </w:rPr>
      </w:pPr>
      <w:bookmarkStart w:id="27" w:name="h.va31uqiclie2" w:colFirst="0" w:colLast="0"/>
      <w:bookmarkStart w:id="28" w:name="_Toc403175514"/>
      <w:bookmarkEnd w:id="27"/>
      <w:r w:rsidRPr="0022396E">
        <w:rPr>
          <w:rFonts w:asciiTheme="minorHAnsi" w:hAnsiTheme="minorHAnsi"/>
          <w:lang w:val="es-AR"/>
        </w:rPr>
        <w:t>Esteganografía</w:t>
      </w:r>
      <w:bookmarkEnd w:id="28"/>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La esteganografía se puede definir como el ocultamiento de la información en un canal encubierto con el propósito de prevenir la detección de un mensaje oculto.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Heródoto también narra la historia de un mensaje tatuado en la cabeza rapada de un esclavo de Histiaeus,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della Porta explicó en su obra </w:t>
      </w:r>
      <w:r w:rsidRPr="0022396E">
        <w:rPr>
          <w:rFonts w:asciiTheme="minorHAnsi" w:hAnsiTheme="minorHAnsi"/>
          <w:i/>
          <w:lang w:val="es-AR"/>
        </w:rPr>
        <w:t xml:space="preserve">Magia naturalis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r w:rsidRPr="0022396E">
        <w:rPr>
          <w:rFonts w:asciiTheme="minorHAnsi" w:hAnsiTheme="minorHAnsi"/>
          <w:i/>
          <w:lang w:val="es-AR"/>
        </w:rPr>
        <w:t xml:space="preserve">Tithymallus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A lo largo de muchos años, la esteganografía ha ofrecido ingeniosas ideas para garantizar las comunicaciones secretas. En muchos casos, estas técnicas han resultado ser muy útiles para ocultar la existencia de mensajes y cumplir con éxito su cometido. Sin embargo, la esteganografía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jc w:val="both"/>
        <w:rPr>
          <w:rFonts w:asciiTheme="minorHAnsi" w:hAnsiTheme="minorHAnsi"/>
          <w:lang w:val="es-AR"/>
        </w:rPr>
      </w:pPr>
      <w:bookmarkStart w:id="29" w:name="h.el294hz536jd" w:colFirst="0" w:colLast="0"/>
      <w:bookmarkStart w:id="30" w:name="_Toc403175515"/>
      <w:bookmarkEnd w:id="29"/>
      <w:r w:rsidRPr="0022396E">
        <w:rPr>
          <w:rFonts w:asciiTheme="minorHAnsi" w:hAnsiTheme="minorHAnsi"/>
          <w:lang w:val="es-AR"/>
        </w:rPr>
        <w:t>Criptografía</w:t>
      </w:r>
      <w:bookmarkEnd w:id="30"/>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lastRenderedPageBreak/>
        <w:t>Al mismo tiempo que se desarrollaba la esteganografía,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Los primeros mensajes cifrados que conocemos datan del siglo V antes de Cristo, de procedencia espartana, que ponían en práctica un método simple y rudimentario que consistía en coger una vara (llamada escítala),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1854 Sir. Charles Wheatstone diseñó un método de cifrado llamado Playfair, este método era parecido al de Polybios solo que ahora en vez de que cada carácter se sustituyera por dos caracteres sólo se sustituía por uno. Se trata de un cifrado digráfico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Para 1867 Wheatstone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1890 étienne Bazeries, tomando como base el cilindro de Jefferson creó un cilindro que constaba de 20 discos coaxiales con 25 letras en cada uno de ellos,, la diferencia con el cilindro de Jefferson es básicamente la manera de cifrar el mensaje, ya que el disco de Bazeries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jc w:val="both"/>
        <w:rPr>
          <w:rFonts w:asciiTheme="minorHAnsi" w:hAnsiTheme="minorHAnsi"/>
          <w:lang w:val="es-AR"/>
        </w:rPr>
      </w:pPr>
      <w:bookmarkStart w:id="31" w:name="h.78zdasrct05d" w:colFirst="0" w:colLast="0"/>
      <w:bookmarkStart w:id="32" w:name="_Toc403175516"/>
      <w:bookmarkEnd w:id="31"/>
      <w:r w:rsidRPr="0022396E">
        <w:rPr>
          <w:rFonts w:asciiTheme="minorHAnsi" w:hAnsiTheme="minorHAnsi"/>
          <w:lang w:val="es-AR"/>
        </w:rPr>
        <w:t>Patentes de Invención</w:t>
      </w:r>
      <w:bookmarkEnd w:id="32"/>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Benjamin Franklin eran partidarios de la no apropiación de las invenciones por parte de los inventores.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rPr>
          <w:rFonts w:asciiTheme="minorHAnsi" w:hAnsiTheme="minorHAnsi"/>
          <w:lang w:val="es-AR"/>
        </w:rPr>
      </w:pPr>
      <w:bookmarkStart w:id="33" w:name="h.ixyraid0s298" w:colFirst="0" w:colLast="0"/>
      <w:bookmarkStart w:id="34" w:name="_Toc403175517"/>
      <w:bookmarkEnd w:id="33"/>
      <w:r w:rsidRPr="0022396E">
        <w:rPr>
          <w:rFonts w:asciiTheme="minorHAnsi" w:hAnsiTheme="minorHAnsi"/>
          <w:lang w:val="es-AR"/>
        </w:rPr>
        <w:t>Caja de seguridad</w:t>
      </w:r>
      <w:bookmarkEnd w:id="34"/>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La caja fuerte más antigua apareció en el 700 AC aproximadamente, y pertenecía a Corinto de Cipselus.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Servicios tercerizados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Pero el servicio de cajas de seguridad como hoy se lo conoce logra su gran evolución en la segunda mitad del siglo XIX. La fundación en el año 1861 de la Safe Deposit Company de Nueva York y en el año 1875 de la National Safe Deposit Company Limited, fue el origen de una vasta serie de empresas de difusión prácticamente universal, dedicadas a la prestación del servicio de custodia de bienes (Martorell, Ernesto Eduardo; “Tratado de los contratos de empresa”, T. II-Contratos Bancarios, pág. 499 y s.s.).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35" w:name="h.2v7gwupub171" w:colFirst="0" w:colLast="0"/>
      <w:bookmarkStart w:id="36" w:name="_Toc403175518"/>
      <w:bookmarkEnd w:id="35"/>
      <w:r w:rsidRPr="0022396E">
        <w:rPr>
          <w:rFonts w:asciiTheme="minorHAnsi" w:hAnsiTheme="minorHAnsi"/>
          <w:i/>
          <w:sz w:val="28"/>
          <w:u w:val="single"/>
          <w:lang w:val="es-AR"/>
        </w:rPr>
        <w:t>Riesgos</w:t>
      </w:r>
      <w:bookmarkEnd w:id="36"/>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552469">
      <w:pPr>
        <w:spacing w:line="20" w:lineRule="atLeast"/>
        <w:rPr>
          <w:rFonts w:asciiTheme="minorHAnsi" w:hAnsiTheme="minorHAnsi"/>
          <w:lang w:val="es-AR"/>
        </w:rPr>
      </w:pP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i/>
          <w:lang w:val="es-AR"/>
        </w:rPr>
        <w:t>Riesgos de no aplicar esteganografía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Siguiendo el desarrollo de esta época, encontramos dos ejemplos de los riesgos que puede ocasionar el no patentar un invento. Fueron los casos del inventor alemán Philipp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t>Otro caso similar fue el del inventor de la lámpara de luz incandescente, a quien se atribuye su invento a Mr Edison pero sin embargo Humphry Davy fue quien realmente fabricó la primera luz incandescente al pasar la corriente a través de una delgada tira de platino.</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37" w:name="h.w22z52vh39py" w:colFirst="0" w:colLast="0"/>
      <w:bookmarkStart w:id="38" w:name="_Toc403175519"/>
      <w:bookmarkEnd w:id="37"/>
      <w:r w:rsidRPr="0022396E">
        <w:rPr>
          <w:rFonts w:asciiTheme="minorHAnsi" w:hAnsiTheme="minorHAnsi"/>
          <w:b w:val="0"/>
          <w:i/>
          <w:sz w:val="28"/>
          <w:u w:val="single"/>
          <w:lang w:val="es-AR"/>
        </w:rPr>
        <w:t>Casos reales</w:t>
      </w:r>
      <w:bookmarkEnd w:id="38"/>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Durante la Guerra Civil Americana, la Unión utilizó la sustitución de palabras seleccionadas seguida de una transposición de palabras mientras que los Confederados usaron Vigenère,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Telegrama Zimmermann</w:t>
      </w:r>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El 1 de junio de 1944 la máquina Colossus</w:t>
      </w:r>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Normandia. El efecto sorpresa multiplicó el golpe sobre la defensa germana. Este hecho, junto al éxito descifrador de la máquina Colossus, supuso, según un artículo de </w:t>
      </w:r>
      <w:r w:rsidRPr="0022396E">
        <w:rPr>
          <w:rFonts w:asciiTheme="minorHAnsi" w:hAnsiTheme="minorHAnsi"/>
          <w:i/>
          <w:lang w:val="es-AR"/>
        </w:rPr>
        <w:t>The Guardian</w:t>
      </w:r>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Gottlieb Daimler, Wilhelm Maybach, y Siegfried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Mannheim,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Wilhelm Röntgen</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Si bien es cierto que fluoroscopio de Edison se convirtió en el artefacto estándar utilizado en Medicina, no fue el primero en conseguir Fotografías de Rayos X. El 22 de diciembre de 1895, Wilhelm Röntgen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Röntgen”.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Whitley, en Leeds, West Yorkshire, Inglaterra ; y las personas que aparecen son Adolphe Le Prince (hijo de Louis), Sarah y Joseph Whiteley, y Harriet Hartley. Ahora viene la parte oscura: diez días después de filmar, Sarah Whitley murió. Dos años más tarde Le Prince desapareció misteriosamente de un tren que viajaba entre Dijon y París. Otros dos años después, Alfonso (el hijo mayor), fue hallado muerto en Nueva York después de testificar en un juicio contra la patente de Edison por la American Mutoscope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Édouard-Léon Scott de Martinville</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Édouard-Léon Scott de Martinville inventó el fonoautógrafo, el cual podía grabar y registrar en Transcripciones el sonido, aunque no consiguió desarrollar los medios para reproducirlo una vez grabado. Esas transcripciones, conocidas como Fonautogramas, fueron reproducidas por primera vez con éxito, utilizando tecnología informática, en 2008 y se puede escuchar en ellas claramente la voz de una mujer cantando "Au clair de la lune", registrada hace más de 150 años.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Philipp Reis</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Philipp Reis, un inventor alemán. Su dispositivo (que él llamó la Telephon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Telephon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Nikola Tesla</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Nikola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Nikola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Inventor Real: Humpry Davy (concepto), Warren de la Rue</w:t>
      </w: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Y para terminar esta lista de inventos "robados", ¿quién mejor que Mr. Edison?. En fin, aunque a todos nos hayan enseñado que él fue el inventor de la Bombilla eléctrica, ya en 1802, Humphry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1"/>
        <w:spacing w:before="0" w:line="20" w:lineRule="atLeast"/>
        <w:contextualSpacing w:val="0"/>
        <w:rPr>
          <w:rFonts w:asciiTheme="minorHAnsi" w:hAnsiTheme="minorHAnsi"/>
          <w:lang w:val="es-AR"/>
        </w:rPr>
      </w:pPr>
      <w:bookmarkStart w:id="39" w:name="h.hoqdd7r8pp7d" w:colFirst="0" w:colLast="0"/>
      <w:bookmarkStart w:id="40" w:name="_Toc403175520"/>
      <w:bookmarkEnd w:id="39"/>
      <w:r w:rsidRPr="0022396E">
        <w:rPr>
          <w:rFonts w:asciiTheme="minorHAnsi" w:hAnsiTheme="minorHAnsi"/>
          <w:b/>
          <w:u w:val="single"/>
          <w:lang w:val="es-AR"/>
        </w:rPr>
        <w:t>Siglo XXI</w:t>
      </w:r>
      <w:bookmarkEnd w:id="40"/>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41" w:name="h.6he9kyimop3h" w:colFirst="0" w:colLast="0"/>
      <w:bookmarkStart w:id="42" w:name="_Toc403175521"/>
      <w:bookmarkEnd w:id="41"/>
      <w:r w:rsidRPr="0022396E">
        <w:rPr>
          <w:rFonts w:asciiTheme="minorHAnsi" w:hAnsiTheme="minorHAnsi"/>
          <w:b w:val="0"/>
          <w:i/>
          <w:sz w:val="28"/>
          <w:u w:val="single"/>
          <w:lang w:val="es-AR"/>
        </w:rPr>
        <w:t>Introducción</w:t>
      </w:r>
      <w:bookmarkEnd w:id="42"/>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552469">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552469">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552469">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552469">
      <w:pPr>
        <w:spacing w:line="20" w:lineRule="atLeast"/>
        <w:jc w:val="both"/>
        <w:rPr>
          <w:rFonts w:asciiTheme="minorHAnsi" w:hAnsiTheme="minorHAnsi"/>
          <w:lang w:val="es-AR"/>
        </w:rPr>
      </w:pP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552469">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552469">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552469">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552469">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552469">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552469">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552469">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552469">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552469">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2"/>
        <w:spacing w:before="0" w:line="20" w:lineRule="atLeast"/>
        <w:contextualSpacing w:val="0"/>
        <w:rPr>
          <w:rFonts w:asciiTheme="minorHAnsi" w:hAnsiTheme="minorHAnsi"/>
          <w:lang w:val="es-AR"/>
        </w:rPr>
      </w:pPr>
      <w:bookmarkStart w:id="43" w:name="h.j3dvxt6ohuiw" w:colFirst="0" w:colLast="0"/>
      <w:bookmarkStart w:id="44" w:name="_Toc403175522"/>
      <w:bookmarkEnd w:id="43"/>
      <w:r w:rsidRPr="0022396E">
        <w:rPr>
          <w:rFonts w:asciiTheme="minorHAnsi" w:hAnsiTheme="minorHAnsi"/>
          <w:b w:val="0"/>
          <w:i/>
          <w:sz w:val="28"/>
          <w:u w:val="single"/>
          <w:lang w:val="es-AR"/>
        </w:rPr>
        <w:t>Mecanismos de defensa</w:t>
      </w:r>
      <w:bookmarkEnd w:id="44"/>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3"/>
        <w:spacing w:before="0" w:line="20" w:lineRule="atLeast"/>
        <w:contextualSpacing w:val="0"/>
        <w:rPr>
          <w:rFonts w:asciiTheme="minorHAnsi" w:hAnsiTheme="minorHAnsi"/>
          <w:lang w:val="es-AR"/>
        </w:rPr>
      </w:pPr>
      <w:bookmarkStart w:id="45" w:name="h.kiraiuoqj4i6" w:colFirst="0" w:colLast="0"/>
      <w:bookmarkStart w:id="46" w:name="_Toc403175523"/>
      <w:bookmarkEnd w:id="45"/>
      <w:r w:rsidRPr="0022396E">
        <w:rPr>
          <w:rFonts w:asciiTheme="minorHAnsi" w:hAnsiTheme="minorHAnsi"/>
          <w:lang w:val="es-AR"/>
        </w:rPr>
        <w:t>Controles informáticos</w:t>
      </w:r>
      <w:bookmarkEnd w:id="46"/>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552469">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rPr>
          <w:rFonts w:asciiTheme="minorHAnsi" w:hAnsiTheme="minorHAnsi"/>
          <w:lang w:val="es-AR"/>
        </w:rPr>
      </w:pPr>
      <w:bookmarkStart w:id="47" w:name="h.6tm9ivsvmsms" w:colFirst="0" w:colLast="0"/>
      <w:bookmarkStart w:id="48" w:name="_Toc403175524"/>
      <w:bookmarkEnd w:id="47"/>
      <w:r w:rsidRPr="0022396E">
        <w:rPr>
          <w:rFonts w:asciiTheme="minorHAnsi" w:hAnsiTheme="minorHAnsi"/>
          <w:lang w:val="es-AR"/>
        </w:rPr>
        <w:t>Utilización de patentes</w:t>
      </w:r>
      <w:bookmarkEnd w:id="48"/>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proporcional al dueño la garantía de que otras empresas no podrán producir, utilizar o vender el producto patentado sin permiso.</w:t>
      </w: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552469">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552469">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552469">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552469">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pStyle w:val="Heading3"/>
        <w:spacing w:before="0" w:line="20" w:lineRule="atLeast"/>
        <w:contextualSpacing w:val="0"/>
        <w:jc w:val="both"/>
        <w:rPr>
          <w:rFonts w:asciiTheme="minorHAnsi" w:hAnsiTheme="minorHAnsi"/>
          <w:lang w:val="es-AR"/>
        </w:rPr>
      </w:pPr>
      <w:bookmarkStart w:id="49" w:name="h.9jl9mm9n0t3v" w:colFirst="0" w:colLast="0"/>
      <w:bookmarkStart w:id="50" w:name="_Toc403175525"/>
      <w:bookmarkEnd w:id="49"/>
      <w:r w:rsidRPr="0022396E">
        <w:rPr>
          <w:rFonts w:asciiTheme="minorHAnsi" w:hAnsiTheme="minorHAnsi"/>
          <w:lang w:val="es-AR"/>
        </w:rPr>
        <w:t>Utilización de estándares internacionales</w:t>
      </w:r>
      <w:bookmarkEnd w:id="50"/>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pStyle w:val="Heading3"/>
        <w:spacing w:before="0" w:line="20" w:lineRule="atLeast"/>
        <w:ind w:left="45"/>
        <w:contextualSpacing w:val="0"/>
        <w:jc w:val="both"/>
        <w:rPr>
          <w:rFonts w:asciiTheme="minorHAnsi" w:hAnsiTheme="minorHAnsi"/>
          <w:lang w:val="es-AR"/>
        </w:rPr>
      </w:pPr>
      <w:bookmarkStart w:id="51" w:name="h.jctmjhl3xaor" w:colFirst="0" w:colLast="0"/>
      <w:bookmarkStart w:id="52" w:name="_Toc403175526"/>
      <w:bookmarkEnd w:id="51"/>
      <w:r w:rsidRPr="0022396E">
        <w:rPr>
          <w:rFonts w:asciiTheme="minorHAnsi" w:hAnsiTheme="minorHAnsi"/>
          <w:lang w:val="es-AR"/>
        </w:rPr>
        <w:t>Auditorías</w:t>
      </w:r>
      <w:bookmarkEnd w:id="52"/>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r w:rsidRPr="0022396E">
        <w:rPr>
          <w:rFonts w:asciiTheme="minorHAnsi" w:hAnsiTheme="minorHAnsi"/>
          <w:b/>
          <w:i/>
          <w:lang w:val="es-AR"/>
        </w:rPr>
        <w:t>logs</w:t>
      </w:r>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pStyle w:val="Heading3"/>
        <w:spacing w:before="0" w:line="20" w:lineRule="atLeast"/>
        <w:ind w:left="45"/>
        <w:contextualSpacing w:val="0"/>
        <w:jc w:val="both"/>
        <w:rPr>
          <w:rFonts w:asciiTheme="minorHAnsi" w:hAnsiTheme="minorHAnsi"/>
          <w:lang w:val="es-AR"/>
        </w:rPr>
      </w:pPr>
      <w:bookmarkStart w:id="53" w:name="h.eqaet9u521ri" w:colFirst="0" w:colLast="0"/>
      <w:bookmarkStart w:id="54" w:name="_Toc403175527"/>
      <w:bookmarkEnd w:id="53"/>
      <w:r w:rsidRPr="0022396E">
        <w:rPr>
          <w:rFonts w:asciiTheme="minorHAnsi" w:hAnsiTheme="minorHAnsi"/>
          <w:lang w:val="es-AR"/>
        </w:rPr>
        <w:t xml:space="preserve">Uso de </w:t>
      </w:r>
      <w:r w:rsidRPr="0022396E">
        <w:rPr>
          <w:rFonts w:asciiTheme="minorHAnsi" w:hAnsiTheme="minorHAnsi"/>
          <w:i/>
          <w:lang w:val="es-AR"/>
        </w:rPr>
        <w:t xml:space="preserve">code names </w:t>
      </w:r>
      <w:r w:rsidRPr="0022396E">
        <w:rPr>
          <w:rFonts w:asciiTheme="minorHAnsi" w:hAnsiTheme="minorHAnsi"/>
          <w:lang w:val="es-AR"/>
        </w:rPr>
        <w:t>para los proyectos</w:t>
      </w:r>
      <w:bookmarkEnd w:id="54"/>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Gigantes como Microsoft y Apple suelen utilizar nombres clave para los productos que están en fase de desarrollo y aún no se han lanzado al mercado. Como ejemplos podemos mencionar al proyecto Blackcomb (Windows 7).</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A07C83" w:rsidP="00552469">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552469">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552469">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552469">
      <w:pPr>
        <w:spacing w:line="20" w:lineRule="atLeast"/>
        <w:ind w:left="45"/>
        <w:jc w:val="both"/>
        <w:rPr>
          <w:rFonts w:asciiTheme="minorHAnsi" w:hAnsiTheme="minorHAnsi"/>
          <w:lang w:val="es-AR"/>
        </w:rPr>
      </w:pPr>
    </w:p>
    <w:p w:rsidR="000C184C" w:rsidRPr="0022396E" w:rsidRDefault="000C184C" w:rsidP="00552469">
      <w:pPr>
        <w:spacing w:line="20" w:lineRule="atLeast"/>
        <w:ind w:left="45"/>
        <w:jc w:val="both"/>
        <w:rPr>
          <w:rFonts w:asciiTheme="minorHAnsi" w:hAnsiTheme="minorHAnsi"/>
          <w:lang w:val="es-AR"/>
        </w:rPr>
      </w:pPr>
    </w:p>
    <w:p w:rsidR="000C184C" w:rsidRPr="0022396E" w:rsidRDefault="000C184C" w:rsidP="00552469">
      <w:pPr>
        <w:pStyle w:val="NoSpacing"/>
        <w:spacing w:line="20" w:lineRule="atLeast"/>
        <w:rPr>
          <w:rFonts w:asciiTheme="minorHAnsi" w:hAnsiTheme="minorHAnsi"/>
          <w:lang w:val="es-AR"/>
        </w:rPr>
      </w:pPr>
      <w:bookmarkStart w:id="55" w:name="h.9uemi28uw7j2" w:colFirst="0" w:colLast="0"/>
      <w:bookmarkEnd w:id="55"/>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pStyle w:val="NoSpacing"/>
        <w:spacing w:line="20" w:lineRule="atLeast"/>
        <w:rPr>
          <w:rFonts w:asciiTheme="minorHAnsi" w:hAnsiTheme="minorHAnsi"/>
          <w:lang w:val="es-AR"/>
        </w:rPr>
      </w:pPr>
      <w:bookmarkStart w:id="56" w:name="h.135rgfhxbd64" w:colFirst="0" w:colLast="0"/>
      <w:bookmarkEnd w:id="56"/>
    </w:p>
    <w:p w:rsidR="000C184C" w:rsidRPr="0022396E" w:rsidRDefault="00A07C83" w:rsidP="00552469">
      <w:pPr>
        <w:pStyle w:val="Heading2"/>
        <w:spacing w:before="0" w:line="20" w:lineRule="atLeast"/>
        <w:contextualSpacing w:val="0"/>
        <w:rPr>
          <w:rFonts w:asciiTheme="minorHAnsi" w:hAnsiTheme="minorHAnsi"/>
          <w:lang w:val="es-AR"/>
        </w:rPr>
      </w:pPr>
      <w:bookmarkStart w:id="57" w:name="h.ij6aq1dti3jf" w:colFirst="0" w:colLast="0"/>
      <w:bookmarkStart w:id="58" w:name="_Toc403175528"/>
      <w:bookmarkEnd w:id="57"/>
      <w:r w:rsidRPr="0022396E">
        <w:rPr>
          <w:rFonts w:asciiTheme="minorHAnsi" w:hAnsiTheme="minorHAnsi"/>
          <w:b w:val="0"/>
          <w:i/>
          <w:sz w:val="28"/>
          <w:u w:val="single"/>
          <w:lang w:val="es-AR"/>
        </w:rPr>
        <w:t>Riesgos</w:t>
      </w:r>
      <w:bookmarkEnd w:id="58"/>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hackeo y crackeo en distancias remotas, financiados por servicios de inteligencia gubernamentales u otros organismos clandestinamente.</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552469">
      <w:pPr>
        <w:spacing w:line="20" w:lineRule="atLeast"/>
        <w:rPr>
          <w:rFonts w:asciiTheme="minorHAnsi" w:hAnsiTheme="minorHAnsi"/>
          <w:lang w:val="es-AR"/>
        </w:rPr>
      </w:pPr>
    </w:p>
    <w:p w:rsidR="000C184C" w:rsidRPr="0022396E" w:rsidRDefault="000C184C" w:rsidP="00552469">
      <w:pPr>
        <w:pStyle w:val="NoSpacing"/>
        <w:spacing w:line="20" w:lineRule="atLeast"/>
        <w:rPr>
          <w:rFonts w:asciiTheme="minorHAnsi" w:hAnsiTheme="minorHAnsi"/>
          <w:lang w:val="es-AR"/>
        </w:rPr>
      </w:pPr>
      <w:bookmarkStart w:id="59" w:name="h.dtw9itb8dz1" w:colFirst="0" w:colLast="0"/>
      <w:bookmarkEnd w:id="59"/>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pStyle w:val="NoSpacing"/>
        <w:spacing w:line="20" w:lineRule="atLeast"/>
        <w:rPr>
          <w:rFonts w:asciiTheme="minorHAnsi" w:hAnsiTheme="minorHAnsi"/>
          <w:lang w:val="es-AR"/>
        </w:rPr>
      </w:pPr>
      <w:bookmarkStart w:id="60" w:name="h.lzc3gwoniu3" w:colFirst="0" w:colLast="0"/>
      <w:bookmarkEnd w:id="60"/>
    </w:p>
    <w:p w:rsidR="000C184C" w:rsidRPr="0022396E" w:rsidRDefault="00A07C83" w:rsidP="00552469">
      <w:pPr>
        <w:pStyle w:val="Heading2"/>
        <w:spacing w:before="0" w:line="20" w:lineRule="atLeast"/>
        <w:contextualSpacing w:val="0"/>
        <w:rPr>
          <w:rFonts w:asciiTheme="minorHAnsi" w:hAnsiTheme="minorHAnsi"/>
          <w:lang w:val="es-AR"/>
        </w:rPr>
      </w:pPr>
      <w:bookmarkStart w:id="61" w:name="h.pm8nuj1wi1z8" w:colFirst="0" w:colLast="0"/>
      <w:bookmarkStart w:id="62" w:name="_Toc403175529"/>
      <w:bookmarkEnd w:id="61"/>
      <w:r w:rsidRPr="0022396E">
        <w:rPr>
          <w:rFonts w:asciiTheme="minorHAnsi" w:hAnsiTheme="minorHAnsi"/>
          <w:b w:val="0"/>
          <w:i/>
          <w:sz w:val="28"/>
          <w:u w:val="single"/>
          <w:lang w:val="es-AR"/>
        </w:rPr>
        <w:t>Casos reales</w:t>
      </w:r>
      <w:bookmarkEnd w:id="62"/>
    </w:p>
    <w:p w:rsidR="000C184C" w:rsidRPr="0022396E" w:rsidRDefault="000C184C" w:rsidP="00552469">
      <w:pPr>
        <w:spacing w:line="20" w:lineRule="atLeast"/>
        <w:rPr>
          <w:rFonts w:asciiTheme="minorHAnsi" w:hAnsiTheme="minorHAnsi"/>
          <w:lang w:val="es-AR"/>
        </w:rPr>
      </w:pPr>
    </w:p>
    <w:p w:rsidR="000C184C" w:rsidRPr="0022396E" w:rsidRDefault="00A07C83" w:rsidP="00552469">
      <w:pPr>
        <w:pStyle w:val="Heading3"/>
        <w:spacing w:before="0" w:line="20" w:lineRule="atLeast"/>
        <w:contextualSpacing w:val="0"/>
        <w:rPr>
          <w:rFonts w:asciiTheme="minorHAnsi" w:hAnsiTheme="minorHAnsi"/>
          <w:lang w:val="es-AR"/>
        </w:rPr>
      </w:pPr>
      <w:bookmarkStart w:id="63" w:name="h.mvq4wsec4xit" w:colFirst="0" w:colLast="0"/>
      <w:bookmarkStart w:id="64" w:name="_Toc403175530"/>
      <w:bookmarkEnd w:id="63"/>
      <w:r w:rsidRPr="0022396E">
        <w:rPr>
          <w:rFonts w:asciiTheme="minorHAnsi" w:hAnsiTheme="minorHAnsi"/>
          <w:lang w:val="es-AR"/>
        </w:rPr>
        <w:t>Empresas relacionadas con la salud</w:t>
      </w:r>
      <w:bookmarkEnd w:id="64"/>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(Health Insurance Portability and Accountability Act),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175531"/>
      <w:bookmarkEnd w:id="65"/>
      <w:r w:rsidRPr="0022396E">
        <w:rPr>
          <w:rFonts w:asciiTheme="minorHAnsi" w:hAnsiTheme="minorHAnsi"/>
          <w:lang w:val="es-AR"/>
        </w:rPr>
        <w:t>Empresas tecnológicas</w:t>
      </w:r>
      <w:bookmarkEnd w:id="66"/>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color w:val="131313"/>
          <w:highlight w:val="white"/>
          <w:lang w:val="es-AR"/>
        </w:rPr>
        <w:t>Los casos del soldado Bradley Manning, quien realizó la mayor filtración de documentos militares secretos en la historia de los Estados Unidos, y de Edward Snowden, quien reveló cómo la Casa Blanca y sus organismos espían las comunicaciones en Internet, constituyen los ejemplos más famosos de fuga de información de una organización a través de soportes tecnológicos. Mientras Manning, condenado el 21 de agosto a 35 años de prisión, realizó la filtración a través de discos compactos, Snowden, asilado político en Rusia, filtró documentos sobre las prácticas de espionaje del Gobierno empleando unidades de memoria USB (“pendrives”).</w:t>
      </w:r>
    </w:p>
    <w:p w:rsidR="000C184C" w:rsidRPr="0022396E" w:rsidRDefault="00A07C83" w:rsidP="00552469">
      <w:pPr>
        <w:spacing w:line="20" w:lineRule="atLeast"/>
        <w:rPr>
          <w:rFonts w:asciiTheme="minorHAnsi" w:hAnsiTheme="minorHAnsi"/>
          <w:lang w:val="es-AR"/>
        </w:rPr>
      </w:pPr>
      <w:r w:rsidRPr="0022396E">
        <w:rPr>
          <w:rFonts w:asciiTheme="minorHAnsi" w:hAnsiTheme="minorHAnsi"/>
          <w:lang w:val="es-AR"/>
        </w:rPr>
        <w:br w:type="page"/>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pStyle w:val="Heading1"/>
        <w:spacing w:before="0" w:line="20" w:lineRule="atLeast"/>
        <w:contextualSpacing w:val="0"/>
        <w:rPr>
          <w:rFonts w:asciiTheme="minorHAnsi" w:hAnsiTheme="minorHAnsi"/>
          <w:lang w:val="es-AR"/>
        </w:rPr>
      </w:pPr>
      <w:bookmarkStart w:id="67" w:name="h.dv9qi0gr5xsz" w:colFirst="0" w:colLast="0"/>
      <w:bookmarkStart w:id="68" w:name="_Toc403175532"/>
      <w:bookmarkEnd w:id="67"/>
      <w:r w:rsidRPr="0022396E">
        <w:rPr>
          <w:rFonts w:asciiTheme="minorHAnsi" w:hAnsiTheme="minorHAnsi"/>
          <w:b/>
          <w:u w:val="single"/>
          <w:lang w:val="es-AR"/>
        </w:rPr>
        <w:t>Conclusiones</w:t>
      </w:r>
      <w:bookmarkEnd w:id="68"/>
    </w:p>
    <w:p w:rsidR="000C184C" w:rsidRPr="0022396E" w:rsidRDefault="000C184C" w:rsidP="00552469">
      <w:pPr>
        <w:spacing w:line="20" w:lineRule="atLeast"/>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r w:rsidRPr="0022396E">
        <w:rPr>
          <w:rFonts w:asciiTheme="minorHAnsi" w:hAnsiTheme="minorHAnsi"/>
          <w:i/>
          <w:lang w:val="es-AR"/>
        </w:rPr>
        <w:t>phishers</w:t>
      </w:r>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552469">
      <w:pPr>
        <w:spacing w:line="20" w:lineRule="atLeast"/>
        <w:jc w:val="both"/>
        <w:rPr>
          <w:rFonts w:asciiTheme="minorHAnsi" w:hAnsiTheme="minorHAnsi"/>
          <w:lang w:val="es-AR"/>
        </w:rPr>
      </w:pPr>
    </w:p>
    <w:p w:rsidR="000C184C" w:rsidRPr="0022396E" w:rsidRDefault="00A07C83" w:rsidP="00552469">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552469">
      <w:pPr>
        <w:spacing w:line="20" w:lineRule="atLeast"/>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5D1" w:rsidRDefault="005D35D1">
      <w:pPr>
        <w:spacing w:line="240" w:lineRule="auto"/>
      </w:pPr>
      <w:r>
        <w:separator/>
      </w:r>
    </w:p>
  </w:endnote>
  <w:endnote w:type="continuationSeparator" w:id="0">
    <w:p w:rsidR="005D35D1" w:rsidRDefault="005D3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Default="00A07C83">
    <w:r>
      <w:t>Maraggi, Parnisari, Schmidt, Zhang, Zurita</w:t>
    </w:r>
    <w:r>
      <w:rPr>
        <w:b/>
        <w:i/>
      </w:rPr>
      <w:tab/>
    </w:r>
    <w:r>
      <w:rPr>
        <w:b/>
        <w:i/>
      </w:rPr>
      <w:tab/>
    </w:r>
    <w:r>
      <w:rPr>
        <w:b/>
        <w:i/>
      </w:rPr>
      <w:tab/>
    </w:r>
    <w:r>
      <w:rPr>
        <w:b/>
        <w:i/>
      </w:rPr>
      <w:tab/>
    </w:r>
    <w:r>
      <w:rPr>
        <w:b/>
        <w:i/>
      </w:rPr>
      <w:tab/>
    </w:r>
    <w:r>
      <w:rPr>
        <w:b/>
        <w:i/>
      </w:rPr>
      <w:tab/>
    </w:r>
    <w:r>
      <w:rPr>
        <w:b/>
      </w:rPr>
      <w:t xml:space="preserve">Página </w:t>
    </w:r>
    <w:r>
      <w:fldChar w:fldCharType="begin"/>
    </w:r>
    <w:r>
      <w:instrText>PAGE</w:instrText>
    </w:r>
    <w:r>
      <w:fldChar w:fldCharType="separate"/>
    </w:r>
    <w:r w:rsidR="0022396E">
      <w:rPr>
        <w:noProof/>
      </w:rPr>
      <w:t>3</w:t>
    </w:r>
    <w:r>
      <w:fldChar w:fldCharType="end"/>
    </w:r>
    <w:r>
      <w:rPr>
        <w:b/>
      </w:rPr>
      <w:t xml:space="preserve"> de </w:t>
    </w:r>
    <w:r>
      <w:fldChar w:fldCharType="begin"/>
    </w:r>
    <w:r>
      <w:instrText>NUMPAGES</w:instrText>
    </w:r>
    <w:r>
      <w:fldChar w:fldCharType="separate"/>
    </w:r>
    <w:r w:rsidR="0022396E">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5D1" w:rsidRDefault="005D35D1">
      <w:pPr>
        <w:spacing w:line="240" w:lineRule="auto"/>
      </w:pPr>
      <w:r>
        <w:separator/>
      </w:r>
    </w:p>
  </w:footnote>
  <w:footnote w:type="continuationSeparator" w:id="0">
    <w:p w:rsidR="005D35D1" w:rsidRDefault="005D35D1">
      <w:pPr>
        <w:spacing w:line="240" w:lineRule="auto"/>
      </w:pPr>
      <w:r>
        <w:continuationSeparator/>
      </w:r>
    </w:p>
  </w:footnote>
  <w:footnote w:id="1">
    <w:p w:rsidR="00A07C83" w:rsidRDefault="00A07C83">
      <w:pPr>
        <w:spacing w:line="240" w:lineRule="auto"/>
      </w:pPr>
      <w:r>
        <w:rPr>
          <w:vertAlign w:val="superscript"/>
        </w:rPr>
        <w:footnoteRef/>
      </w:r>
      <w:r>
        <w:rPr>
          <w:sz w:val="20"/>
        </w:rPr>
        <w:t xml:space="preserve"> </w:t>
      </w:r>
      <w:r>
        <w:rPr>
          <w:i/>
          <w:sz w:val="20"/>
        </w:rPr>
        <w:t>Fuga de información, ¿una amenaza pasajera?,</w:t>
      </w:r>
      <w:r>
        <w:rPr>
          <w:sz w:val="20"/>
        </w:rPr>
        <w:t xml:space="preserve"> página 3: </w:t>
      </w:r>
      <w:hyperlink r:id="rId1">
        <w:r>
          <w:rPr>
            <w:color w:val="1155CC"/>
            <w:sz w:val="20"/>
            <w:u w:val="single"/>
          </w:rPr>
          <w:t>http://www.welivesecurity.com/wp-content/uploads/2014/01/fuga_de_informacion.pdf</w:t>
        </w:r>
      </w:hyperlink>
      <w:r>
        <w:rPr>
          <w:sz w:val="20"/>
        </w:rPr>
        <w:t xml:space="preserve"> </w:t>
      </w:r>
    </w:p>
  </w:footnote>
  <w:footnote w:id="2">
    <w:p w:rsidR="00A07C83" w:rsidRDefault="00A07C83">
      <w:pPr>
        <w:spacing w:line="240" w:lineRule="auto"/>
      </w:pPr>
      <w:r>
        <w:rPr>
          <w:vertAlign w:val="superscript"/>
        </w:rPr>
        <w:footnoteRef/>
      </w:r>
      <w:r>
        <w:rPr>
          <w:sz w:val="20"/>
        </w:rPr>
        <w:t xml:space="preserve"> </w:t>
      </w:r>
      <w:r>
        <w:rPr>
          <w:i/>
          <w:sz w:val="20"/>
        </w:rPr>
        <w:t>Como evitar el robo de información clave de una empresa.</w:t>
      </w:r>
      <w:r>
        <w:rPr>
          <w:sz w:val="20"/>
        </w:rPr>
        <w:t xml:space="preserve"> Infobae, 2013.</w:t>
      </w:r>
    </w:p>
    <w:p w:rsidR="00A07C83" w:rsidRDefault="00A07C83">
      <w:pPr>
        <w:spacing w:line="240" w:lineRule="auto"/>
      </w:pPr>
      <w:hyperlink r:id="rId2">
        <w:r>
          <w:rPr>
            <w:color w:val="1155CC"/>
            <w:sz w:val="20"/>
            <w:u w:val="single"/>
          </w:rPr>
          <w:t>http://www.iprofesional.com/notas/168083-El-caso-Manning-reaviv-la-polmica-cmo-evitar-el-robo-de-informacin-clave-de-una-empresa</w:t>
        </w:r>
      </w:hyperlink>
      <w:r>
        <w:rPr>
          <w:sz w:val="20"/>
        </w:rPr>
        <w:t xml:space="preserve"> </w:t>
      </w:r>
    </w:p>
  </w:footnote>
  <w:footnote w:id="3">
    <w:p w:rsidR="00A07C83" w:rsidRDefault="00A07C83">
      <w:pPr>
        <w:spacing w:line="240" w:lineRule="auto"/>
      </w:pPr>
      <w:r>
        <w:rPr>
          <w:vertAlign w:val="superscript"/>
        </w:rPr>
        <w:footnoteRef/>
      </w:r>
      <w:r>
        <w:rPr>
          <w:i/>
          <w:sz w:val="20"/>
        </w:rPr>
        <w:t xml:space="preserve"> Guidelines for Media Sanitization</w:t>
      </w:r>
      <w:r>
        <w:rPr>
          <w:sz w:val="20"/>
        </w:rPr>
        <w:t xml:space="preserve">, página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A07C83" w:rsidRDefault="00A07C83">
      <w:pPr>
        <w:spacing w:line="240" w:lineRule="auto"/>
      </w:pPr>
      <w:r>
        <w:rPr>
          <w:vertAlign w:val="superscript"/>
        </w:rPr>
        <w:footnoteRef/>
      </w:r>
      <w:r>
        <w:rPr>
          <w:i/>
          <w:sz w:val="20"/>
        </w:rPr>
        <w:t xml:space="preserve"> Riesgo Tecnológico y su gran impacto en las organizaciones  </w:t>
      </w:r>
      <w:hyperlink r:id="rId4">
        <w:r>
          <w:rPr>
            <w:color w:val="1155CC"/>
            <w:sz w:val="20"/>
            <w:u w:val="single"/>
          </w:rPr>
          <w:t>http://revista.seguridad.unam.mx/numero-14/riesgo-tecnol%C3%B3gico-y-su-impacto-para-las-organizaciones-parte-i</w:t>
        </w:r>
      </w:hyperlink>
    </w:p>
  </w:footnote>
  <w:footnote w:id="5">
    <w:p w:rsidR="00A07C83" w:rsidRDefault="00A07C83">
      <w:pPr>
        <w:spacing w:line="240" w:lineRule="auto"/>
      </w:pPr>
      <w:r>
        <w:rPr>
          <w:vertAlign w:val="superscript"/>
        </w:rPr>
        <w:footnoteRef/>
      </w:r>
      <w:r>
        <w:rPr>
          <w:sz w:val="20"/>
        </w:rPr>
        <w:t xml:space="preserve"> </w:t>
      </w:r>
      <w:r>
        <w:rPr>
          <w:i/>
          <w:sz w:val="20"/>
        </w:rPr>
        <w:t xml:space="preserve">Siglo XIX - Inventos </w:t>
      </w:r>
      <w:r>
        <w:rPr>
          <w:sz w:val="20"/>
        </w:rPr>
        <w:t xml:space="preserve"> </w:t>
      </w:r>
      <w:hyperlink r:id="rId5">
        <w:r>
          <w:rPr>
            <w:color w:val="1155CC"/>
            <w:sz w:val="20"/>
            <w:u w:val="single"/>
          </w:rPr>
          <w:t>http://es.wikipedia.org/wiki/Siglo_XIX</w:t>
        </w:r>
      </w:hyperlink>
    </w:p>
  </w:footnote>
  <w:footnote w:id="6">
    <w:p w:rsidR="00A07C83" w:rsidRDefault="00A07C83">
      <w:pPr>
        <w:spacing w:line="240" w:lineRule="auto"/>
      </w:pPr>
      <w:r>
        <w:rPr>
          <w:vertAlign w:val="superscript"/>
        </w:rPr>
        <w:footnoteRef/>
      </w:r>
      <w:r>
        <w:rPr>
          <w:sz w:val="20"/>
        </w:rPr>
        <w:t xml:space="preserve"> </w:t>
      </w:r>
      <w:hyperlink r:id="rId6">
        <w:r>
          <w:rPr>
            <w:color w:val="1155CC"/>
            <w:sz w:val="20"/>
            <w:u w:val="single"/>
          </w:rPr>
          <w:t>http://centrodeartigo.com/articulos-noticias-consejos/article_125403.html</w:t>
        </w:r>
      </w:hyperlink>
    </w:p>
  </w:footnote>
  <w:footnote w:id="7">
    <w:p w:rsidR="00A07C83" w:rsidRDefault="00A07C83">
      <w:pPr>
        <w:spacing w:line="240" w:lineRule="auto"/>
      </w:pPr>
      <w:r>
        <w:rPr>
          <w:vertAlign w:val="superscript"/>
        </w:rPr>
        <w:footnoteRef/>
      </w:r>
      <w:r>
        <w:rPr>
          <w:sz w:val="20"/>
        </w:rPr>
        <w:t xml:space="preserve"> </w:t>
      </w:r>
      <w:r>
        <w:rPr>
          <w:i/>
          <w:sz w:val="20"/>
        </w:rPr>
        <w:t>Esteganografía: el arte de pasar inadvertido, Página 12</w:t>
      </w:r>
      <w:r>
        <w:rPr>
          <w:sz w:val="20"/>
        </w:rPr>
        <w:t xml:space="preserve"> </w:t>
      </w:r>
      <w:hyperlink r:id="rId7">
        <w:r>
          <w:rPr>
            <w:color w:val="1155CC"/>
            <w:sz w:val="20"/>
            <w:u w:val="single"/>
          </w:rPr>
          <w:t>http://www.editorialterracota.com.mx/pdf/Criptografia.pdf</w:t>
        </w:r>
      </w:hyperlink>
    </w:p>
  </w:footnote>
  <w:footnote w:id="8">
    <w:p w:rsidR="00A07C83" w:rsidRDefault="00A07C83">
      <w:pPr>
        <w:spacing w:line="240" w:lineRule="auto"/>
      </w:pPr>
      <w:r>
        <w:rPr>
          <w:vertAlign w:val="superscript"/>
        </w:rPr>
        <w:footnoteRef/>
      </w:r>
      <w:r>
        <w:rPr>
          <w:sz w:val="20"/>
        </w:rPr>
        <w:t xml:space="preserve"> </w:t>
      </w:r>
      <w:hyperlink r:id="rId8">
        <w:r>
          <w:rPr>
            <w:color w:val="1155CC"/>
            <w:sz w:val="20"/>
            <w:u w:val="single"/>
          </w:rPr>
          <w:t>http://es.wikipedia.org/wiki/Esteganograf%C3%ADa</w:t>
        </w:r>
      </w:hyperlink>
    </w:p>
  </w:footnote>
  <w:footnote w:id="9">
    <w:p w:rsidR="00A07C83" w:rsidRDefault="00A07C83">
      <w:pPr>
        <w:spacing w:line="240" w:lineRule="auto"/>
      </w:pPr>
      <w:r>
        <w:rPr>
          <w:vertAlign w:val="superscript"/>
        </w:rPr>
        <w:footnoteRef/>
      </w:r>
      <w:r>
        <w:rPr>
          <w:sz w:val="20"/>
        </w:rPr>
        <w:t xml:space="preserve"> </w:t>
      </w:r>
      <w:hyperlink r:id="rId9">
        <w:r>
          <w:rPr>
            <w:color w:val="1155CC"/>
            <w:sz w:val="20"/>
            <w:u w:val="single"/>
          </w:rPr>
          <w:t>http://bioestegoencript.blogspot.com.ar/2014/04/criptografia.html</w:t>
        </w:r>
      </w:hyperlink>
    </w:p>
  </w:footnote>
  <w:footnote w:id="10">
    <w:p w:rsidR="00A07C83" w:rsidRDefault="00A07C83">
      <w:pPr>
        <w:spacing w:line="240" w:lineRule="auto"/>
      </w:pPr>
      <w:r>
        <w:rPr>
          <w:vertAlign w:val="superscript"/>
        </w:rPr>
        <w:footnoteRef/>
      </w:r>
      <w:r>
        <w:rPr>
          <w:sz w:val="20"/>
        </w:rPr>
        <w:t xml:space="preserve"> </w:t>
      </w:r>
      <w:hyperlink r:id="rId10">
        <w:r>
          <w:rPr>
            <w:color w:val="1155CC"/>
            <w:sz w:val="20"/>
            <w:u w:val="single"/>
          </w:rPr>
          <w:t>ht</w:t>
        </w:r>
      </w:hyperlink>
      <w:r>
        <w:rPr>
          <w:sz w:val="20"/>
        </w:rPr>
        <w:t>tp://redyseguridad.fi-p.unam.mx/proyectos/criptografia/criptografia/index.php/1-panorama-general/12-historia-de-la-criptografia?showall=&amp;start=2</w:t>
      </w:r>
    </w:p>
  </w:footnote>
  <w:footnote w:id="11">
    <w:p w:rsidR="00A07C83" w:rsidRDefault="00A07C83">
      <w:pPr>
        <w:spacing w:line="240" w:lineRule="auto"/>
      </w:pPr>
      <w:r>
        <w:rPr>
          <w:vertAlign w:val="superscript"/>
        </w:rPr>
        <w:footnoteRef/>
      </w:r>
      <w:r>
        <w:rPr>
          <w:sz w:val="20"/>
        </w:rPr>
        <w:t xml:space="preserve"> </w:t>
      </w:r>
      <w:r>
        <w:rPr>
          <w:i/>
          <w:sz w:val="20"/>
        </w:rPr>
        <w:t>Cifrado de Vigenère</w:t>
      </w:r>
      <w:r>
        <w:t xml:space="preserve"> </w:t>
      </w:r>
      <w:hyperlink r:id="rId11">
        <w:r>
          <w:rPr>
            <w:color w:val="1155CC"/>
            <w:sz w:val="20"/>
            <w:u w:val="single"/>
          </w:rPr>
          <w:t>http://jcabana-cripto.blogspot.com.ar/</w:t>
        </w:r>
      </w:hyperlink>
    </w:p>
  </w:footnote>
  <w:footnote w:id="12">
    <w:p w:rsidR="00A07C83" w:rsidRDefault="00A07C83">
      <w:pPr>
        <w:spacing w:line="240" w:lineRule="auto"/>
      </w:pPr>
      <w:r>
        <w:rPr>
          <w:vertAlign w:val="superscript"/>
        </w:rPr>
        <w:footnoteRef/>
      </w:r>
      <w:r>
        <w:rPr>
          <w:sz w:val="20"/>
        </w:rPr>
        <w:t xml:space="preserve"> </w:t>
      </w:r>
      <w:r>
        <w:rPr>
          <w:i/>
          <w:sz w:val="20"/>
        </w:rPr>
        <w:t>Telegrama Zimmerman</w:t>
      </w:r>
      <w:r>
        <w:rPr>
          <w:sz w:val="20"/>
        </w:rPr>
        <w:t xml:space="preserve">n </w:t>
      </w:r>
      <w:hyperlink r:id="rId12">
        <w:r>
          <w:rPr>
            <w:color w:val="1155CC"/>
            <w:sz w:val="20"/>
            <w:u w:val="single"/>
          </w:rPr>
          <w:t>http://es.wikipedia.org/wiki/Telegrama_Zimmermann</w:t>
        </w:r>
      </w:hyperlink>
    </w:p>
  </w:footnote>
  <w:footnote w:id="13">
    <w:p w:rsidR="00A07C83" w:rsidRDefault="00A07C83">
      <w:pPr>
        <w:spacing w:line="240" w:lineRule="auto"/>
      </w:pPr>
      <w:r>
        <w:rPr>
          <w:vertAlign w:val="superscript"/>
        </w:rPr>
        <w:footnoteRef/>
      </w:r>
      <w:r>
        <w:rPr>
          <w:sz w:val="20"/>
        </w:rPr>
        <w:t xml:space="preserve"> </w:t>
      </w:r>
      <w:r>
        <w:rPr>
          <w:i/>
          <w:sz w:val="20"/>
        </w:rPr>
        <w:t>La Criptografía Clásica, Página 21</w:t>
      </w:r>
      <w:r>
        <w:rPr>
          <w:sz w:val="20"/>
        </w:rPr>
        <w:t xml:space="preserve"> </w:t>
      </w:r>
    </w:p>
    <w:p w:rsidR="00A07C83" w:rsidRDefault="00A07C83">
      <w:pPr>
        <w:spacing w:line="240" w:lineRule="auto"/>
      </w:pPr>
      <w:hyperlink r:id="rId13">
        <w:r>
          <w:rPr>
            <w:color w:val="1155CC"/>
            <w:sz w:val="20"/>
            <w:u w:val="single"/>
          </w:rPr>
          <w:t>http://www.hezkuntza.ejgv.euskadi.net/r43-573/es/contenidos/informacion/dia6_sigma/es_sigma/adjuntos/sigma_24/9_Criptografia_clasica.pdf</w:t>
        </w:r>
      </w:hyperlink>
    </w:p>
  </w:footnote>
  <w:footnote w:id="14">
    <w:p w:rsidR="00A07C83" w:rsidRDefault="00A07C83">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A07C83" w:rsidRDefault="00A07C83">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A07C83" w:rsidRDefault="00A07C83">
      <w:pPr>
        <w:spacing w:line="240" w:lineRule="auto"/>
      </w:pPr>
      <w:r>
        <w:rPr>
          <w:vertAlign w:val="superscript"/>
        </w:rPr>
        <w:footnoteRef/>
      </w:r>
      <w:r>
        <w:rPr>
          <w:i/>
          <w:sz w:val="20"/>
        </w:rPr>
        <w:t>The future of the NHS (National Health System), 2000</w:t>
      </w:r>
      <w:r>
        <w:rPr>
          <w:sz w:val="20"/>
        </w:rPr>
        <w:t xml:space="preserve">, Artículo de la revista </w:t>
      </w:r>
      <w:r>
        <w:rPr>
          <w:i/>
          <w:sz w:val="20"/>
        </w:rPr>
        <w:t>The Guardian</w:t>
      </w:r>
      <w:r>
        <w:rPr>
          <w:sz w:val="20"/>
        </w:rPr>
        <w:t xml:space="preserve">, Reino Unido. </w:t>
      </w:r>
      <w:hyperlink r:id="rId16">
        <w:r>
          <w:rPr>
            <w:color w:val="1155CC"/>
            <w:sz w:val="20"/>
            <w:u w:val="single"/>
          </w:rPr>
          <w:t>http://www.theguardian.com/society/2000/jun/25/futureofthenhs.health</w:t>
        </w:r>
      </w:hyperlink>
    </w:p>
  </w:footnote>
  <w:footnote w:id="17">
    <w:p w:rsidR="00A07C83" w:rsidRDefault="00A07C83">
      <w:pPr>
        <w:spacing w:line="240" w:lineRule="auto"/>
      </w:pPr>
      <w:r>
        <w:rPr>
          <w:vertAlign w:val="superscript"/>
        </w:rPr>
        <w:footnoteRef/>
      </w:r>
      <w:r>
        <w:rPr>
          <w:sz w:val="20"/>
        </w:rPr>
        <w:t xml:space="preserve"> </w:t>
      </w:r>
      <w:r>
        <w:rPr>
          <w:i/>
          <w:sz w:val="20"/>
        </w:rPr>
        <w:t xml:space="preserve">InfoWatch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A07C83" w:rsidRDefault="00A07C83">
      <w:pPr>
        <w:spacing w:line="240" w:lineRule="auto"/>
      </w:pPr>
      <w:r>
        <w:rPr>
          <w:vertAlign w:val="superscript"/>
        </w:rPr>
        <w:footnoteRef/>
      </w:r>
      <w:r>
        <w:rPr>
          <w:sz w:val="20"/>
        </w:rPr>
        <w:t xml:space="preserve"> </w:t>
      </w:r>
      <w:r>
        <w:rPr>
          <w:i/>
          <w:sz w:val="20"/>
        </w:rPr>
        <w:t>Patent</w:t>
      </w:r>
      <w:r>
        <w:rPr>
          <w:sz w:val="20"/>
        </w:rPr>
        <w:t xml:space="preserve">, Artículo de Wikipedia. </w:t>
      </w:r>
      <w:hyperlink r:id="rId18">
        <w:r>
          <w:rPr>
            <w:color w:val="1155CC"/>
            <w:sz w:val="20"/>
            <w:u w:val="single"/>
          </w:rPr>
          <w:t>http://en.wikipedia.org/wiki/Patent</w:t>
        </w:r>
      </w:hyperlink>
      <w:r>
        <w:rPr>
          <w:sz w:val="20"/>
        </w:rPr>
        <w:t xml:space="preserve"> </w:t>
      </w:r>
    </w:p>
  </w:footnote>
  <w:footnote w:id="19">
    <w:p w:rsidR="00A07C83" w:rsidRDefault="00A07C83">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A07C83" w:rsidRDefault="00A07C83">
      <w:pPr>
        <w:spacing w:line="240" w:lineRule="auto"/>
      </w:pPr>
      <w:r>
        <w:rPr>
          <w:vertAlign w:val="superscript"/>
        </w:rPr>
        <w:footnoteRef/>
      </w:r>
      <w:r>
        <w:rPr>
          <w:sz w:val="20"/>
        </w:rPr>
        <w:t xml:space="preserve"> </w:t>
      </w:r>
      <w:r>
        <w:rPr>
          <w:i/>
          <w:sz w:val="20"/>
        </w:rPr>
        <w:t>Fuga de información, ¿una amenaza pasajera?, 2011,</w:t>
      </w:r>
      <w:r>
        <w:rPr>
          <w:sz w:val="20"/>
        </w:rPr>
        <w:t xml:space="preserve"> página 7: </w:t>
      </w:r>
      <w:hyperlink r:id="rId20">
        <w:r>
          <w:rPr>
            <w:color w:val="1155CC"/>
            <w:sz w:val="20"/>
            <w:u w:val="single"/>
          </w:rPr>
          <w:t>http://www.welivesecurity.com/wp-content/uploads/2014/01/fuga_de_informacion.pdf</w:t>
        </w:r>
      </w:hyperlink>
      <w:r>
        <w:rPr>
          <w:sz w:val="20"/>
        </w:rPr>
        <w:t xml:space="preserve"> </w:t>
      </w:r>
    </w:p>
  </w:footnote>
  <w:footnote w:id="21">
    <w:p w:rsidR="00A07C83" w:rsidRDefault="00A07C83">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A07C83" w:rsidRDefault="00A07C83">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C83" w:rsidRDefault="00A07C83"/>
  <w:p w:rsidR="00A07C83" w:rsidRDefault="00A07C83">
    <w:r>
      <w:rPr>
        <w:b/>
        <w:i/>
      </w:rPr>
      <w:t>Fuga de información</w:t>
    </w:r>
    <w:r>
      <w:tab/>
    </w:r>
    <w:r>
      <w:tab/>
    </w:r>
    <w:r>
      <w:tab/>
    </w:r>
    <w:r>
      <w:tab/>
    </w:r>
    <w:r>
      <w:tab/>
    </w:r>
    <w:r>
      <w:rPr>
        <w:i/>
      </w:rPr>
      <w:t>75.17  /  75.56  -  2014  2°C  -  Grupo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213065"/>
    <w:rsid w:val="0022396E"/>
    <w:rsid w:val="002D5E29"/>
    <w:rsid w:val="00552469"/>
    <w:rsid w:val="005D35D1"/>
    <w:rsid w:val="00A0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8BC23-CB1E-4587-A041-18F7C5039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cp:lastModifiedBy>Maria Ines Parnisari</cp:lastModifiedBy>
  <cp:revision>5</cp:revision>
  <dcterms:created xsi:type="dcterms:W3CDTF">2014-11-08T04:46:00Z</dcterms:created>
  <dcterms:modified xsi:type="dcterms:W3CDTF">2014-11-08T05:03:00Z</dcterms:modified>
</cp:coreProperties>
</file>