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Reunión de kickoff — 14 de octubre de 2026</w:t>
      </w:r>
    </w:p>
    <w:p>
      <w:pPr>
        <w:pStyle w:val="Normal"/>
      </w:pPr>
      <w:r>
        <w:rPr>
          <w:b/>
        </w:rPr>
        <w:t xml:space="preserve">Proyecto:</w:t>
      </w:r>
      <w:r>
        <w:t xml:space="preserve"> Cockpit eMerch con agente de inteligencia artificial para Leroy Merlin</w:t>
      </w:r>
    </w:p>
    <w:p>
      <w:pPr>
        <w:pStyle w:val="Normal"/>
      </w:pPr>
      <w:r>
        <w:rPr>
          <w:b/>
        </w:rPr>
        <w:t xml:space="preserve">Equipos:</w:t>
      </w:r>
      <w:r>
        <w:t xml:space="preserve"> Multiplica y Leroy Merlin</w:t>
      </w:r>
    </w:p>
    <w:p>
      <w:pPr>
        <w:pStyle w:val="Normal"/>
      </w:pPr>
      <w:r>
        <w:rPr>
          <w:b/>
        </w:rPr>
        <w:t xml:space="preserve">Reunión de origen:</w:t>
      </w:r>
      <w:r>
        <w:t xml:space="preserve"> Evolución Q4 Guías eMerch + Analítica</w:t>
      </w:r>
    </w:p>
    <w:p>
      <w:pPr>
        <w:pStyle w:val="Normal"/>
      </w:pPr>
      <w:r>
        <w:t xml:space="preserve">Este documento recoge conclusiones e interpretación de la conversación. No constituye un acta de acuerdos ni un alcance cerrado. La fuente es una transcripción automática que puede contener errores.</w:t>
      </w:r>
    </w:p>
    <w:p>
      <w:pPr>
        <w:pStyle w:val="Heading1"/>
      </w:pPr>
      <w:r>
        <w:t xml:space="preserve">Conclusión principal</w:t>
      </w:r>
    </w:p>
    <w:p>
      <w:pPr>
        <w:pStyle w:val="Normal"/>
      </w:pPr>
      <w:r>
        <w:t xml:space="preserve">Leroy Merlin quiere una herramienta que ayude al equipo a decidir dónde actuar cada día y a poner en marcha esas acciones. El dashboard y el agente de IA son las piezas para conseguirlo.</w:t>
      </w:r>
    </w:p>
    <w:p>
      <w:pPr>
        <w:pStyle w:val="Normal"/>
      </w:pPr>
      <w:r>
        <w:t xml:space="preserve">La dirección del proyecto está bastante clara, aunque todavía hay que concretar las funcionalidades y los criterios de éxito.</w:t>
      </w:r>
    </w:p>
    <w:p>
      <w:pPr>
        <w:pStyle w:val="Heading1"/>
      </w:pPr>
      <w:r>
        <w:t xml:space="preserve">1. Visión amplia y primer alcance centrado en calidad de catálogo</w:t>
      </w:r>
    </w:p>
    <w:p>
      <w:pPr>
        <w:pStyle w:val="Normal"/>
      </w:pPr>
      <w:r>
        <w:t xml:space="preserve">La visión futura es un cockpit que acompañe toda la misión del eMerch: navegación y experiencia, animación comercial, calidad de catálogo y analítica digital.</w:t>
      </w:r>
    </w:p>
    <w:p>
      <w:pPr>
        <w:pStyle w:val="Normal"/>
      </w:pPr>
      <w:r>
        <w:t xml:space="preserve">Para esta primera versión, se insiste en concentrarse en </w:t>
      </w:r>
      <w:r>
        <w:rPr>
          <w:b/>
        </w:rPr>
        <w:t xml:space="preserve">calidad de catálogo y la analítica necesaria para mejorarla</w:t>
      </w:r>
      <w:r>
        <w:t xml:space="preserve">, integrado en la herramienta de Guías eMerch.</w:t>
      </w:r>
    </w:p>
    <w:p>
      <w:pPr>
        <w:pStyle w:val="Normal"/>
      </w:pPr>
      <w:r>
        <w:t xml:space="preserve">Multiplica debe mantener visible esta diferencia: la visión futura orienta el diseño, pero no constituye el alcance comprometido.</w:t>
      </w:r>
    </w:p>
    <w:p>
      <w:pPr>
        <w:pStyle w:val="Heading1"/>
      </w:pPr>
      <w:r>
        <w:t xml:space="preserve">2. Una experiencia que empieza con propuestas útiles</w:t>
      </w:r>
    </w:p>
    <w:p>
      <w:pPr>
        <w:pStyle w:val="Normal"/>
      </w:pPr>
      <w:r>
        <w:t xml:space="preserve">Una expectativa explícita es que, al comenzar la jornada, el usuario encuentre respuestas a estas preguntas:</w:t>
      </w:r>
    </w:p>
    <w:p>
      <w:pPr>
        <w:pStyle w:val="ListParagraph"/>
      </w:pPr>
      <w:r>
        <w:t xml:space="preserve">• ¿Qué ha cambiado y requiere mi atención?</w:t>
      </w:r>
    </w:p>
    <w:p>
      <w:pPr>
        <w:pStyle w:val="ListParagraph"/>
      </w:pPr>
      <w:r>
        <w:t xml:space="preserve">• ¿Qué problemas u oportunidades debería priorizar?</w:t>
      </w:r>
    </w:p>
    <w:p>
      <w:pPr>
        <w:pStyle w:val="ListParagraph"/>
      </w:pPr>
      <w:r>
        <w:t xml:space="preserve">• ¿Qué acción puedo realizar y por qué?</w:t>
      </w:r>
    </w:p>
    <w:p>
      <w:pPr>
        <w:pStyle w:val="Normal"/>
      </w:pPr>
      <w:r>
        <w:t xml:space="preserve">El agente necesita un comportamiento proactivo. La conversación sirve para profundizar, pedir explicaciones o ajustar una propuesta, pero la herramienta debe aportar valor desde que se abre.</w:t>
      </w:r>
    </w:p>
    <w:p>
      <w:pPr>
        <w:pStyle w:val="Heading1"/>
      </w:pPr>
      <w:r>
        <w:t xml:space="preserve">3. La conexión entre datos y acciones es el centro del producto</w:t>
      </w:r>
    </w:p>
    <w:p>
      <w:pPr>
        <w:pStyle w:val="Normal"/>
      </w:pPr>
      <w:r>
        <w:t xml:space="preserve">El recorrido que se extrae de la conversación es:</w:t>
      </w:r>
    </w:p>
    <w:p>
      <w:pPr>
        <w:pStyle w:val="Normal"/>
      </w:pPr>
      <w:r>
        <w:rPr>
          <w:b/>
        </w:rPr>
        <w:t xml:space="preserve">Detectar una situación → explicar la evidencia → proponer una acción → validarla → hacer seguimiento.</w:t>
      </w:r>
    </w:p>
    <w:p>
      <w:pPr>
        <w:pStyle w:val="Normal"/>
      </w:pPr>
      <w:r>
        <w:t xml:space="preserve">En la reunión aparecen ejemplos concretos:</w:t>
      </w:r>
    </w:p>
    <w:p>
      <w:pPr>
        <w:pStyle w:val="ListParagraph"/>
      </w:pPr>
      <w:r>
        <w:t xml:space="preserve">• Información de producto incompleta.</w:t>
      </w:r>
    </w:p>
    <w:p>
      <w:pPr>
        <w:pStyle w:val="ListParagraph"/>
      </w:pPr>
      <w:r>
        <w:t xml:space="preserve">• Modelos relevantes sin Guía eMerch.</w:t>
      </w:r>
    </w:p>
    <w:p>
      <w:pPr>
        <w:pStyle w:val="ListParagraph"/>
      </w:pPr>
      <w:r>
        <w:t xml:space="preserve">• Necesidades de información que deben trasladarse a proveedores y sellers.</w:t>
      </w:r>
    </w:p>
    <w:p>
      <w:pPr>
        <w:pStyle w:val="Normal"/>
      </w:pPr>
      <w:r>
        <w:t xml:space="preserve">Algunas acciones corresponderán a información de producto, contenido o SEO. Aunque el usuario principal sea el eMerch, hay que definir cómo se derivan esas tareas y quién se responsabiliza de ellas.</w:t>
      </w:r>
    </w:p>
    <w:p>
      <w:pPr>
        <w:pStyle w:val="Normal"/>
      </w:pPr>
      <w:r>
        <w:t xml:space="preserve">La integración con Jira se plantea en este contexto, pero su funcionamiento concreto sigue pendiente.</w:t>
      </w:r>
    </w:p>
    <w:p>
      <w:pPr>
        <w:pStyle w:val="Heading1"/>
      </w:pPr>
      <w:r>
        <w:t xml:space="preserve">4. La confianza será una condición de adopción</w:t>
      </w:r>
    </w:p>
    <w:p>
      <w:pPr>
        <w:pStyle w:val="Normal"/>
      </w:pPr>
      <w:r>
        <w:t xml:space="preserve">Se repite la preocupación por respuestas inventadas, errores numéricos y conclusiones equivocadas sobre el impacto comercial.</w:t>
      </w:r>
    </w:p>
    <w:p>
      <w:pPr>
        <w:pStyle w:val="Normal"/>
      </w:pPr>
      <w:r>
        <w:t xml:space="preserve">Como traducción propuesta a requisitos de producto, cada recomendación debería permitir entender:</w:t>
      </w:r>
    </w:p>
    <w:p>
      <w:pPr>
        <w:pStyle w:val="ListParagraph"/>
      </w:pPr>
      <w:r>
        <w:t xml:space="preserve">• En qué datos se apoya.</w:t>
      </w:r>
    </w:p>
    <w:p>
      <w:pPr>
        <w:pStyle w:val="ListParagraph"/>
      </w:pPr>
      <w:r>
        <w:t xml:space="preserve">• Qué criterio aplica.</w:t>
      </w:r>
    </w:p>
    <w:p>
      <w:pPr>
        <w:pStyle w:val="ListParagraph"/>
      </w:pPr>
      <w:r>
        <w:t xml:space="preserve">• Qué información falta.</w:t>
      </w:r>
    </w:p>
    <w:p>
      <w:pPr>
        <w:pStyle w:val="Normal"/>
      </w:pPr>
      <w:r>
        <w:t xml:space="preserve">Los cálculos deberían ejecutarse mediante consultas y lógica validada. El agente puede interpretar la pregunta y explicar el resultado.</w:t>
      </w:r>
    </w:p>
    <w:p>
      <w:pPr>
        <w:pStyle w:val="Normal"/>
      </w:pPr>
      <w:r>
        <w:t xml:space="preserve">Observar que mejora la conversión después de completar información no demuestra que esa mejora se deba al cambio. Las estimaciones de impacto deberán presentarse con sus límites.</w:t>
      </w:r>
    </w:p>
    <w:p>
      <w:pPr>
        <w:pStyle w:val="Heading1"/>
      </w:pPr>
      <w:r>
        <w:t xml:space="preserve">5. Las Guías eMerch aportan el conocimiento específico</w:t>
      </w:r>
    </w:p>
    <w:p>
      <w:pPr>
        <w:pStyle w:val="Normal"/>
      </w:pPr>
      <w:r>
        <w:t xml:space="preserve">Las guías contienen criterios sobre qué necesita cada familia de producto y cómo debería presentarse. Ese conocimiento, combinado con los datos, permitirá formular recomendaciones pertinentes para Leroy Merlin.</w:t>
      </w:r>
    </w:p>
    <w:p>
      <w:pPr>
        <w:pStyle w:val="Normal"/>
      </w:pPr>
      <w:r>
        <w:t xml:space="preserve">El proyecto depende de conocer la cobertura, validación y actualización de las guías, además de disponer de las vistas necesarias en BigQuery.</w:t>
      </w:r>
    </w:p>
    <w:p>
      <w:pPr>
        <w:pStyle w:val="Heading1"/>
      </w:pPr>
      <w:r>
        <w:t xml:space="preserve">6. Una tensión de alcance que debe resolverse pronto</w:t>
      </w:r>
    </w:p>
    <w:p>
      <w:pPr>
        <w:pStyle w:val="Normal"/>
      </w:pPr>
      <w:r>
        <w:t xml:space="preserve">En la conversación aparecen aspiraciones como múltiples agentes, personalización individual, configuración autónoma y conexión entre áreas. También se reconoce que buena parte de estas capacidades queda para futuras fases.</w:t>
      </w:r>
    </w:p>
    <w:p>
      <w:pPr>
        <w:pStyle w:val="Normal"/>
      </w:pPr>
      <w:r>
        <w:t xml:space="preserve">Un matiz relevante es que </w:t>
      </w:r>
      <w:r>
        <w:rPr>
          <w:b/>
        </w:rPr>
        <w:t xml:space="preserve">se pide mantener una visión transversal entre mundos</w:t>
      </w:r>
      <w:r>
        <w:t xml:space="preserve">, aunque haya que reducir el número de métricas o funcionalidades. La propuesta inicial de limitarse a un mundo se cuestiona durante la reunión.</w:t>
      </w:r>
    </w:p>
    <w:p>
      <w:pPr>
        <w:pStyle w:val="Normal"/>
      </w:pPr>
      <w:r>
        <w:t xml:space="preserve">No deben considerarse cerrados ni el número de widgets ni todos los casos de uso mencionados. Son propuestas que deben contrastarse con su valor, la disponibilidad de datos y el esfuerzo necesario.</w:t>
      </w:r>
    </w:p>
    <w:p>
      <w:pPr>
        <w:pStyle w:val="Heading1"/>
      </w:pPr>
      <w:r>
        <w:t xml:space="preserve">7. El éxito debe medirse en el trabajo del equipo</w:t>
      </w:r>
    </w:p>
    <w:p>
      <w:pPr>
        <w:pStyle w:val="Normal"/>
      </w:pPr>
      <w:r>
        <w:t xml:space="preserve">La conversación apunta al uso habitual, la confianza y la reducción de las dificultades actuales.</w:t>
      </w:r>
    </w:p>
    <w:p>
      <w:pPr>
        <w:pStyle w:val="Normal"/>
      </w:pPr>
      <w:r>
        <w:t xml:space="preserve">Como propuesta para concretar la medición, se podrían utilizar indicadores como:</w:t>
      </w:r>
    </w:p>
    <w:p>
      <w:pPr>
        <w:pStyle w:val="ListParagraph"/>
      </w:pPr>
      <w:r>
        <w:t xml:space="preserve">• Tiempo necesario para detectar y preparar una acción.</w:t>
      </w:r>
    </w:p>
    <w:p>
      <w:pPr>
        <w:pStyle w:val="ListParagraph"/>
      </w:pPr>
      <w:r>
        <w:t xml:space="preserve">• Utilidad de las recomendaciones.</w:t>
      </w:r>
    </w:p>
    <w:p>
      <w:pPr>
        <w:pStyle w:val="ListParagraph"/>
      </w:pPr>
      <w:r>
        <w:t xml:space="preserve">• Acciones que llegan a resolverse.</w:t>
      </w:r>
    </w:p>
    <w:p>
      <w:pPr>
        <w:pStyle w:val="Normal"/>
      </w:pPr>
      <w:r>
        <w:t xml:space="preserve">Es necesario acordar con Leroy Merlin una situación de partida y unos objetivos medibles.</w:t>
      </w:r>
    </w:p>
    <w:p>
      <w:pPr>
        <w:pStyle w:val="Heading1"/>
      </w:pPr>
      <w:r>
        <w:t xml:space="preserve">Siguiente paso propuesto para Multiplica</w:t>
      </w:r>
    </w:p>
    <w:p>
      <w:pPr>
        <w:pStyle w:val="Normal"/>
      </w:pPr>
      <w:r>
        <w:t xml:space="preserve">Cerrar una lista corta de situaciones reales que la primera versión resolverá de principio a fin. Para cada una, definir:</w:t>
      </w:r>
    </w:p>
    <w:p>
      <w:pPr>
        <w:pStyle w:val="ListParagraph"/>
      </w:pPr>
      <w:r>
        <w:t xml:space="preserve">• Usuario.</w:t>
      </w:r>
    </w:p>
    <w:p>
      <w:pPr>
        <w:pStyle w:val="ListParagraph"/>
      </w:pPr>
      <w:r>
        <w:t xml:space="preserve">• Problema.</w:t>
      </w:r>
    </w:p>
    <w:p>
      <w:pPr>
        <w:pStyle w:val="ListParagraph"/>
      </w:pPr>
      <w:r>
        <w:t xml:space="preserve">• Datos disponibles.</w:t>
      </w:r>
    </w:p>
    <w:p>
      <w:pPr>
        <w:pStyle w:val="ListParagraph"/>
      </w:pPr>
      <w:r>
        <w:t xml:space="preserve">• Criterio de detección.</w:t>
      </w:r>
    </w:p>
    <w:p>
      <w:pPr>
        <w:pStyle w:val="ListParagraph"/>
      </w:pPr>
      <w:r>
        <w:t xml:space="preserve">• Propuesta del agente.</w:t>
      </w:r>
    </w:p>
    <w:p>
      <w:pPr>
        <w:pStyle w:val="ListParagraph"/>
      </w:pPr>
      <w:r>
        <w:t xml:space="preserve">• Responsable de actuar.</w:t>
      </w:r>
    </w:p>
    <w:p>
      <w:pPr>
        <w:pStyle w:val="ListParagraph"/>
      </w:pPr>
      <w:r>
        <w:t xml:space="preserve">• Forma de medir el resultado.</w:t>
      </w:r>
    </w:p>
    <w:p>
      <w:pPr>
        <w:pStyle w:val="Heading1"/>
      </w:pPr>
      <w:r>
        <w:t xml:space="preserve">Formulación propuesta del proyecto</w:t>
      </w:r>
    </w:p>
    <w:p>
      <w:pPr>
        <w:pStyle w:val="Quote"/>
      </w:pPr>
      <w:r>
        <w:t xml:space="preserve">Crear un espacio de trabajo para que el equipo eMerch identifique y priorice mejoras de calidad de catálogo, apoyado por un agente que explique los datos y proponga acciones bajo control del usuario.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s-ES"/>
      </w:rPr>
    </w:rPrDefault>
    <w:pPrDefault>
      <w:pPr>
        <w:spacing w:after="140" w:line="276" w:lineRule="auto"/>
      </w:pPr>
    </w:pPrDefault>
  </w:docDefaults>
  <w:style w:type="paragraph" w:styleId="Normal">
    <w:name w:val="Normal"/>
    <w:pPr/>
    <w:rPr>
      <w:sz w:val="22"/>
    </w:rPr>
  </w:style>
  <w:style w:type="paragraph" w:styleId="Title">
    <w:name w:val="Title"/>
    <w:pPr>
      <w:keepNext/>
      <w:spacing w:before="240" w:after="140"/>
    </w:pPr>
    <w:rPr>
      <w:sz w:val="36"/>
      <w:b/>
    </w:rPr>
  </w:style>
  <w:style w:type="paragraph" w:styleId="Heading1">
    <w:name w:val="Heading1"/>
    <w:pPr>
      <w:keepNext/>
      <w:spacing w:before="240" w:after="140"/>
    </w:pPr>
    <w:rPr>
      <w:sz w:val="27"/>
      <w:b/>
    </w:rPr>
  </w:style>
  <w:style w:type="paragraph" w:styleId="ListParagraph">
    <w:name w:val="ListParagraph"/>
    <w:pPr>
      <w:ind w:left="300"/>
    </w:pPr>
    <w:rPr>
      <w:sz w:val="22"/>
    </w:rPr>
  </w:style>
  <w:style w:type="paragraph" w:styleId="Quote">
    <w:name w:val="Quote"/>
    <w:pPr>
      <w:ind w:left="300"/>
    </w:pPr>
    <w:rPr>
      <w:sz w:val="22"/>
      <w:i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