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before="400" w:after="200"/>
        <w:jc w:val="center"/>
      </w:pPr>
      <w:r>
        <w:t xml:space="preserve">ANÁLISIS COMPARATIVO L1 vs L2</w:t>
      </w:r>
    </w:p>
    <w:p>
      <w:pPr>
        <w:spacing w:after="100"/>
        <w:jc w:val="center"/>
      </w:pPr>
      <w:r>
        <w:t xml:space="preserve">Equipo NIR 316FG103</w:t>
      </w:r>
    </w:p>
    <w:p>
      <w:pPr>
        <w:spacing w:after="400"/>
        <w:jc w:val="center"/>
      </w:pPr>
      <w:r>
        <w:t xml:space="preserve">Evaluación de Divergencia Espectral entre Lámparas</w:t>
      </w:r>
    </w:p>
    <w:p>
      <w:pPr>
        <w:spacing w:after="200"/>
        <w:jc w:val="center"/>
      </w:pPr>
      <w:r>
        <w:t xml:space="preserve">Fecha: 24 de noviembre de 2025</w:t>
      </w:r>
    </w:p>
    <w:p>
      <w:pPr>
        <w:spacing w:after="600"/>
        <w:jc w:val="center"/>
      </w:pPr>
      <w:r>
        <w:t xml:space="preserve">Analista: Miquel (Buchi NIR Technical Specialist)</w:t>
      </w:r>
    </w:p>
    <w:p>
      <w:pPr>
        <w:pStyle w:val="Heading1"/>
        <w:spacing w:before="400" w:after="200"/>
      </w:pPr>
      <w:r>
        <w:t xml:space="preserve">1. RESUMEN EJECUTIVO</w:t>
      </w:r>
    </w:p>
    <w:p>
      <w:pPr>
        <w:spacing w:after="200"/>
      </w:pPr>
      <w:r>
        <w:t xml:space="preserve">Este análisis evalúa la comparabilidad espectral entre las lámparas L1 y L2 en el equipo NIR 316FG103, con el objetivo de validar correcciones baseline para COREF Suite. Los resultados demuestran que: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La correlación espectral global L1-L2 es excelente (R² = 0.951)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El RMSE promedio es bajo (0.014 AU), indicando buena alineación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Se identificaron regiones espectrales críticas que requieren corrección específica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• Los estándares ópticos V01-V05 predicen correctamente las divergencias en muestras reales</w:t>
      </w:r>
    </w:p>
    <w:p>
      <w:pPr>
        <w:pStyle w:val="Heading1"/>
        <w:spacing w:before="400" w:after="200"/>
      </w:pPr>
      <w:r>
        <w:t xml:space="preserve">2. METODOLOGÍA</w:t>
      </w:r>
    </w:p>
    <w:p>
      <w:pPr>
        <w:pStyle w:val="Heading2"/>
        <w:spacing w:before="200" w:after="100"/>
      </w:pPr>
      <w:r>
        <w:t xml:space="preserve">2.1 Conjunto de Datos</w:t>
      </w:r>
    </w:p>
    <w:p>
      <w:pPr>
        <w:spacing w:after="100"/>
      </w:pPr>
      <w:r>
        <w:t xml:space="preserve">Se analizaron 11 muestras medidas con ambas lámparas (L1-NB y L2-LBFL1NB):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5 estándares ópticos Vitablend (V01-V05)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4 muestras reales (Soja, Colza, Pienso, Trigo, Maíz)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1 referencia WHITE (control de calidad)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Total: 247 píxeles espectrales por muestra</w:t>
      </w:r>
    </w:p>
    <w:p>
      <w:pPr>
        <w:pStyle w:val="Heading2"/>
        <w:spacing w:before="200" w:after="100"/>
      </w:pPr>
      <w:r>
        <w:t xml:space="preserve">2.2 Parámetros Evaluados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Correlación y R² entre espectros L1-L2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RMSE (Root Mean Square Error) espectral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Diferencia máxima absoluta por píxel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Residuos (L2 - L1) por píxel y región espectral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• Comparación de predicciones químicas (H, PB, GB, FB, Cz)</w:t>
      </w:r>
    </w:p>
    <w:p>
      <w:pPr>
        <w:pStyle w:val="Heading1"/>
        <w:spacing w:before="400" w:after="200"/>
      </w:pPr>
      <w:r>
        <w:t xml:space="preserve">3. RESULTADOS GLOBALES</w:t>
      </w:r>
    </w:p>
    <w:p>
      <w:pPr>
        <w:pStyle w:val="Heading2"/>
        <w:spacing w:before="200" w:after="100"/>
      </w:pPr>
      <w:r>
        <w:t xml:space="preserve">3.1 Estadísticas Espectrales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3D3D3"/>
          </w:tcPr>
          <w:p>
            <w:r>
              <w:t xml:space="preserve">Parámetro</w:t>
            </w:r>
          </w:p>
        </w:tc>
        <w:tc>
          <w:tcPr>
            <w:shd w:fill="D3D3D3"/>
          </w:tcPr>
          <w:p>
            <w:r>
              <w:t xml:space="preserve">Valor</w:t>
            </w:r>
          </w:p>
        </w:tc>
        <w:tc>
          <w:tcPr>
            <w:shd w:fill="D3D3D3"/>
          </w:tcPr>
          <w:p>
            <w:r>
              <w:t xml:space="preserve">Interpretación</w:t>
            </w:r>
          </w:p>
        </w:tc>
      </w:tr>
      <w:tr>
        <w:tc>
          <w:p>
            <w:r>
              <w:t xml:space="preserve">Correlación promedio</w:t>
            </w:r>
          </w:p>
        </w:tc>
        <w:tc>
          <w:p>
            <w:r>
              <w:t xml:space="preserve">0.971 ± 0.091</w:t>
            </w:r>
          </w:p>
        </w:tc>
        <w:tc>
          <w:p>
            <w:r>
              <w:t xml:space="preserve">Excelente</w:t>
            </w:r>
          </w:p>
        </w:tc>
      </w:tr>
      <w:tr>
        <w:tc>
          <w:p>
            <w:r>
              <w:t xml:space="preserve">R² promedio</w:t>
            </w:r>
          </w:p>
        </w:tc>
        <w:tc>
          <w:p>
            <w:r>
              <w:t xml:space="preserve">0.951 (95.1%)</w:t>
            </w:r>
          </w:p>
        </w:tc>
        <w:tc>
          <w:p>
            <w:r>
              <w:t xml:space="preserve">Muy bueno</w:t>
            </w:r>
          </w:p>
        </w:tc>
      </w:tr>
      <w:tr>
        <w:tc>
          <w:p>
            <w:r>
              <w:t xml:space="preserve">RMSE promedio</w:t>
            </w:r>
          </w:p>
        </w:tc>
        <w:tc>
          <w:p>
            <w:r>
              <w:t xml:space="preserve">0.014 ± 0.013 AU</w:t>
            </w:r>
          </w:p>
        </w:tc>
        <w:tc>
          <w:p>
            <w:r>
              <w:t xml:space="preserve">Bajo</w:t>
            </w:r>
          </w:p>
        </w:tc>
      </w:tr>
      <w:tr>
        <w:tc>
          <w:p>
            <w:r>
              <w:t xml:space="preserve">Max diferencia promedio</w:t>
            </w:r>
          </w:p>
        </w:tc>
        <w:tc>
          <w:p>
            <w:r>
              <w:t xml:space="preserve">0.018 ± 0.015 AU</w:t>
            </w:r>
          </w:p>
        </w:tc>
        <w:tc>
          <w:p>
            <w:r>
              <w:t xml:space="preserve">Aceptable</w:t>
            </w:r>
          </w:p>
        </w:tc>
      </w:tr>
      <w:tr>
        <w:tc>
          <w:p>
            <w:r>
              <w:t xml:space="preserve">Regresión lineal</w:t>
            </w:r>
          </w:p>
        </w:tc>
        <w:tc>
          <w:p>
            <w:r>
              <w:t xml:space="preserve">y = 1.0547x - 0.0429</w:t>
            </w:r>
          </w:p>
        </w:tc>
        <w:tc>
          <w:p>
            <w:r>
              <w:t xml:space="preserve">Pendiente ~1 (ideal)</w:t>
            </w:r>
          </w:p>
        </w:tc>
      </w:tr>
    </w:tbl>
    <w:p>
      <w:pPr>
        <w:pStyle w:val="Heading2"/>
        <w:spacing w:before="300" w:after="100"/>
      </w:pPr>
      <w:r>
        <w:t xml:space="preserve">3.2 Resultados por Tipo de Muestra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3D3D3"/>
          </w:tcPr>
          <w:p>
            <w:r>
              <w:t xml:space="preserve">Muestra</w:t>
            </w:r>
          </w:p>
        </w:tc>
        <w:tc>
          <w:tcPr>
            <w:shd w:fill="D3D3D3"/>
          </w:tcPr>
          <w:p>
            <w:r>
              <w:t xml:space="preserve">R²</w:t>
            </w:r>
          </w:p>
        </w:tc>
        <w:tc>
          <w:tcPr>
            <w:shd w:fill="D3D3D3"/>
          </w:tcPr>
          <w:p>
            <w:r>
              <w:t xml:space="preserve">RMSE (AU)</w:t>
            </w:r>
          </w:p>
        </w:tc>
        <w:tc>
          <w:tcPr>
            <w:shd w:fill="D3D3D3"/>
          </w:tcPr>
          <w:p>
            <w:r>
              <w:t xml:space="preserve">Estado</w:t>
            </w:r>
          </w:p>
        </w:tc>
      </w:tr>
      <w:tr>
        <w:tc>
          <w:p>
            <w:r>
              <w:t xml:space="preserve">COLZA</w:t>
            </w:r>
          </w:p>
        </w:tc>
        <w:tc>
          <w:p>
            <w:r>
              <w:t xml:space="preserve">0.9999</w:t>
            </w:r>
          </w:p>
        </w:tc>
        <w:tc>
          <w:p>
            <w:r>
              <w:t xml:space="preserve">0.0061</w:t>
            </w:r>
          </w:p>
        </w:tc>
        <w:tc>
          <w:p>
            <w:r>
              <w:t xml:space="preserve">✓ Excelente</w:t>
            </w:r>
          </w:p>
        </w:tc>
      </w:tr>
      <w:tr>
        <w:tc>
          <w:p>
            <w:r>
              <w:t xml:space="preserve">MAÍZ</w:t>
            </w:r>
          </w:p>
        </w:tc>
        <w:tc>
          <w:p>
            <w:r>
              <w:t xml:space="preserve">0.9999</w:t>
            </w:r>
          </w:p>
        </w:tc>
        <w:tc>
          <w:p>
            <w:r>
              <w:t xml:space="preserve">0.0220</w:t>
            </w:r>
          </w:p>
        </w:tc>
        <w:tc>
          <w:p>
            <w:r>
              <w:t xml:space="preserve">✓ Excelente</w:t>
            </w:r>
          </w:p>
        </w:tc>
      </w:tr>
      <w:tr>
        <w:tc>
          <w:p>
            <w:r>
              <w:t xml:space="preserve">PIENSO</w:t>
            </w:r>
          </w:p>
        </w:tc>
        <w:tc>
          <w:p>
            <w:r>
              <w:t xml:space="preserve">0.9999</w:t>
            </w:r>
          </w:p>
        </w:tc>
        <w:tc>
          <w:p>
            <w:r>
              <w:t xml:space="preserve">0.0051</w:t>
            </w:r>
          </w:p>
        </w:tc>
        <w:tc>
          <w:p>
            <w:r>
              <w:t xml:space="preserve">✓ Excelente</w:t>
            </w:r>
          </w:p>
        </w:tc>
      </w:tr>
      <w:tr>
        <w:tc>
          <w:p>
            <w:r>
              <w:t xml:space="preserve">SOJA</w:t>
            </w:r>
          </w:p>
        </w:tc>
        <w:tc>
          <w:p>
            <w:r>
              <w:t xml:space="preserve">0.9999</w:t>
            </w:r>
          </w:p>
        </w:tc>
        <w:tc>
          <w:p>
            <w:r>
              <w:t xml:space="preserve">0.0059</w:t>
            </w:r>
          </w:p>
        </w:tc>
        <w:tc>
          <w:p>
            <w:r>
              <w:t xml:space="preserve">✓ Excelente</w:t>
            </w:r>
          </w:p>
        </w:tc>
      </w:tr>
      <w:tr>
        <w:tc>
          <w:p>
            <w:r>
              <w:t xml:space="preserve">TRIGO</w:t>
            </w:r>
          </w:p>
        </w:tc>
        <w:tc>
          <w:p>
            <w:r>
              <w:t xml:space="preserve">0.9999</w:t>
            </w:r>
          </w:p>
        </w:tc>
        <w:tc>
          <w:p>
            <w:r>
              <w:t xml:space="preserve">0.0210</w:t>
            </w:r>
          </w:p>
        </w:tc>
        <w:tc>
          <w:p>
            <w:r>
              <w:t xml:space="preserve">✓ Excelente</w:t>
            </w:r>
          </w:p>
        </w:tc>
      </w:tr>
      <w:tr>
        <w:tc>
          <w:p>
            <w:r>
              <w:t xml:space="preserve">V01-V05</w:t>
            </w:r>
          </w:p>
        </w:tc>
        <w:tc>
          <w:p>
            <w:r>
              <w:t xml:space="preserve">0.9996-0.9999</w:t>
            </w:r>
          </w:p>
        </w:tc>
        <w:tc>
          <w:p>
            <w:r>
              <w:t xml:space="preserve">0.0053-0.0123</w:t>
            </w:r>
          </w:p>
        </w:tc>
        <w:tc>
          <w:p>
            <w:r>
              <w:t xml:space="preserve">✓ Excelente</w:t>
            </w:r>
          </w:p>
        </w:tc>
      </w:tr>
      <w:tr>
        <w:tc>
          <w:p>
            <w:r>
              <w:t xml:space="preserve">WHITE</w:t>
            </w:r>
          </w:p>
        </w:tc>
        <w:tc>
          <w:p>
            <w:r>
              <w:t xml:space="preserve">0.4657</w:t>
            </w:r>
          </w:p>
        </w:tc>
        <w:tc>
          <w:p>
            <w:r>
              <w:t xml:space="preserve">0.0527</w:t>
            </w:r>
          </w:p>
        </w:tc>
        <w:tc>
          <w:p>
            <w:r>
              <w:t xml:space="preserve">✗ Problemático</w:t>
            </w:r>
          </w:p>
        </w:tc>
      </w:tr>
    </w:tbl>
    <w:p>
      <w:pPr>
        <w:pageBreakBefore/>
      </w:pPr>
    </w:p>
    <w:p>
      <w:pPr>
        <w:pStyle w:val="Heading1"/>
        <w:spacing w:before="400" w:after="200"/>
      </w:pPr>
      <w:r>
        <w:t xml:space="preserve">4. REGIONES ESPECTRALES CRÍTICAS</w:t>
      </w:r>
    </w:p>
    <w:p>
      <w:pPr>
        <w:spacing w:after="200"/>
      </w:pPr>
      <w:r>
        <w:t xml:space="preserve">Se identificaron píxeles específicos con alta divergencia (&gt;0.008 AU) que aparecen sistemáticamente en múltiples muestras. Estos píxeles requieren corrección prioritaria en COREF Suite.</w:t>
      </w:r>
    </w:p>
    <w:p>
      <w:pPr>
        <w:pStyle w:val="Heading2"/>
        <w:spacing w:before="200" w:after="100"/>
      </w:pPr>
      <w:r>
        <w:t xml:space="preserve">4.1 Región 1: Píxeles 1-16 (~1100-1200 nm)</w:t>
      </w:r>
    </w:p>
    <w:p>
      <w:pPr>
        <w:spacing w:after="100"/>
      </w:pPr>
      <w:r>
        <w:rPr>
          <w:b/>
          <w:bCs/>
        </w:rPr>
        <w:t xml:space="preserve">Banda espectral: </w:t>
      </w:r>
      <w:r>
        <w:t xml:space="preserve">C-H overtone (enlaces alifáticos)</w:t>
      </w:r>
    </w:p>
    <w:p>
      <w:pPr>
        <w:spacing w:after="100"/>
      </w:pPr>
      <w:r>
        <w:rPr>
          <w:b/>
          <w:bCs/>
        </w:rPr>
        <w:t xml:space="preserve">Frecuencia: </w:t>
      </w:r>
      <w:r>
        <w:t xml:space="preserve">Píxeles 8-12 afectan a TODAS las muestras (8/8)</w:t>
      </w:r>
    </w:p>
    <w:p>
      <w:pPr>
        <w:spacing w:after="100"/>
      </w:pPr>
      <w:r>
        <w:rPr>
          <w:b/>
          <w:bCs/>
        </w:rPr>
        <w:t xml:space="preserve">Magnitud: </w:t>
      </w:r>
      <w:r>
        <w:t xml:space="preserve">V05 (0.014 AU) &gt; V02-V04, SOJA, COLZA (0.008-0.010 AU) &gt; V01 (0.005 AU)</w:t>
      </w:r>
    </w:p>
    <w:p>
      <w:pPr>
        <w:spacing w:after="100"/>
      </w:pPr>
      <w:r>
        <w:rPr>
          <w:b/>
          <w:bCs/>
        </w:rPr>
        <w:t xml:space="preserve">Impacto: </w:t>
      </w:r>
      <w:r>
        <w:t xml:space="preserve">Sesgo sistemático en predicción de proteína en muestras oleosas (Soja, Colza)</w:t>
      </w:r>
    </w:p>
    <w:p>
      <w:pPr>
        <w:spacing w:after="200"/>
      </w:pPr>
      <w:r>
        <w:rPr>
          <w:b/>
          <w:bCs/>
        </w:rPr>
        <w:t xml:space="preserve">Prioridad: </w:t>
      </w:r>
      <w:r>
        <w:rPr>
          <w:b/>
          <w:bCs/>
        </w:rPr>
        <w:t xml:space="preserve">CRÍTICA</w:t>
      </w:r>
    </w:p>
    <w:p>
      <w:pPr>
        <w:pStyle w:val="Heading2"/>
        <w:spacing w:before="200" w:after="100"/>
      </w:pPr>
      <w:r>
        <w:t xml:space="preserve">4.2 Región 2: Píxeles 59-66 (~1400-1450 nm)</w:t>
      </w:r>
    </w:p>
    <w:p>
      <w:pPr>
        <w:spacing w:after="100"/>
      </w:pPr>
      <w:r>
        <w:rPr>
          <w:b/>
          <w:bCs/>
        </w:rPr>
        <w:t xml:space="preserve">Banda espectral: </w:t>
      </w:r>
      <w:r>
        <w:t xml:space="preserve">Primera banda de agua (O-H)</w:t>
      </w:r>
    </w:p>
    <w:p>
      <w:pPr>
        <w:spacing w:after="100"/>
      </w:pPr>
      <w:r>
        <w:rPr>
          <w:b/>
          <w:bCs/>
        </w:rPr>
        <w:t xml:space="preserve">Frecuencia: </w:t>
      </w:r>
      <w:r>
        <w:t xml:space="preserve">6 muestras afectadas (V02, V03, V04, V05, SOJA, TRIGO)</w:t>
      </w:r>
    </w:p>
    <w:p>
      <w:pPr>
        <w:spacing w:after="100"/>
      </w:pPr>
      <w:r>
        <w:rPr>
          <w:b/>
          <w:bCs/>
        </w:rPr>
        <w:t xml:space="preserve">Magnitud: </w:t>
      </w:r>
      <w:r>
        <w:t xml:space="preserve">0.008-0.013 AU</w:t>
      </w:r>
    </w:p>
    <w:p>
      <w:pPr>
        <w:spacing w:after="100"/>
      </w:pPr>
      <w:r>
        <w:rPr>
          <w:b/>
          <w:bCs/>
        </w:rPr>
        <w:t xml:space="preserve">Impacto: </w:t>
      </w:r>
      <w:r>
        <w:t xml:space="preserve">Variabilidad en predicción de humedad</w:t>
      </w:r>
    </w:p>
    <w:p>
      <w:pPr>
        <w:spacing w:after="200"/>
      </w:pPr>
      <w:r>
        <w:rPr>
          <w:b/>
          <w:bCs/>
        </w:rPr>
        <w:t xml:space="preserve">Prioridad: </w:t>
      </w:r>
      <w:r>
        <w:rPr>
          <w:b/>
          <w:bCs/>
        </w:rPr>
        <w:t xml:space="preserve">ALTA</w:t>
      </w:r>
    </w:p>
    <w:p>
      <w:pPr>
        <w:pStyle w:val="Heading2"/>
        <w:spacing w:before="200" w:after="100"/>
      </w:pPr>
      <w:r>
        <w:t xml:space="preserve">4.3 Región 3: Píxeles 155-175 (~1900-2000 nm)</w:t>
      </w:r>
    </w:p>
    <w:p>
      <w:pPr>
        <w:spacing w:after="100"/>
      </w:pPr>
      <w:r>
        <w:rPr>
          <w:b/>
          <w:bCs/>
        </w:rPr>
        <w:t xml:space="preserve">Banda espectral: </w:t>
      </w:r>
      <w:r>
        <w:t xml:space="preserve">Banda de agua fuerte + estructura de almidón</w:t>
      </w:r>
    </w:p>
    <w:p>
      <w:pPr>
        <w:spacing w:after="100"/>
      </w:pPr>
      <w:r>
        <w:rPr>
          <w:b/>
          <w:bCs/>
        </w:rPr>
        <w:t xml:space="preserve">Frecuencia: </w:t>
      </w:r>
      <w:r>
        <w:rPr>
          <w:b/>
          <w:bCs/>
        </w:rPr>
        <w:t xml:space="preserve">EXCLUSIVO de TRIGO (no aparece en estándares ópticos)</w:t>
      </w:r>
    </w:p>
    <w:p>
      <w:pPr>
        <w:spacing w:after="100"/>
      </w:pPr>
      <w:r>
        <w:rPr>
          <w:b/>
          <w:bCs/>
        </w:rPr>
        <w:t xml:space="preserve">Magnitud: </w:t>
      </w:r>
      <w:r>
        <w:rPr>
          <w:b/>
          <w:bCs/>
        </w:rPr>
        <w:t xml:space="preserve">0.029 AU (3-4x mayor que otras regiones)</w:t>
      </w:r>
    </w:p>
    <w:p>
      <w:pPr>
        <w:spacing w:after="100"/>
      </w:pPr>
      <w:r>
        <w:rPr>
          <w:b/>
          <w:bCs/>
        </w:rPr>
        <w:t xml:space="preserve">Causa: </w:t>
      </w:r>
      <w:r>
        <w:t xml:space="preserve">Absorbancia extrema (&gt;0.9 AU) + scattering diferencial geométrico L1-L2</w:t>
      </w:r>
    </w:p>
    <w:p>
      <w:pPr>
        <w:spacing w:after="200"/>
      </w:pPr>
      <w:r>
        <w:rPr>
          <w:b/>
          <w:bCs/>
        </w:rPr>
        <w:t xml:space="preserve">Prioridad: </w:t>
      </w:r>
      <w:r>
        <w:rPr>
          <w:b/>
          <w:bCs/>
        </w:rPr>
        <w:t xml:space="preserve">ESPECIAL (no predecible desde estándares V0X)</w:t>
      </w:r>
    </w:p>
    <w:p>
      <w:pPr>
        <w:pStyle w:val="Heading2"/>
        <w:spacing w:before="200" w:after="100"/>
      </w:pPr>
      <w:r>
        <w:t xml:space="preserve">4.4 Región 4: Píxeles 210-240 (~2300-2400 nm)</w:t>
      </w:r>
    </w:p>
    <w:p>
      <w:pPr>
        <w:spacing w:after="100"/>
      </w:pPr>
      <w:r>
        <w:rPr>
          <w:b/>
          <w:bCs/>
        </w:rPr>
        <w:t xml:space="preserve">Banda espectral: </w:t>
      </w:r>
      <w:r>
        <w:t xml:space="preserve">C-H overtone combinado</w:t>
      </w:r>
    </w:p>
    <w:p>
      <w:pPr>
        <w:spacing w:after="100"/>
      </w:pPr>
      <w:r>
        <w:rPr>
          <w:b/>
          <w:bCs/>
        </w:rPr>
        <w:t xml:space="preserve">Frecuencia: </w:t>
      </w:r>
      <w:r>
        <w:t xml:space="preserve">Principalmente estándares V01, V04</w:t>
      </w:r>
    </w:p>
    <w:p>
      <w:pPr>
        <w:spacing w:after="100"/>
      </w:pPr>
      <w:r>
        <w:rPr>
          <w:b/>
          <w:bCs/>
        </w:rPr>
        <w:t xml:space="preserve">Magnitud: </w:t>
      </w:r>
      <w:r>
        <w:t xml:space="preserve">V01, V04: 0.006-0.009 AU; Muestras reales: &lt;0.005 AU</w:t>
      </w:r>
    </w:p>
    <w:p>
      <w:pPr>
        <w:spacing w:after="300"/>
      </w:pPr>
      <w:r>
        <w:rPr>
          <w:b/>
          <w:bCs/>
        </w:rPr>
        <w:t xml:space="preserve">Prioridad: </w:t>
      </w:r>
      <w:r>
        <w:t xml:space="preserve">MEDIA (menor impacto en muestras reales)</w:t>
      </w:r>
    </w:p>
    <w:p>
      <w:pPr>
        <w:pageBreakBefore/>
      </w:pPr>
    </w:p>
    <w:p>
      <w:pPr>
        <w:pStyle w:val="Heading1"/>
        <w:spacing w:before="400" w:after="200"/>
      </w:pPr>
      <w:r>
        <w:t xml:space="preserve">5. ANÁLISIS DE PREDICCIONES QUÍMICAS</w:t>
      </w:r>
    </w:p>
    <w:p>
      <w:pPr>
        <w:pStyle w:val="Heading2"/>
        <w:spacing w:before="200" w:after="100"/>
      </w:pPr>
      <w:r>
        <w:t xml:space="preserve">5.1 Parámetros sin sesgo significativo L1-L2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✓ Humedad (H): Diferencias &lt;0.2 unidades en todas las matrices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✓ Grasa Bruta (GB): Diferencias &lt;0.3 unidades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✓ Cenizas (Cz): Prácticamente idéntico entre L1-L2</w:t>
      </w:r>
    </w:p>
    <w:p>
      <w:pPr>
        <w:pStyle w:val="Heading2"/>
        <w:spacing w:before="200" w:after="100"/>
      </w:pPr>
      <w:r>
        <w:t xml:space="preserve">5.2 Proteína (PB): Sesgo Sistemático Detectado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3D3D3"/>
          </w:tcPr>
          <w:p>
            <w:r>
              <w:t xml:space="preserve">Matriz</w:t>
            </w:r>
          </w:p>
        </w:tc>
        <w:tc>
          <w:tcPr>
            <w:shd w:fill="D3D3D3"/>
          </w:tcPr>
          <w:p>
            <w:r>
              <w:t xml:space="preserve">PB L1 (rango)</w:t>
            </w:r>
          </w:p>
        </w:tc>
        <w:tc>
          <w:tcPr>
            <w:shd w:fill="D3D3D3"/>
          </w:tcPr>
          <w:p>
            <w:r>
              <w:t xml:space="preserve">PB L2 (rango)</w:t>
            </w:r>
          </w:p>
        </w:tc>
        <w:tc>
          <w:tcPr>
            <w:shd w:fill="D3D3D3"/>
          </w:tcPr>
          <w:p>
            <w:r>
              <w:t xml:space="preserve">Diferencia</w:t>
            </w:r>
          </w:p>
        </w:tc>
      </w:tr>
      <w:tr>
        <w:tc>
          <w:p>
            <w:r>
              <w:t xml:space="preserve">MAÍZ</w:t>
            </w:r>
          </w:p>
        </w:tc>
        <w:tc>
          <w:p>
            <w:r>
              <w:t xml:space="preserve">5.7-6.3</w:t>
            </w:r>
          </w:p>
        </w:tc>
        <w:tc>
          <w:p>
            <w:r>
              <w:t xml:space="preserve">6.3</w:t>
            </w:r>
          </w:p>
        </w:tc>
        <w:tc>
          <w:p>
            <w:r>
              <w:t xml:space="preserve">✓ Sin sesgo</w:t>
            </w:r>
          </w:p>
        </w:tc>
      </w:tr>
      <w:tr>
        <w:tc>
          <w:p>
            <w:r>
              <w:t xml:space="preserve">TRIGO</w:t>
            </w:r>
          </w:p>
        </w:tc>
        <w:tc>
          <w:p>
            <w:r>
              <w:t xml:space="preserve">7.3-7.4</w:t>
            </w:r>
          </w:p>
        </w:tc>
        <w:tc>
          <w:p>
            <w:r>
              <w:t xml:space="preserve">7.3-7.5</w:t>
            </w:r>
          </w:p>
        </w:tc>
        <w:tc>
          <w:p>
            <w:r>
              <w:t xml:space="preserve">✓ Sin sesgo</w:t>
            </w:r>
          </w:p>
        </w:tc>
      </w:tr>
      <w:tr>
        <w:tc>
          <w:p>
            <w:r>
              <w:t xml:space="preserve">PIENSO</w:t>
            </w:r>
          </w:p>
        </w:tc>
        <w:tc>
          <w:p>
            <w:r>
              <w:t xml:space="preserve">14.0-14.5</w:t>
            </w:r>
          </w:p>
        </w:tc>
        <w:tc>
          <w:p>
            <w:r>
              <w:t xml:space="preserve">14.1-14.5</w:t>
            </w:r>
          </w:p>
        </w:tc>
        <w:tc>
          <w:p>
            <w:r>
              <w:t xml:space="preserve">✓ Sin sesgo</w:t>
            </w:r>
          </w:p>
        </w:tc>
      </w:tr>
      <w:tr>
        <w:tc>
          <w:p>
            <w:r>
              <w:t xml:space="preserve">COLZA</w:t>
            </w:r>
          </w:p>
        </w:tc>
        <w:tc>
          <w:p>
            <w:r>
              <w:t xml:space="preserve">35.3-35.6</w:t>
            </w:r>
          </w:p>
        </w:tc>
        <w:tc>
          <w:p>
            <w:r>
              <w:t xml:space="preserve">35.9-36.2</w:t>
            </w:r>
          </w:p>
        </w:tc>
        <w:tc>
          <w:p>
            <w:r>
              <w:t xml:space="preserve">⚠ +0.3-0.6</w:t>
            </w:r>
          </w:p>
        </w:tc>
      </w:tr>
      <w:tr>
        <w:tc>
          <w:p>
            <w:r>
              <w:t xml:space="preserve">SOJA</w:t>
            </w:r>
          </w:p>
        </w:tc>
        <w:tc>
          <w:p>
            <w:r>
              <w:t xml:space="preserve">44.8-45.3</w:t>
            </w:r>
          </w:p>
        </w:tc>
        <w:tc>
          <w:p>
            <w:r>
              <w:t xml:space="preserve">45.3-45.5</w:t>
            </w:r>
          </w:p>
        </w:tc>
        <w:tc>
          <w:p>
            <w:r>
              <w:t xml:space="preserve">⚠ +0.2-0.5</w:t>
            </w:r>
          </w:p>
        </w:tc>
      </w:tr>
    </w:tbl>
    <w:p>
      <w:pPr>
        <w:pStyle w:val="Heading2"/>
        <w:spacing w:before="300" w:after="100"/>
      </w:pPr>
      <w:r>
        <w:t xml:space="preserve">5.3 Distancia de Mahalanobis</w:t>
      </w:r>
    </w:p>
    <w:p>
      <w:pPr>
        <w:spacing w:after="100"/>
      </w:pPr>
      <w:r>
        <w:t xml:space="preserve">Las muestras con sesgo en proteína (Colza, Soja) también muestran aumento en distancia de Mahalanobis: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COLZA: Mahalanobis L2 aumenta +10-16 puntos respecto a L1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SOJA: Mahalanobis L2 aumenta +4-7 puntos respecto a L1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• PIENSO, MAÍZ, TRIGO: Sin cambios significativos en Mahalanobis</w:t>
      </w:r>
    </w:p>
    <w:p>
      <w:pPr>
        <w:pageBreakBefore/>
      </w:pPr>
    </w:p>
    <w:p>
      <w:pPr>
        <w:pStyle w:val="Heading1"/>
        <w:spacing w:before="400" w:after="200"/>
      </w:pPr>
      <w:r>
        <w:t xml:space="preserve">6. CONCLUSIONES Y RECOMENDACIONES</w:t>
      </w:r>
    </w:p>
    <w:p>
      <w:pPr>
        <w:pStyle w:val="Heading2"/>
        <w:spacing w:before="200" w:after="100"/>
      </w:pPr>
      <w:r>
        <w:t xml:space="preserve">6.1 Validación de Estándares Ópticos</w:t>
      </w:r>
    </w:p>
    <w:p>
      <w:pPr>
        <w:spacing w:after="100"/>
      </w:pPr>
      <w:r>
        <w:rPr>
          <w:b/>
          <w:bCs/>
        </w:rPr>
        <w:t xml:space="preserve">Los estándares ópticos Vitablend V01-V05 SÍ predicen correctamente las divergencias espectrales en muestras reales: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✓ Región 1-16: Problema universal detectado tanto en estándares como en muestras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✓ Región 59-66: Predecible desde V02-V05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✓ Región 210-240: Específico de estándares con filtros ópticos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✗ Región 155-175 (TRIGO): NO predecible desde estándares, requiere consideración especial</w:t>
      </w:r>
    </w:p>
    <w:p>
      <w:pPr>
        <w:pStyle w:val="Heading2"/>
        <w:spacing w:before="200" w:after="100"/>
      </w:pPr>
      <w:r>
        <w:t xml:space="preserve">6.2 Estrategia de Corrección para COREF Suite</w:t>
      </w:r>
    </w:p>
    <w:p>
      <w:pPr>
        <w:spacing w:after="100"/>
      </w:pPr>
      <w:r>
        <w:rPr>
          <w:b/>
          <w:bCs/>
        </w:rPr>
        <w:t xml:space="preserve">Prioridad 1 - CRÍTICA: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Píxeles 1-20: Corrección obligatoria para todas las matrices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Reduce sesgo sistemático en proteína de muestras oleosas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Mejora Mahalanobis en Soja y Colza</w:t>
      </w:r>
    </w:p>
    <w:p>
      <w:pPr>
        <w:spacing w:after="100"/>
      </w:pPr>
      <w:r>
        <w:rPr>
          <w:b/>
          <w:bCs/>
        </w:rPr>
        <w:t xml:space="preserve">Prioridad 2 - ALTA: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Píxeles 59-70: Corrección para muestras con variabilidad en humedad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Especialmente importante en granos y cereales</w:t>
      </w:r>
    </w:p>
    <w:p>
      <w:pPr>
        <w:spacing w:after="100"/>
      </w:pPr>
      <w:r>
        <w:rPr>
          <w:b/>
          <w:bCs/>
        </w:rPr>
        <w:t xml:space="preserve">Prioridad 3 - MEDIA: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Píxeles 210-240: Solo necesaria si se usan estándares ópticos para validación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Impacto menor en muestras reales</w:t>
      </w:r>
    </w:p>
    <w:p>
      <w:pPr>
        <w:spacing w:after="100"/>
      </w:pPr>
      <w:r>
        <w:rPr>
          <w:b/>
          <w:bCs/>
        </w:rPr>
        <w:t xml:space="preserve">Caso Especial - TRIGO: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Píxeles 155-175: Divergencia extrema no predecible desde V0X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• Opciones: (a) Excluir región de modelos de trigo, o (b) Corrección empírica específica</w:t>
      </w:r>
    </w:p>
    <w:p>
      <w:pPr>
        <w:pStyle w:val="Heading2"/>
        <w:spacing w:before="200" w:after="100"/>
      </w:pPr>
      <w:r>
        <w:t xml:space="preserve">6.3 Comparación con 223FG007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3D3D3"/>
          </w:tcPr>
          <w:p>
            <w:r>
              <w:t xml:space="preserve">Equipo</w:t>
            </w:r>
          </w:p>
        </w:tc>
        <w:tc>
          <w:tcPr>
            <w:shd w:fill="D3D3D3"/>
          </w:tcPr>
          <w:p>
            <w:r>
              <w:t xml:space="preserve">Comparación</w:t>
            </w:r>
          </w:p>
        </w:tc>
        <w:tc>
          <w:tcPr>
            <w:shd w:fill="D3D3D3"/>
          </w:tcPr>
          <w:p>
            <w:r>
              <w:t xml:space="preserve">RMSE promedio</w:t>
            </w:r>
          </w:p>
        </w:tc>
        <w:tc>
          <w:tcPr>
            <w:shd w:fill="D3D3D3"/>
          </w:tcPr>
          <w:p>
            <w:r>
              <w:t xml:space="preserve">Evaluación</w:t>
            </w:r>
          </w:p>
        </w:tc>
      </w:tr>
      <w:tr>
        <w:tc>
          <w:p>
            <w:r>
              <w:t xml:space="preserve">223FG007</w:t>
            </w:r>
          </w:p>
        </w:tc>
        <w:tc>
          <w:p>
            <w:r>
              <w:t xml:space="preserve">L1-L1 (misma geometría)</w:t>
            </w:r>
          </w:p>
        </w:tc>
        <w:tc>
          <w:p>
            <w:r>
              <w:t xml:space="preserve">~0.003 AU</w:t>
            </w:r>
          </w:p>
        </w:tc>
        <w:tc>
          <w:p>
            <w:r>
              <w:t xml:space="preserve">Excelente</w:t>
            </w:r>
          </w:p>
        </w:tc>
      </w:tr>
      <w:tr>
        <w:tc>
          <w:p>
            <w:r>
              <w:t xml:space="preserve">316FG103</w:t>
            </w:r>
          </w:p>
        </w:tc>
        <w:tc>
          <w:p>
            <w:r>
              <w:t xml:space="preserve">L1-L2 (geometría distinta)</w:t>
            </w:r>
          </w:p>
        </w:tc>
        <w:tc>
          <w:p>
            <w:r>
              <w:t xml:space="preserve">0.014 AU</w:t>
            </w:r>
          </w:p>
        </w:tc>
        <w:tc>
          <w:p>
            <w:r>
              <w:t xml:space="preserve">Muy bueno</w:t>
            </w:r>
          </w:p>
        </w:tc>
      </w:tr>
    </w:tbl>
    <w:p>
      <w:pPr>
        <w:spacing w:before="200" w:after="300"/>
      </w:pPr>
      <w:r>
        <w:t xml:space="preserve">Conclusión: 223FG007 es ~4-5x mejor que 316FG103, principalmente porque compara misma posición geométrica (L1-L1). Sin embargo, 316FG103 muestra un ajuste L1-L2 suficientemente bueno (R² &gt; 0.95) para trabajo rutinario con correcciones baseline apropiadas.</w:t>
      </w:r>
    </w:p>
    <w:p>
      <w:pPr>
        <w:pageBreakBefore/>
      </w:pPr>
    </w:p>
    <w:p>
      <w:pPr>
        <w:pStyle w:val="Heading1"/>
        <w:spacing w:before="400" w:after="200"/>
      </w:pPr>
      <w:r>
        <w:t xml:space="preserve">7. ANEXOS</w:t>
      </w:r>
    </w:p>
    <w:p>
      <w:pPr>
        <w:pStyle w:val="Heading2"/>
        <w:spacing w:before="200" w:after="100"/>
      </w:pPr>
      <w:r>
        <w:t xml:space="preserve">7.1 Archivos de Gráficos Generados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1. espectros_overlay_correcto.png - Overlays espectrales L1 vs L2 por muestra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2. residuos_correcto.png - Residuos (L2-L1) por píxel y muestra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3. correlacion_correcto.png - Correlación global L1 vs L2 (todos los píxeles)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4. heatmap_residuos_correcto.png - Mapa de calor de residuos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5. estadisticas_correcto.png - Distribución de estadísticas por muestra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6. analisis_regiones_divergencia.png - Análisis detallado por regiones espectrales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7. heatmap_divergencia_pixeles.png - Mapa de calor de divergencia por píxel</w:t>
      </w:r>
    </w:p>
    <w:p>
      <w:pPr>
        <w:pStyle w:val="Heading2"/>
        <w:spacing w:before="200" w:after="100"/>
      </w:pPr>
      <w:r>
        <w:t xml:space="preserve">7.2 Lista Completa de Píxeles Críticos (&gt;0.008 AU)</w:t>
      </w:r>
    </w:p>
    <w:p>
      <w:pPr>
        <w:spacing w:after="100"/>
      </w:pPr>
      <w:r>
        <w:rPr>
          <w:b/>
          <w:bCs/>
        </w:rPr>
        <w:t xml:space="preserve">Píxeles con alta frecuencia de divergencia (aparecen en 8 muestras simultáneamente):</w:t>
      </w:r>
    </w:p>
    <w:p>
      <w:pPr>
        <w:spacing w:after="100"/>
      </w:pPr>
      <w:r>
        <w:t xml:space="preserve">Píxeles 8-12: Afectan a V02, V03, V04, V05, SOJA, COLZA, PIENSO, TRIGO</w:t>
      </w:r>
    </w:p>
    <w:p>
      <w:pPr>
        <w:spacing w:before="100" w:after="100"/>
      </w:pPr>
      <w:r>
        <w:rPr>
          <w:b/>
          <w:bCs/>
        </w:rPr>
        <w:t xml:space="preserve">Píxeles con frecuencia moderada-alta (7 muestras):</w:t>
      </w:r>
    </w:p>
    <w:p>
      <w:pPr>
        <w:spacing w:after="200"/>
      </w:pPr>
      <w:r>
        <w:t xml:space="preserve">Píxeles 1-7, 13-16: Excluyen PIENSO pero afectan resto de matrices</w:t>
      </w:r>
    </w:p>
    <w:p>
      <w:pPr>
        <w:pStyle w:val="Heading2"/>
        <w:spacing w:before="200" w:after="100"/>
      </w:pPr>
      <w:r>
        <w:t xml:space="preserve">7.3 Datos de Entrada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Archivo fuente: 316FG103_2025-11-24_Measurementes_L2_to_L1_NB.tsv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Total de medidas: 87 (85 muestras + 2 control WHITE)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Píxeles analizados: 247 (#1 a #247)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Rango espectral estimado: 1100-2500 nm (NIR)</w:t>
      </w:r>
    </w:p>
    <w:p>
      <w:pPr>
        <w:spacing w:before="600"/>
        <w:jc w:val="center"/>
      </w:pPr>
      <w:r>
        <w:t xml:space="preserve">FIN DEL INFORME</w:t>
      </w:r>
    </w:p>
    <w:p>
      <w:pPr>
        <w:spacing w:after="100"/>
        <w:jc w:val="center"/>
      </w:pPr>
      <w:r>
        <w:t xml:space="preserve">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2025-11-25T20:48:51.518Z</dcterms:created>
  <dcterms:modified xsi:type="dcterms:W3CDTF">2025-11-25T20:48:51.519Z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