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4E7" w:rsidRPr="00081A0A" w:rsidRDefault="004934E7">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4934E7" w:rsidRPr="00081A0A" w:rsidRDefault="004934E7">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4E7" w:rsidRPr="00951527" w:rsidRDefault="004934E7"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4934E7" w:rsidRPr="00951527" w:rsidRDefault="004934E7"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Default="004934E7" w:rsidP="006C4EA6">
                              <w:pPr>
                                <w:jc w:val="center"/>
                                <w:rPr>
                                  <w:lang w:val="cs-CZ"/>
                                </w:rPr>
                              </w:pPr>
                              <w:r>
                                <w:rPr>
                                  <w:lang w:val="cs-CZ"/>
                                </w:rPr>
                                <w:t>ERP</w:t>
                              </w:r>
                            </w:p>
                            <w:p w:rsidR="004934E7" w:rsidRPr="006C4EA6" w:rsidRDefault="004934E7"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Default="004934E7" w:rsidP="00B55889">
                              <w:pPr>
                                <w:jc w:val="center"/>
                                <w:rPr>
                                  <w:lang w:val="cs-CZ"/>
                                </w:rPr>
                              </w:pPr>
                              <w:r>
                                <w:rPr>
                                  <w:lang w:val="cs-CZ"/>
                                </w:rPr>
                                <w:t>Datová pumpa</w:t>
                              </w:r>
                            </w:p>
                            <w:p w:rsidR="004934E7" w:rsidRPr="00B55889" w:rsidRDefault="004934E7"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4934E7" w:rsidRDefault="004934E7" w:rsidP="001C18D1">
                              <w:pPr>
                                <w:jc w:val="center"/>
                                <w:rPr>
                                  <w:lang w:val="cs-CZ"/>
                                </w:rPr>
                              </w:pPr>
                              <w:r>
                                <w:rPr>
                                  <w:lang w:val="cs-CZ"/>
                                </w:rPr>
                                <w:t>Mnou vybíraný DBMS</w:t>
                              </w:r>
                            </w:p>
                            <w:p w:rsidR="004934E7" w:rsidRPr="001C18D1" w:rsidRDefault="004934E7"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1C18D1" w:rsidRDefault="004934E7"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1C18D1" w:rsidRDefault="004934E7"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4934E7" w:rsidRDefault="004934E7" w:rsidP="006C4EA6">
                        <w:pPr>
                          <w:jc w:val="center"/>
                          <w:rPr>
                            <w:lang w:val="cs-CZ"/>
                          </w:rPr>
                        </w:pPr>
                        <w:r>
                          <w:rPr>
                            <w:lang w:val="cs-CZ"/>
                          </w:rPr>
                          <w:t>ERP</w:t>
                        </w:r>
                      </w:p>
                      <w:p w:rsidR="004934E7" w:rsidRPr="006C4EA6" w:rsidRDefault="004934E7"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4934E7" w:rsidRPr="00B55889" w:rsidRDefault="004934E7"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4934E7" w:rsidRDefault="004934E7" w:rsidP="00B55889">
                        <w:pPr>
                          <w:jc w:val="center"/>
                          <w:rPr>
                            <w:lang w:val="cs-CZ"/>
                          </w:rPr>
                        </w:pPr>
                        <w:r>
                          <w:rPr>
                            <w:lang w:val="cs-CZ"/>
                          </w:rPr>
                          <w:t>Datová pumpa</w:t>
                        </w:r>
                      </w:p>
                      <w:p w:rsidR="004934E7" w:rsidRPr="00B55889" w:rsidRDefault="004934E7"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4934E7" w:rsidRDefault="004934E7" w:rsidP="001C18D1">
                        <w:pPr>
                          <w:jc w:val="center"/>
                          <w:rPr>
                            <w:lang w:val="cs-CZ"/>
                          </w:rPr>
                        </w:pPr>
                        <w:r>
                          <w:rPr>
                            <w:lang w:val="cs-CZ"/>
                          </w:rPr>
                          <w:t>Mnou vybíraný DBMS</w:t>
                        </w:r>
                      </w:p>
                      <w:p w:rsidR="004934E7" w:rsidRPr="001C18D1" w:rsidRDefault="004934E7"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4934E7" w:rsidRPr="001C18D1" w:rsidRDefault="004934E7"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4934E7" w:rsidRPr="001C18D1" w:rsidRDefault="004934E7"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r w:rsidR="00595A81">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93137B" w:rsidP="0093137B">
      <w:pPr>
        <w:pStyle w:val="N2Cislovany"/>
      </w:pPr>
      <w:bookmarkStart w:id="17" w:name="_Toc383599937"/>
      <w:r>
        <w:t>Vstupní data, severy, metodiky</w:t>
      </w:r>
      <w:bookmarkEnd w:id="17"/>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4D5EA5" w:rsidP="00C92B97">
            <w:pPr>
              <w:pStyle w:val="0Bezny"/>
            </w:pP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4D5EA5" w:rsidP="00C92B97">
            <w:pPr>
              <w:pStyle w:val="0Bezny"/>
            </w:pP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4D5EA5" w:rsidP="00C92B97">
            <w:pPr>
              <w:pStyle w:val="0Bezny"/>
            </w:pP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4D5EA5" w:rsidP="00C92B97">
            <w:pPr>
              <w:pStyle w:val="0Bezny"/>
            </w:pP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4D5EA5" w:rsidP="00592118">
            <w:pPr>
              <w:pStyle w:val="0Bezny"/>
              <w:keepNext/>
            </w:pPr>
          </w:p>
        </w:tc>
        <w:tc>
          <w:tcPr>
            <w:tcW w:w="2013" w:type="dxa"/>
          </w:tcPr>
          <w:p w:rsidR="004D5EA5" w:rsidRDefault="004D5EA5" w:rsidP="00592118">
            <w:pPr>
              <w:pStyle w:val="0Bezny"/>
              <w:keepNext/>
            </w:pPr>
            <w:r>
              <w:t>19</w:t>
            </w:r>
          </w:p>
        </w:tc>
      </w:tr>
    </w:tbl>
    <w:p w:rsidR="009141D5" w:rsidRDefault="00592118" w:rsidP="00592118">
      <w:pPr>
        <w:pStyle w:val="Caption"/>
      </w:pPr>
      <w:bookmarkStart w:id="18" w:name="_Ref386197848"/>
      <w:r>
        <w:t xml:space="preserve">Tabulka </w:t>
      </w:r>
      <w:r>
        <w:fldChar w:fldCharType="begin"/>
      </w:r>
      <w:r>
        <w:instrText xml:space="preserve"> SEQ Tabulka \* ARABIC </w:instrText>
      </w:r>
      <w:r>
        <w:fldChar w:fldCharType="separate"/>
      </w:r>
      <w:r>
        <w:rPr>
          <w:noProof/>
        </w:rPr>
        <w:t>3</w:t>
      </w:r>
      <w:r>
        <w:fldChar w:fldCharType="end"/>
      </w:r>
      <w:bookmarkEnd w:id="18"/>
      <w:r>
        <w:t xml:space="preserve"> </w:t>
      </w:r>
      <w:bookmarkStart w:id="19" w:name="_Ref386197876"/>
      <w:r>
        <w:t>Vstupní data</w:t>
      </w:r>
      <w:bookmarkEnd w:id="19"/>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kdy by bylo možné paralelním výkonem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57579E" w:rsidRPr="0057579E" w:rsidRDefault="0057579E" w:rsidP="00230D73">
      <w:pPr>
        <w:pStyle w:val="0Bezny"/>
        <w:rPr>
          <w:i/>
        </w:rPr>
      </w:pPr>
      <w:r>
        <w:t xml:space="preserve">Výše uvedený postup jsem použil pro každý z testovaných enginů využívaných v rámci databázového systému MariaDB. Jedinou úpravou vždy bylo pouze upravení příkzů </w:t>
      </w:r>
      <w:r>
        <w:rPr>
          <w:i/>
        </w:rPr>
        <w:t>C</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v databázi nebo cena, byla množina uvažovaných hodnot rozdělena na pět dílů, a z každého dílu byla vybrána jedna hodnota. U identifikačních atributů</w:t>
      </w:r>
      <w:r w:rsidR="00321E05">
        <w:t xml:space="preserve"> nad tabulkou Produkt tímto výběr hodnot skončil, avšak u Vazebné tabulky mezi Produktem a Vozidlem a u atributu retailprice_cs, která reprezentuje cenu produktu, byl prán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 xml:space="preserve">U dotazů, které nevrací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bookmarkStart w:id="20" w:name="_GoBack"/>
      <w:bookmarkEnd w:id="20"/>
    </w:p>
    <w:p w:rsidR="00D502DF" w:rsidRDefault="00D502DF" w:rsidP="00913EA1">
      <w:pPr>
        <w:pStyle w:val="0Bezny"/>
      </w:pPr>
      <w:r>
        <w:t xml:space="preserve">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Pr="00D502DF" w:rsidRDefault="004E748C" w:rsidP="00913EA1">
      <w:pPr>
        <w:pStyle w:val="0Bezny"/>
      </w:pPr>
      <w:r>
        <w:t xml:space="preserve">Aby i výše zamítnutý případ vykonávání komplikovanějších dotazů nad spojenými tabulkami </w:t>
      </w:r>
      <w:r w:rsidR="004934E7">
        <w:t xml:space="preserve">s několika vstupními parametry </w:t>
      </w:r>
      <w:r>
        <w:t>byl změřen, protože se určitě jedná o nezanedbatelný faktor</w:t>
      </w:r>
      <w:r w:rsidR="004934E7">
        <w:t xml:space="preserve">,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variantami hodnot vstupních parametrů. </w:t>
      </w:r>
    </w:p>
    <w:p w:rsidR="00FF34D9" w:rsidRPr="00FF34D9" w:rsidRDefault="00FF34D9" w:rsidP="00FF34D9">
      <w:pPr>
        <w:pStyle w:val="0Bezny"/>
      </w:pP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21" w:name="_Toc383599938"/>
      <w:r>
        <w:t>Postup</w:t>
      </w:r>
      <w:bookmarkEnd w:id="21"/>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D502DF">
      <w:pPr>
        <w:pStyle w:val="0Bezny"/>
      </w:pPr>
      <w:r>
        <w:t>jednotlive selecty v příloze. Po kazdem selectu flush query cache; reset query cache</w:t>
      </w:r>
    </w:p>
    <w:p w:rsidR="00D60EDE" w:rsidRDefault="00D60EDE" w:rsidP="00D502DF">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Pr="00C255D0" w:rsidRDefault="006A60BF" w:rsidP="00C255D0">
      <w:pPr>
        <w:pStyle w:val="0Bezny"/>
      </w:pPr>
      <w:r>
        <w:t>Nejak jsem zanedbal vytvareni indexu…</w:t>
      </w:r>
    </w:p>
    <w:p w:rsidR="0093137B" w:rsidRDefault="0093137B" w:rsidP="0093137B">
      <w:pPr>
        <w:pStyle w:val="N2Cislovany"/>
      </w:pPr>
      <w:bookmarkStart w:id="22" w:name="_Toc383599939"/>
      <w:r>
        <w:t>Výsledky</w:t>
      </w:r>
      <w:bookmarkEnd w:id="22"/>
    </w:p>
    <w:p w:rsidR="0093137B" w:rsidRDefault="0093137B" w:rsidP="0093137B">
      <w:pPr>
        <w:pStyle w:val="N1Cislovany"/>
      </w:pPr>
      <w:bookmarkStart w:id="23" w:name="_Toc383599940"/>
      <w:r>
        <w:t>Výběr</w:t>
      </w:r>
      <w:bookmarkEnd w:id="23"/>
    </w:p>
    <w:p w:rsidR="0093137B" w:rsidRDefault="0093137B" w:rsidP="0093137B">
      <w:pPr>
        <w:pStyle w:val="N2Cislovany"/>
      </w:pPr>
      <w:bookmarkStart w:id="24" w:name="_Toc383599941"/>
      <w:r>
        <w:t>Váhy kritérií výběru</w:t>
      </w:r>
      <w:bookmarkEnd w:id="24"/>
    </w:p>
    <w:p w:rsidR="0093137B" w:rsidRPr="0093137B" w:rsidRDefault="0093137B" w:rsidP="0093137B">
      <w:pPr>
        <w:pStyle w:val="N2Cislovany"/>
      </w:pPr>
      <w:bookmarkStart w:id="25" w:name="_Toc383599942"/>
      <w:r>
        <w:t>Výsledek</w:t>
      </w:r>
      <w:bookmarkEnd w:id="25"/>
    </w:p>
    <w:p w:rsidR="0093137B" w:rsidRDefault="0093137B" w:rsidP="0093137B">
      <w:pPr>
        <w:pStyle w:val="N1Cislovany"/>
      </w:pPr>
      <w:bookmarkStart w:id="26" w:name="_Toc383599943"/>
      <w:r>
        <w:t>Závěr</w:t>
      </w:r>
      <w:bookmarkEnd w:id="26"/>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7"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7"/>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8"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8"/>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9"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9"/>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B67" w:rsidRDefault="001C4B67" w:rsidP="00090482">
      <w:pPr>
        <w:spacing w:after="0" w:line="240" w:lineRule="auto"/>
      </w:pPr>
      <w:r>
        <w:separator/>
      </w:r>
    </w:p>
  </w:endnote>
  <w:endnote w:type="continuationSeparator" w:id="0">
    <w:p w:rsidR="001C4B67" w:rsidRDefault="001C4B67"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0334CA" w:rsidRDefault="004934E7"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8D296E">
      <w:rPr>
        <w:rFonts w:ascii="Arial" w:hAnsi="Arial" w:cs="Arial"/>
        <w:noProof/>
        <w:sz w:val="18"/>
        <w:szCs w:val="18"/>
        <w:lang w:val="cs-CZ"/>
      </w:rPr>
      <w:t>40</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8D296E">
      <w:rPr>
        <w:rFonts w:ascii="Arial" w:hAnsi="Arial" w:cs="Arial"/>
        <w:noProof/>
        <w:sz w:val="18"/>
        <w:szCs w:val="18"/>
        <w:lang w:val="cs-CZ"/>
      </w:rPr>
      <w:t>40</w:t>
    </w:r>
    <w:r w:rsidRPr="00724CA0">
      <w:rPr>
        <w:rFonts w:ascii="Arial" w:hAnsi="Arial" w:cs="Arial"/>
        <w:sz w:val="18"/>
        <w:szCs w:val="18"/>
        <w:lang w:val="cs-CZ"/>
      </w:rPr>
      <w:fldChar w:fldCharType="end"/>
    </w:r>
  </w:p>
  <w:p w:rsidR="004934E7" w:rsidRPr="00E260A4" w:rsidRDefault="004934E7"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B67" w:rsidRDefault="001C4B67" w:rsidP="00090482">
      <w:pPr>
        <w:spacing w:after="0" w:line="240" w:lineRule="auto"/>
      </w:pPr>
      <w:r>
        <w:separator/>
      </w:r>
    </w:p>
  </w:footnote>
  <w:footnote w:type="continuationSeparator" w:id="0">
    <w:p w:rsidR="001C4B67" w:rsidRDefault="001C4B67"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0334CA" w:rsidRDefault="004934E7"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10859"/>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26666"/>
    <w:rsid w:val="00130B7F"/>
    <w:rsid w:val="00143B7F"/>
    <w:rsid w:val="00146E49"/>
    <w:rsid w:val="0015128F"/>
    <w:rsid w:val="00156FB5"/>
    <w:rsid w:val="00167906"/>
    <w:rsid w:val="00175D56"/>
    <w:rsid w:val="00176B60"/>
    <w:rsid w:val="0019104C"/>
    <w:rsid w:val="00194035"/>
    <w:rsid w:val="00196E28"/>
    <w:rsid w:val="001A172C"/>
    <w:rsid w:val="001A3D99"/>
    <w:rsid w:val="001B0524"/>
    <w:rsid w:val="001C18D1"/>
    <w:rsid w:val="001C4A6C"/>
    <w:rsid w:val="001C4B67"/>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1E05"/>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1B57"/>
    <w:rsid w:val="0044247A"/>
    <w:rsid w:val="00445C9C"/>
    <w:rsid w:val="00445CEC"/>
    <w:rsid w:val="004639FE"/>
    <w:rsid w:val="00467A8E"/>
    <w:rsid w:val="004765EE"/>
    <w:rsid w:val="00477151"/>
    <w:rsid w:val="00477A60"/>
    <w:rsid w:val="00480BE2"/>
    <w:rsid w:val="00487C21"/>
    <w:rsid w:val="0049204E"/>
    <w:rsid w:val="004920F7"/>
    <w:rsid w:val="00492F52"/>
    <w:rsid w:val="004934E7"/>
    <w:rsid w:val="00495071"/>
    <w:rsid w:val="004961C0"/>
    <w:rsid w:val="00497702"/>
    <w:rsid w:val="004A18F2"/>
    <w:rsid w:val="004A1C58"/>
    <w:rsid w:val="004A29D4"/>
    <w:rsid w:val="004A59D3"/>
    <w:rsid w:val="004B20BF"/>
    <w:rsid w:val="004B5924"/>
    <w:rsid w:val="004C175D"/>
    <w:rsid w:val="004C7F2E"/>
    <w:rsid w:val="004D4196"/>
    <w:rsid w:val="004D5EA5"/>
    <w:rsid w:val="004E2113"/>
    <w:rsid w:val="004E748C"/>
    <w:rsid w:val="004E7875"/>
    <w:rsid w:val="004F2316"/>
    <w:rsid w:val="004F3A31"/>
    <w:rsid w:val="004F5D52"/>
    <w:rsid w:val="00512A8C"/>
    <w:rsid w:val="005140A9"/>
    <w:rsid w:val="005203AE"/>
    <w:rsid w:val="00523D2A"/>
    <w:rsid w:val="00542D23"/>
    <w:rsid w:val="00550C7C"/>
    <w:rsid w:val="0055153E"/>
    <w:rsid w:val="00553F65"/>
    <w:rsid w:val="00557BDC"/>
    <w:rsid w:val="00572800"/>
    <w:rsid w:val="00573F6E"/>
    <w:rsid w:val="00575090"/>
    <w:rsid w:val="0057579E"/>
    <w:rsid w:val="00580634"/>
    <w:rsid w:val="00582F2D"/>
    <w:rsid w:val="00592118"/>
    <w:rsid w:val="00594A3E"/>
    <w:rsid w:val="00595A81"/>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166DF"/>
    <w:rsid w:val="00617DEB"/>
    <w:rsid w:val="00620294"/>
    <w:rsid w:val="006236B9"/>
    <w:rsid w:val="00623CC6"/>
    <w:rsid w:val="006355CC"/>
    <w:rsid w:val="006466A8"/>
    <w:rsid w:val="0065395C"/>
    <w:rsid w:val="0066114B"/>
    <w:rsid w:val="0068329B"/>
    <w:rsid w:val="0068377D"/>
    <w:rsid w:val="00692617"/>
    <w:rsid w:val="00694886"/>
    <w:rsid w:val="00697C01"/>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3402"/>
    <w:rsid w:val="00895B9C"/>
    <w:rsid w:val="008A0130"/>
    <w:rsid w:val="008A040C"/>
    <w:rsid w:val="008C3951"/>
    <w:rsid w:val="008C395D"/>
    <w:rsid w:val="008D296E"/>
    <w:rsid w:val="008D63E5"/>
    <w:rsid w:val="008E4D16"/>
    <w:rsid w:val="008E585F"/>
    <w:rsid w:val="008F10E9"/>
    <w:rsid w:val="008F30E8"/>
    <w:rsid w:val="008F47F0"/>
    <w:rsid w:val="008F5031"/>
    <w:rsid w:val="008F6549"/>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866D4"/>
    <w:rsid w:val="00A879C1"/>
    <w:rsid w:val="00AA0AC3"/>
    <w:rsid w:val="00AA2C52"/>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D7F65"/>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572AC"/>
    <w:rsid w:val="00C60ED3"/>
    <w:rsid w:val="00C62701"/>
    <w:rsid w:val="00C631A0"/>
    <w:rsid w:val="00C71DEB"/>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02DF"/>
    <w:rsid w:val="00D52FFE"/>
    <w:rsid w:val="00D60EDE"/>
    <w:rsid w:val="00D61AEF"/>
    <w:rsid w:val="00D62617"/>
    <w:rsid w:val="00D70631"/>
    <w:rsid w:val="00D74511"/>
    <w:rsid w:val="00D82394"/>
    <w:rsid w:val="00D8695C"/>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B998A261-0F4A-4EDE-8E1F-7F8AF939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8488</TotalTime>
  <Pages>40</Pages>
  <Words>8547</Words>
  <Characters>50430</Characters>
  <Application>Microsoft Office Word</Application>
  <DocSecurity>0</DocSecurity>
  <Lines>420</Lines>
  <Paragraphs>117</Paragraphs>
  <ScaleCrop>false</ScaleCrop>
  <HeadingPairs>
    <vt:vector size="6" baseType="variant">
      <vt:variant>
        <vt:lpstr>Title</vt:lpstr>
      </vt:variant>
      <vt:variant>
        <vt:i4>1</vt:i4>
      </vt:variant>
      <vt:variant>
        <vt:lpstr>Headings</vt:lpstr>
      </vt:variant>
      <vt:variant>
        <vt:i4>49</vt:i4>
      </vt:variant>
      <vt:variant>
        <vt:lpstr>Název</vt:lpstr>
      </vt:variant>
      <vt:variant>
        <vt:i4>1</vt:i4>
      </vt:variant>
    </vt:vector>
  </HeadingPairs>
  <TitlesOfParts>
    <vt:vector size="51"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Vstupní data, severy, metodiky</vt:lpstr>
      <vt:lpstr>    Vstupní data</vt:lpstr>
      <vt:lpstr>    Metodika měření bulk loadu</vt:lpstr>
      <vt:lpstr>    Metodika měření jednotlivých SELECT dotazů</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58860</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75</cp:revision>
  <cp:lastPrinted>2011-12-13T09:39:00Z</cp:lastPrinted>
  <dcterms:created xsi:type="dcterms:W3CDTF">2014-03-16T16:40:00Z</dcterms:created>
  <dcterms:modified xsi:type="dcterms:W3CDTF">2014-04-26T10:55:00Z</dcterms:modified>
</cp:coreProperties>
</file>