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CDEB" w14:textId="3D94A82F" w:rsidR="00C41CF3" w:rsidRPr="00351ADD" w:rsidRDefault="00A367B2" w:rsidP="00334708">
      <w:pPr>
        <w:spacing w:line="360" w:lineRule="auto"/>
        <w:jc w:val="both"/>
        <w:rPr>
          <w:rFonts w:ascii="Segoe UI" w:eastAsia="Times New Roman" w:hAnsi="Segoe UI" w:cs="Segoe UI"/>
          <w:color w:val="3366CC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02122"/>
          <w:u w:val="single"/>
          <w:shd w:val="clear" w:color="auto" w:fill="FFFFFF"/>
        </w:rPr>
        <w:t>1</w:t>
      </w:r>
      <w:r w:rsidR="007008AD" w:rsidRPr="00A367B2">
        <w:rPr>
          <w:rFonts w:ascii="Segoe UI" w:eastAsia="Times New Roman" w:hAnsi="Segoe UI" w:cs="Segoe UI"/>
          <w:color w:val="202122"/>
          <w:u w:val="single"/>
          <w:shd w:val="clear" w:color="auto" w:fill="FFFFFF"/>
        </w:rPr>
        <w:t xml:space="preserve"> </w:t>
      </w:r>
      <w:r w:rsidR="007008AD" w:rsidRPr="00351ADD">
        <w:rPr>
          <w:rFonts w:ascii="Segoe UI" w:eastAsia="Times New Roman" w:hAnsi="Segoe UI" w:cs="Segoe UI"/>
          <w:color w:val="202122"/>
          <w:shd w:val="clear" w:color="auto" w:fill="FFFFFF"/>
        </w:rPr>
        <w:t xml:space="preserve">Cross, Simon S., </w:t>
      </w:r>
      <w:r w:rsidR="0031155B" w:rsidRPr="00351ADD">
        <w:rPr>
          <w:rFonts w:ascii="Segoe UI" w:eastAsia="Times New Roman" w:hAnsi="Segoe UI" w:cs="Segoe UI"/>
          <w:color w:val="202122"/>
          <w:shd w:val="clear" w:color="auto" w:fill="FFFFFF"/>
        </w:rPr>
        <w:t>Herausgeber</w:t>
      </w:r>
      <w:r w:rsidR="007008AD" w:rsidRPr="00351ADD">
        <w:rPr>
          <w:rFonts w:ascii="Segoe UI" w:eastAsia="Times New Roman" w:hAnsi="Segoe UI" w:cs="Segoe UI"/>
          <w:color w:val="202122"/>
          <w:shd w:val="clear" w:color="auto" w:fill="FFFFFF"/>
        </w:rPr>
        <w:t>. Underwood, James C. E. 1942- (30 April 2018). </w:t>
      </w:r>
      <w:hyperlink r:id="rId5" w:history="1">
        <w:r w:rsidR="007008AD" w:rsidRPr="00351ADD">
          <w:rPr>
            <w:rStyle w:val="Hyperlink"/>
            <w:rFonts w:ascii="inherit" w:eastAsia="Times New Roman" w:hAnsi="inherit" w:cs="Segoe UI"/>
            <w:color w:val="3366CC"/>
            <w:u w:val="none"/>
            <w:bdr w:val="none" w:sz="0" w:space="0" w:color="auto" w:frame="1"/>
          </w:rPr>
          <w:t>Underwood's pathology : a clinical approach</w:t>
        </w:r>
      </w:hyperlink>
      <w:r w:rsidR="007008AD" w:rsidRPr="00351ADD">
        <w:rPr>
          <w:rFonts w:ascii="Segoe UI" w:eastAsia="Times New Roman" w:hAnsi="Segoe UI" w:cs="Segoe UI"/>
          <w:color w:val="202122"/>
          <w:shd w:val="clear" w:color="auto" w:fill="FFFFFF"/>
        </w:rPr>
        <w:t>. Elsevier – Health Sciences Division. </w:t>
      </w:r>
      <w:hyperlink r:id="rId6" w:tooltip="ISBN (identifier)" w:history="1">
        <w:r w:rsidR="007008AD" w:rsidRPr="00351ADD">
          <w:rPr>
            <w:rStyle w:val="Hyperlink"/>
            <w:rFonts w:ascii="Segoe UI" w:eastAsia="Times New Roman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ISB</w:t>
        </w:r>
        <w:r w:rsidR="00FD5711" w:rsidRPr="00351ADD">
          <w:rPr>
            <w:rFonts w:ascii="Segoe UI" w:eastAsia="Times New Roman" w:hAnsi="Segoe UI" w:cs="Segoe UI"/>
            <w:color w:val="202122"/>
            <w:shd w:val="clear" w:color="auto" w:fill="FFFFFF"/>
          </w:rPr>
          <w:t xml:space="preserve"> Herausgeber</w:t>
        </w:r>
        <w:r w:rsidR="00FD5711" w:rsidRPr="00351ADD">
          <w:rPr>
            <w:rStyle w:val="Hyperlink"/>
            <w:rFonts w:ascii="Segoe UI" w:eastAsia="Times New Roman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7008AD" w:rsidRPr="00351ADD">
          <w:rPr>
            <w:rStyle w:val="Hyperlink"/>
            <w:rFonts w:ascii="Segoe UI" w:eastAsia="Times New Roman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N</w:t>
        </w:r>
      </w:hyperlink>
      <w:r w:rsidR="007008AD" w:rsidRPr="00351ADD">
        <w:rPr>
          <w:rFonts w:ascii="Segoe UI" w:eastAsia="Times New Roman" w:hAnsi="Segoe UI" w:cs="Segoe UI"/>
          <w:color w:val="202122"/>
          <w:shd w:val="clear" w:color="auto" w:fill="FFFFFF"/>
        </w:rPr>
        <w:t> </w:t>
      </w:r>
      <w:hyperlink r:id="rId7" w:tooltip="Special:BookSources/978-0-7020-7212-3" w:history="1">
        <w:r w:rsidR="007008AD" w:rsidRPr="00351ADD">
          <w:rPr>
            <w:rStyle w:val="Hyperlink"/>
            <w:rFonts w:ascii="Segoe UI" w:eastAsia="Times New Roman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978-0-7020-7212-3</w:t>
        </w:r>
      </w:hyperlink>
      <w:r w:rsidR="007008AD" w:rsidRPr="00351ADD">
        <w:rPr>
          <w:rFonts w:ascii="Segoe UI" w:eastAsia="Times New Roman" w:hAnsi="Segoe UI" w:cs="Segoe UI"/>
          <w:color w:val="202122"/>
          <w:shd w:val="clear" w:color="auto" w:fill="FFFFFF"/>
        </w:rPr>
        <w:t>. </w:t>
      </w:r>
      <w:hyperlink r:id="rId8" w:tooltip="OCLC (identifier)" w:history="1">
        <w:r w:rsidR="007008AD" w:rsidRPr="00351ADD">
          <w:rPr>
            <w:rStyle w:val="Hyperlink"/>
            <w:rFonts w:ascii="Segoe UI" w:eastAsia="Times New Roman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OCLC</w:t>
        </w:r>
      </w:hyperlink>
      <w:r w:rsidR="007008AD" w:rsidRPr="00351ADD">
        <w:rPr>
          <w:rFonts w:ascii="Segoe UI" w:eastAsia="Times New Roman" w:hAnsi="Segoe UI" w:cs="Segoe UI"/>
          <w:color w:val="202122"/>
          <w:shd w:val="clear" w:color="auto" w:fill="FFFFFF"/>
        </w:rPr>
        <w:t> </w:t>
      </w:r>
      <w:hyperlink r:id="rId9" w:history="1">
        <w:r w:rsidR="007008AD" w:rsidRPr="00351ADD">
          <w:rPr>
            <w:rStyle w:val="Hyperlink"/>
            <w:rFonts w:ascii="Segoe UI" w:eastAsia="Times New Roman" w:hAnsi="Segoe UI" w:cs="Segoe UI"/>
            <w:color w:val="3366CC"/>
            <w:u w:val="none"/>
            <w:bdr w:val="none" w:sz="0" w:space="0" w:color="auto" w:frame="1"/>
          </w:rPr>
          <w:t>1043350646</w:t>
        </w:r>
      </w:hyperlink>
    </w:p>
    <w:p w14:paraId="454F6FD6" w14:textId="238C42C2" w:rsidR="00501A52" w:rsidRPr="00351ADD" w:rsidRDefault="00C41CF3" w:rsidP="00334708">
      <w:pPr>
        <w:spacing w:line="360" w:lineRule="auto"/>
        <w:jc w:val="both"/>
        <w:rPr>
          <w:rStyle w:val="reference-accessdate"/>
          <w:rFonts w:ascii="Segoe UI" w:eastAsia="Times New Roman" w:hAnsi="Segoe UI" w:cs="Segoe UI"/>
          <w:color w:val="3366CC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b/>
          <w:bCs/>
          <w:color w:val="202122"/>
        </w:rPr>
        <w:t>2</w:t>
      </w:r>
      <w:r w:rsidR="00DD43E2" w:rsidRPr="00351ADD">
        <w:rPr>
          <w:rFonts w:ascii="inherit" w:eastAsia="Times New Roman" w:hAnsi="inherit" w:cs="Segoe UI"/>
          <w:color w:val="202122"/>
        </w:rPr>
        <w:t> </w:t>
      </w:r>
      <w:hyperlink r:id="rId10" w:history="1">
        <w:r w:rsidR="00DD43E2" w:rsidRPr="00351ADD">
          <w:rPr>
            <w:rStyle w:val="Hyperlink"/>
            <w:rFonts w:ascii="inherit" w:eastAsia="Times New Roman" w:hAnsi="inherit" w:cs="Segoe UI"/>
            <w:color w:val="3366CC"/>
            <w:u w:val="none"/>
            <w:bdr w:val="none" w:sz="0" w:space="0" w:color="auto" w:frame="1"/>
          </w:rPr>
          <w:t>"-pathy, comb. form"</w:t>
        </w:r>
      </w:hyperlink>
      <w:r w:rsidR="00DD43E2" w:rsidRPr="00351ADD">
        <w:rPr>
          <w:rStyle w:val="HTMLCite"/>
          <w:rFonts w:ascii="inherit" w:eastAsia="Times New Roman" w:hAnsi="inherit" w:cs="Segoe UI"/>
          <w:i w:val="0"/>
          <w:iCs w:val="0"/>
          <w:color w:val="202122"/>
          <w:bdr w:val="none" w:sz="0" w:space="0" w:color="auto" w:frame="1"/>
        </w:rPr>
        <w:t>. OED Online. </w:t>
      </w:r>
      <w:hyperlink r:id="rId11" w:tooltip="Oxford English Dictionary" w:history="1">
        <w:r w:rsidR="00DD43E2" w:rsidRPr="00351ADD">
          <w:rPr>
            <w:rStyle w:val="Hyperlink"/>
            <w:rFonts w:ascii="inherit" w:eastAsia="Times New Roman" w:hAnsi="inherit" w:cs="Segoe UI"/>
            <w:color w:val="3366CC"/>
            <w:u w:val="none"/>
            <w:bdr w:val="none" w:sz="0" w:space="0" w:color="auto" w:frame="1"/>
          </w:rPr>
          <w:t>Oxford English Dictionary</w:t>
        </w:r>
      </w:hyperlink>
      <w:r w:rsidR="00DD43E2" w:rsidRPr="00351ADD">
        <w:rPr>
          <w:rStyle w:val="HTMLCite"/>
          <w:rFonts w:ascii="inherit" w:eastAsia="Times New Roman" w:hAnsi="inherit" w:cs="Segoe UI"/>
          <w:i w:val="0"/>
          <w:iCs w:val="0"/>
          <w:color w:val="202122"/>
          <w:bdr w:val="none" w:sz="0" w:space="0" w:color="auto" w:frame="1"/>
        </w:rPr>
        <w:t> (3rd ed.). Oxford University Press. 2005</w:t>
      </w:r>
      <w:r w:rsidR="00DD43E2" w:rsidRPr="00351ADD">
        <w:rPr>
          <w:rStyle w:val="reference-accessdate"/>
          <w:rFonts w:ascii="inherit" w:eastAsia="Times New Roman" w:hAnsi="inherit" w:cs="Segoe UI"/>
          <w:color w:val="202122"/>
          <w:bdr w:val="none" w:sz="0" w:space="0" w:color="auto" w:frame="1"/>
        </w:rPr>
        <w:t>. Retrieved </w:t>
      </w:r>
      <w:r w:rsidR="00DD43E2" w:rsidRPr="00351ADD">
        <w:rPr>
          <w:rStyle w:val="nowrap"/>
          <w:rFonts w:ascii="inherit" w:eastAsia="Times New Roman" w:hAnsi="inherit" w:cs="Segoe UI"/>
          <w:color w:val="202122"/>
          <w:bdr w:val="none" w:sz="0" w:space="0" w:color="auto" w:frame="1"/>
        </w:rPr>
        <w:t>23 March</w:t>
      </w:r>
      <w:r w:rsidR="00DD43E2" w:rsidRPr="00351ADD">
        <w:rPr>
          <w:rStyle w:val="reference-accessdate"/>
          <w:rFonts w:ascii="inherit" w:eastAsia="Times New Roman" w:hAnsi="inherit" w:cs="Segoe UI"/>
          <w:color w:val="202122"/>
          <w:bdr w:val="none" w:sz="0" w:space="0" w:color="auto" w:frame="1"/>
        </w:rPr>
        <w:t> 2020</w:t>
      </w:r>
    </w:p>
    <w:p w14:paraId="1613AE63" w14:textId="77777777" w:rsidR="00FE34F0" w:rsidRPr="00B21692" w:rsidRDefault="00FE34F0" w:rsidP="0096573D">
      <w:pPr>
        <w:shd w:val="clear" w:color="auto" w:fill="FFFFFF"/>
        <w:spacing w:after="0" w:line="24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u w:val="single"/>
          <w:bdr w:val="none" w:sz="0" w:space="0" w:color="auto" w:frame="1"/>
        </w:rPr>
      </w:pPr>
    </w:p>
    <w:p w14:paraId="108F9AB3" w14:textId="5EF3EAC6" w:rsidR="00FE34F0" w:rsidRPr="00351ADD" w:rsidRDefault="00C41CF3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1120D0"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3   </w:t>
      </w:r>
      <w:r w:rsidR="00152617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Robbins B</w:t>
      </w:r>
      <w:r w:rsidR="002F75F5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asic Pathology - (2003) Reviewed by SK </w:t>
      </w:r>
      <w:r w:rsidR="00FE34F0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N</w:t>
      </w:r>
      <w:r w:rsidR="00B46B5B">
        <w:rPr>
          <w:rFonts w:ascii="inherit" w:eastAsia="Times New Roman" w:hAnsi="inherit" w:cs="Segoe UI"/>
          <w:color w:val="202122"/>
          <w:bdr w:val="none" w:sz="0" w:space="0" w:color="auto" w:frame="1"/>
        </w:rPr>
        <w:t>ema</w:t>
      </w:r>
    </w:p>
    <w:p w14:paraId="702E7115" w14:textId="77777777" w:rsidR="00FE34F0" w:rsidRPr="00351ADD" w:rsidRDefault="00FE34F0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2797DFED" w14:textId="53C0B380" w:rsidR="002F75F5" w:rsidRPr="00351ADD" w:rsidRDefault="00AC0184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4.   </w:t>
      </w:r>
      <w:r w:rsidR="002F75F5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A brief history of pathology, Preface to a forthcoming series that highlights milestones in the evolution of </w:t>
      </w:r>
    </w:p>
    <w:p w14:paraId="087645E4" w14:textId="77777777" w:rsidR="002F75F5" w:rsidRPr="00351ADD" w:rsidRDefault="002F75F5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pathology as a discipline,Jan G. van den Tweel &amp; Clive R. Taylor.</w:t>
      </w:r>
    </w:p>
    <w:p w14:paraId="6C6299B9" w14:textId="77777777" w:rsidR="00D6744B" w:rsidRPr="00351ADD" w:rsidRDefault="00D6744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3C63F78C" w14:textId="2DECEC12" w:rsidR="002F75F5" w:rsidRPr="00351ADD" w:rsidRDefault="00AC0184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5</w:t>
      </w:r>
      <w:r w:rsidR="00D60A4C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</w:t>
      </w:r>
      <w:r w:rsidR="002F75F5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Introduction to the history of plant pathology By, Geoffrey Clough Ainsworth.</w:t>
      </w:r>
    </w:p>
    <w:p w14:paraId="0D41A067" w14:textId="68D19732" w:rsidR="00D6744B" w:rsidRPr="00351ADD" w:rsidRDefault="00D6744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003EB2B5" w14:textId="1A573E51" w:rsidR="00EE2A5C" w:rsidRPr="00351ADD" w:rsidRDefault="001E4321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6. </w:t>
      </w:r>
      <w:r w:rsidR="00EE2A5C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survey of the results of analyses of blood serum in clinical chemistry laboratories in the United </w:t>
      </w:r>
    </w:p>
    <w:p w14:paraId="4F3F1459" w14:textId="35D76F06" w:rsidR="00873506" w:rsidRPr="00351ADD" w:rsidRDefault="00873506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Kingdom </w:t>
      </w:r>
      <w:r w:rsidR="008D5F28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TP Whitehead </w:t>
      </w:r>
      <w:r w:rsidR="00A9257F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DM Browning </w:t>
      </w:r>
      <w:r w:rsidR="00376AC8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A Gregory</w:t>
      </w:r>
    </w:p>
    <w:p w14:paraId="714E0473" w14:textId="7B84349B" w:rsidR="00376AC8" w:rsidRPr="00351ADD" w:rsidRDefault="00376AC8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2DCE9F33" w14:textId="1F7F9715" w:rsidR="00FD42C6" w:rsidRPr="00351ADD" w:rsidRDefault="001E4321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7 </w:t>
      </w:r>
      <w:r w:rsidR="00FD42C6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calibration for assays in clinical chemistry using attenuated total reflection infrared spectra of </w:t>
      </w:r>
    </w:p>
    <w:p w14:paraId="353EF809" w14:textId="77777777" w:rsidR="00FD42C6" w:rsidRPr="00351ADD" w:rsidRDefault="00FD42C6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human blood plasma, Guenter. Janatsch, J. D. Kruse-Jarres, Ralf. Marbach, and H. M. Heise</w:t>
      </w:r>
    </w:p>
    <w:p w14:paraId="4BBE4869" w14:textId="77777777" w:rsidR="00FD42C6" w:rsidRPr="00351ADD" w:rsidRDefault="00FD42C6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0CB6FA23" w14:textId="6FC52297" w:rsidR="008533C2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8</w:t>
      </w:r>
      <w:r w:rsidR="008533C2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Erythrocytes: An Overview, Mehrdad Hamidi &amp;Hosnieh Tajerzadeh, Pages 9-20</w:t>
      </w:r>
    </w:p>
    <w:p w14:paraId="5B8A8ED7" w14:textId="77777777" w:rsidR="00D6744B" w:rsidRPr="00351ADD" w:rsidRDefault="00D6744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62A6C0D1" w14:textId="1544CFB6" w:rsidR="008533C2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9</w:t>
      </w:r>
      <w:r w:rsidR="008533C2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Published online: 29 Sep 2008</w:t>
      </w:r>
    </w:p>
    <w:p w14:paraId="473FE5E3" w14:textId="77777777" w:rsidR="00D6744B" w:rsidRPr="00351ADD" w:rsidRDefault="00D6744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3240034B" w14:textId="2315857C" w:rsidR="008533C2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10</w:t>
      </w:r>
      <w:r w:rsidR="00EA77AA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</w:t>
      </w:r>
      <w:r w:rsidR="008533C2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Conjugated bilirubin triggers anemia by inducing erythrocyte death, Elisabeth Lang, Sergios Gatidis, Noemi </w:t>
      </w:r>
    </w:p>
    <w:p w14:paraId="6A939AE2" w14:textId="77777777" w:rsidR="00D6744B" w:rsidRPr="00351ADD" w:rsidRDefault="00D6744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7A3342F8" w14:textId="38CCF6A3" w:rsidR="00DF4BEF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11</w:t>
      </w:r>
      <w:r w:rsidR="008533C2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Hans Bock, Ralf Kubitz, Christian Lauermann, Hans Martin Orth, Caroline Klindt, </w:t>
      </w:r>
      <w:r w:rsidR="002A0C41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Maximilian Schuier </w:t>
      </w:r>
    </w:p>
    <w:p w14:paraId="7892C114" w14:textId="77777777" w:rsidR="00D6744B" w:rsidRPr="00351ADD" w:rsidRDefault="00D6744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23D3D586" w14:textId="1E2DE7D7" w:rsidR="00F749A7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12</w:t>
      </w:r>
      <w:r w:rsidR="00F749A7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Subclass Separation of White Blood Cell Images Using Convolutional Neural Network Models By, Mesut </w:t>
      </w:r>
      <w:r w:rsidR="00193837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Togacar Burhan Ergen</w:t>
      </w:r>
    </w:p>
    <w:p w14:paraId="10B344F5" w14:textId="5B4C5985" w:rsidR="00F749A7" w:rsidRPr="00351ADD" w:rsidRDefault="00F749A7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2380AAD1" w14:textId="77777777" w:rsidR="001F0460" w:rsidRPr="00351ADD" w:rsidRDefault="001F0460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3DECCDBB" w14:textId="3636D8A0" w:rsidR="00B34D3D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13 </w:t>
      </w:r>
      <w:r w:rsidR="00F749A7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Lymphocytes By, David F.La Rosa M D Jordan S.Orange </w:t>
      </w:r>
      <w:r w:rsidR="00B34D3D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MD</w:t>
      </w:r>
    </w:p>
    <w:p w14:paraId="409D631D" w14:textId="77777777" w:rsidR="00B34D3D" w:rsidRPr="00351ADD" w:rsidRDefault="00B34D3D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2B1CF9C3" w14:textId="749D1EB4" w:rsidR="00695444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14</w:t>
      </w:r>
      <w:r w:rsidR="00F749A7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Physiological and Molecular Mechanisms of Lymphocyte Homing By, L J Picker, E C </w:t>
      </w:r>
      <w:r w:rsidR="00695444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Butcher</w:t>
      </w:r>
    </w:p>
    <w:p w14:paraId="11A66DFB" w14:textId="77777777" w:rsidR="00695444" w:rsidRPr="00351ADD" w:rsidRDefault="00695444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2C21B087" w14:textId="3F572155" w:rsidR="00F749A7" w:rsidRPr="00351ADD" w:rsidRDefault="0024464E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15</w:t>
      </w:r>
      <w:r w:rsidR="00F9433E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Platelets: Physiology and Biochemistry By, Kerstin Jurk, Beate E. Kehrel.</w:t>
      </w:r>
    </w:p>
    <w:p w14:paraId="40EFE386" w14:textId="77777777" w:rsidR="00B34D3D" w:rsidRPr="00351ADD" w:rsidRDefault="00B34D3D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545CA75C" w14:textId="260DEBCD" w:rsidR="0079271A" w:rsidRPr="00351ADD" w:rsidRDefault="00B93D8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16</w:t>
      </w:r>
      <w:r w:rsidR="0079271A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. A Sample report of urine analysis By Omkar laboratory.</w:t>
      </w:r>
    </w:p>
    <w:p w14:paraId="4E33074A" w14:textId="77777777" w:rsidR="00B34D3D" w:rsidRPr="00351ADD" w:rsidRDefault="00B34D3D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018D6A4A" w14:textId="4DBA28C6" w:rsidR="0079271A" w:rsidRPr="00351ADD" w:rsidRDefault="00B93D8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17 </w:t>
      </w:r>
      <w:r w:rsidR="0079271A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Light Microscope- Definition, Principle, Types, Parts, Labeled Diagram, Magnification published online on </w:t>
      </w:r>
    </w:p>
    <w:p w14:paraId="293341A5" w14:textId="77777777" w:rsidR="0079271A" w:rsidRPr="00351ADD" w:rsidRDefault="0079271A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September 7, 2022 by Faith Mokobi</w:t>
      </w:r>
    </w:p>
    <w:p w14:paraId="4B519E68" w14:textId="77777777" w:rsidR="00B34D3D" w:rsidRPr="00351ADD" w:rsidRDefault="00B34D3D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</w:p>
    <w:p w14:paraId="5698716C" w14:textId="54DC16EF" w:rsidR="0079271A" w:rsidRPr="00351ADD" w:rsidRDefault="00B93D8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18 </w:t>
      </w:r>
      <w:r w:rsidR="0079271A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Fundamental of light Microscopy and electronic imaging A Book by Douglas B. Murphy, printed in USA.</w:t>
      </w:r>
    </w:p>
    <w:p w14:paraId="73BC358C" w14:textId="33927E35" w:rsidR="00B34D3D" w:rsidRPr="00351ADD" w:rsidRDefault="00B93D8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</w:t>
      </w: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>19</w:t>
      </w:r>
      <w:r w:rsidR="00590815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A Sample Report of Blood Testing, By, Shrikrushna Laboratory, wadala</w:t>
      </w:r>
    </w:p>
    <w:p w14:paraId="1759552F" w14:textId="64BE4DD1" w:rsidR="00590815" w:rsidRPr="00351ADD" w:rsidRDefault="00590815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.</w:t>
      </w:r>
    </w:p>
    <w:p w14:paraId="41584084" w14:textId="090642FB" w:rsidR="00663551" w:rsidRPr="00351ADD" w:rsidRDefault="00D43CF4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2122"/>
          <w:bdr w:val="none" w:sz="0" w:space="0" w:color="auto" w:frame="1"/>
        </w:rPr>
        <w:t xml:space="preserve">20 </w:t>
      </w:r>
      <w:r w:rsidR="00663551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Physiological conditions can be reflected in human urine proteome and metabolome, by, Jianqiang Wu </w:t>
      </w:r>
      <w:r w:rsidR="00255DE7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 </w:t>
      </w:r>
      <w:r w:rsidR="00663551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>&amp;</w:t>
      </w:r>
      <w:r w:rsidR="00255DE7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. </w:t>
      </w:r>
      <w:r>
        <w:rPr>
          <w:rFonts w:ascii="inherit" w:eastAsia="Times New Roman" w:hAnsi="inherit" w:cs="Segoe UI"/>
          <w:color w:val="202122"/>
          <w:bdr w:val="none" w:sz="0" w:space="0" w:color="auto" w:frame="1"/>
        </w:rPr>
        <w:t>Youhe</w:t>
      </w:r>
      <w:r w:rsidR="00255DE7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</w:t>
      </w:r>
      <w:r w:rsidR="00663551" w:rsidRPr="00351ADD">
        <w:rPr>
          <w:rFonts w:ascii="inherit" w:eastAsia="Times New Roman" w:hAnsi="inherit" w:cs="Segoe UI"/>
          <w:color w:val="202122"/>
          <w:bdr w:val="none" w:sz="0" w:space="0" w:color="auto" w:frame="1"/>
        </w:rPr>
        <w:t xml:space="preserve"> Gao published on 15 October 2015</w:t>
      </w:r>
    </w:p>
    <w:p w14:paraId="0615CF77" w14:textId="7598DC40" w:rsidR="00040DCB" w:rsidRPr="00B21692" w:rsidRDefault="00040DCB" w:rsidP="008B127D">
      <w:pPr>
        <w:shd w:val="clear" w:color="auto" w:fill="FFFFFF"/>
        <w:spacing w:after="0" w:line="360" w:lineRule="auto"/>
        <w:jc w:val="both"/>
        <w:textAlignment w:val="baseline"/>
        <w:divId w:val="1838881761"/>
        <w:rPr>
          <w:rFonts w:ascii="inherit" w:eastAsia="Times New Roman" w:hAnsi="inherit" w:cs="Segoe UI"/>
          <w:color w:val="202122"/>
          <w:u w:val="single"/>
          <w:bdr w:val="none" w:sz="0" w:space="0" w:color="auto" w:frame="1"/>
        </w:rPr>
      </w:pPr>
    </w:p>
    <w:sectPr w:rsidR="00040DCB" w:rsidRPr="00B2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B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F65C2"/>
    <w:multiLevelType w:val="hybridMultilevel"/>
    <w:tmpl w:val="BDA28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29A"/>
    <w:multiLevelType w:val="hybridMultilevel"/>
    <w:tmpl w:val="FF4215E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55D64"/>
    <w:multiLevelType w:val="hybridMultilevel"/>
    <w:tmpl w:val="4F96BA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6020"/>
    <w:multiLevelType w:val="hybridMultilevel"/>
    <w:tmpl w:val="978C76A8"/>
    <w:lvl w:ilvl="0" w:tplc="FFFFFFFF">
      <w:start w:val="1"/>
      <w:numFmt w:val="decimal"/>
      <w:lvlText w:val="%1"/>
      <w:lvlJc w:val="left"/>
      <w:pPr>
        <w:ind w:left="422" w:hanging="360"/>
      </w:pPr>
      <w:rPr>
        <w:rFonts w:hint="default"/>
        <w:b/>
        <w:color w:val="2021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num w:numId="1" w16cid:durableId="1015882846">
    <w:abstractNumId w:val="0"/>
  </w:num>
  <w:num w:numId="2" w16cid:durableId="2142654654">
    <w:abstractNumId w:val="4"/>
  </w:num>
  <w:num w:numId="3" w16cid:durableId="140660441">
    <w:abstractNumId w:val="3"/>
  </w:num>
  <w:num w:numId="4" w16cid:durableId="267468105">
    <w:abstractNumId w:val="1"/>
  </w:num>
  <w:num w:numId="5" w16cid:durableId="93259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AD"/>
    <w:rsid w:val="00040DCB"/>
    <w:rsid w:val="00082194"/>
    <w:rsid w:val="001120D0"/>
    <w:rsid w:val="00152617"/>
    <w:rsid w:val="00167B54"/>
    <w:rsid w:val="00177B03"/>
    <w:rsid w:val="00193837"/>
    <w:rsid w:val="001E4321"/>
    <w:rsid w:val="001F0460"/>
    <w:rsid w:val="002069BF"/>
    <w:rsid w:val="0024464E"/>
    <w:rsid w:val="00255DE7"/>
    <w:rsid w:val="002A0C41"/>
    <w:rsid w:val="002F75F5"/>
    <w:rsid w:val="0031155B"/>
    <w:rsid w:val="00311BBF"/>
    <w:rsid w:val="00334708"/>
    <w:rsid w:val="00351ADD"/>
    <w:rsid w:val="003545A0"/>
    <w:rsid w:val="00371A46"/>
    <w:rsid w:val="00376AC8"/>
    <w:rsid w:val="003A42B2"/>
    <w:rsid w:val="00400C44"/>
    <w:rsid w:val="0041596B"/>
    <w:rsid w:val="00440E6E"/>
    <w:rsid w:val="00485956"/>
    <w:rsid w:val="00485ADB"/>
    <w:rsid w:val="004A4EDB"/>
    <w:rsid w:val="004C0F69"/>
    <w:rsid w:val="004D22D2"/>
    <w:rsid w:val="00501A52"/>
    <w:rsid w:val="00503728"/>
    <w:rsid w:val="00553522"/>
    <w:rsid w:val="0056250C"/>
    <w:rsid w:val="00582EDB"/>
    <w:rsid w:val="00590815"/>
    <w:rsid w:val="005F0AB3"/>
    <w:rsid w:val="00644602"/>
    <w:rsid w:val="00663551"/>
    <w:rsid w:val="00685817"/>
    <w:rsid w:val="00695444"/>
    <w:rsid w:val="007008AD"/>
    <w:rsid w:val="007241CA"/>
    <w:rsid w:val="00761A9B"/>
    <w:rsid w:val="0079271A"/>
    <w:rsid w:val="007F64DE"/>
    <w:rsid w:val="00842BDC"/>
    <w:rsid w:val="00850F7D"/>
    <w:rsid w:val="008533C2"/>
    <w:rsid w:val="00873506"/>
    <w:rsid w:val="0087521D"/>
    <w:rsid w:val="008941F8"/>
    <w:rsid w:val="008B127D"/>
    <w:rsid w:val="008D5F28"/>
    <w:rsid w:val="008E739B"/>
    <w:rsid w:val="0096573D"/>
    <w:rsid w:val="00A01711"/>
    <w:rsid w:val="00A367B2"/>
    <w:rsid w:val="00A9257F"/>
    <w:rsid w:val="00AC0184"/>
    <w:rsid w:val="00AD1DE7"/>
    <w:rsid w:val="00AE522D"/>
    <w:rsid w:val="00B21692"/>
    <w:rsid w:val="00B34D3D"/>
    <w:rsid w:val="00B44364"/>
    <w:rsid w:val="00B46B5B"/>
    <w:rsid w:val="00B93D8B"/>
    <w:rsid w:val="00BB2739"/>
    <w:rsid w:val="00BF44D3"/>
    <w:rsid w:val="00C41CF3"/>
    <w:rsid w:val="00C44005"/>
    <w:rsid w:val="00CA248F"/>
    <w:rsid w:val="00CC37FE"/>
    <w:rsid w:val="00D43CF4"/>
    <w:rsid w:val="00D60A4C"/>
    <w:rsid w:val="00D6744B"/>
    <w:rsid w:val="00DC140B"/>
    <w:rsid w:val="00DC461A"/>
    <w:rsid w:val="00DD43E2"/>
    <w:rsid w:val="00DF4BEF"/>
    <w:rsid w:val="00E02DBE"/>
    <w:rsid w:val="00EA77AA"/>
    <w:rsid w:val="00EE2A5C"/>
    <w:rsid w:val="00F73710"/>
    <w:rsid w:val="00F749A7"/>
    <w:rsid w:val="00F9433E"/>
    <w:rsid w:val="00FD42C6"/>
    <w:rsid w:val="00FD5711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38023"/>
  <w15:chartTrackingRefBased/>
  <w15:docId w15:val="{F2028311-9BDD-3A40-AC2C-A150A7C1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8A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D43E2"/>
    <w:rPr>
      <w:i/>
      <w:iCs/>
    </w:rPr>
  </w:style>
  <w:style w:type="character" w:customStyle="1" w:styleId="reference-accessdate">
    <w:name w:val="reference-accessdate"/>
    <w:basedOn w:val="DefaultParagraphFont"/>
    <w:rsid w:val="00DD43E2"/>
  </w:style>
  <w:style w:type="character" w:customStyle="1" w:styleId="nowrap">
    <w:name w:val="nowrap"/>
    <w:basedOn w:val="DefaultParagraphFont"/>
    <w:rsid w:val="00DD43E2"/>
  </w:style>
  <w:style w:type="paragraph" w:styleId="ListParagraph">
    <w:name w:val="List Paragraph"/>
    <w:basedOn w:val="Normal"/>
    <w:uiPriority w:val="34"/>
    <w:qFormat/>
    <w:rsid w:val="00FE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OCLC_(identifier)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en.m.wikipedia.org/wiki/Special:BookSources/978-0-7020-7212-3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en.m.wikipedia.org/wiki/ISBN_(identifier)" TargetMode="External" /><Relationship Id="rId11" Type="http://schemas.openxmlformats.org/officeDocument/2006/relationships/hyperlink" Target="https://en.m.wikipedia.org/wiki/Oxford_English_Dictionary" TargetMode="External" /><Relationship Id="rId5" Type="http://schemas.openxmlformats.org/officeDocument/2006/relationships/hyperlink" Target="http://worldcat.org/oclc/1043350646" TargetMode="External" /><Relationship Id="rId10" Type="http://schemas.openxmlformats.org/officeDocument/2006/relationships/hyperlink" Target="https://oed.com/view/Entry/138811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worldcat.org/oclc/10433506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badgujarneha47@gmail.com</dc:creator>
  <cp:keywords/>
  <dc:description/>
  <cp:lastModifiedBy>badgujarneha47@gmail.com</cp:lastModifiedBy>
  <cp:revision>2</cp:revision>
  <dcterms:created xsi:type="dcterms:W3CDTF">2024-01-18T04:38:00Z</dcterms:created>
  <dcterms:modified xsi:type="dcterms:W3CDTF">2024-01-18T04:38:00Z</dcterms:modified>
</cp:coreProperties>
</file>