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Members :  Bono, Jaira Kae V. </w:t>
        <w:tab/>
        <w:tab/>
        <w:tab/>
        <w:tab/>
        <w:tab/>
        <w:tab/>
        <w:tab/>
        <w:tab/>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ab/>
        <w:t xml:space="preserve">       Ahat, Jared Kurby Kein G.</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                      Ybanez, Jeneva Rose V.</w:t>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Fonts w:ascii="Calibri" w:cs="Calibri" w:eastAsia="Calibri" w:hAnsi="Calibri"/>
          <w:b w:val="1"/>
          <w:bCs w:val="1"/>
          <w:sz w:val="24"/>
          <w:szCs w:val="24"/>
          <w:rtl w:val="0"/>
        </w:rPr>
        <w:t xml:space="preserve">CASE STUDY 3: SOFTWARE VENTURE FEASIBILITY REPORT</w:t>
      </w:r>
      <w:r w:rsidDel="00000000" w:rsidR="00000000" w:rsidRPr="00000000">
        <w:rPr>
          <w:b w:val="1"/>
          <w:bCs w:val="1"/>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Introduction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The AlagaVerse Tech Inc. plans to build PadalaCare, an automated and real-time micro-loan and health funding module that will be incorporated within the existing application. The feature will rely on alternative data from the user like the mobile load telco data and delivery rider transaction frequencies to make predictive modeling and provide emergency funding for the eligible users. In order to begin the development process, the company must first find out whether the idea of PadalaCare is feasible. This feasibility study makes use of the TELOS framework in evaluating PadalaCare for its technological, economic, legal, operational, and scheduling feasibility.</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 Technological Feasibility </w:t>
      </w:r>
    </w:p>
    <w:p w:rsidR="00000000" w:rsidDel="00000000" w:rsidP="00000000" w:rsidRDefault="00000000" w:rsidRPr="00000000" w14:paraId="000000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ind w:firstLine="720"/>
        <w:jc w:val="both"/>
        <w:rPr/>
      </w:pPr>
      <w:r w:rsidDel="00000000" w:rsidR="00000000" w:rsidRPr="00000000">
        <w:rPr>
          <w:rtl w:val="0"/>
        </w:rPr>
        <w:t xml:space="preserve">PadalaCare can be considered technologically viable since all the technologies needed for the integration of data, modeling, real time processing, cloud infrastructure, and security are available. Nonetheless, the firm has to guarantee that the alternative data is obtainable in an effective manner, as well as that it is valid enough to allow predictive modeling.</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ind w:firstLine="720"/>
        <w:jc w:val="both"/>
        <w:rPr/>
      </w:pPr>
      <w:r w:rsidDel="00000000" w:rsidR="00000000" w:rsidRPr="00000000">
        <w:rPr>
          <w:rtl w:val="0"/>
        </w:rPr>
        <w:t xml:space="preserve">On the other hand, the system should be able to handle the processing of the information in an efficient manner while ensuring the protection of personal and financial information via proper security measures.Overall, PadalaCare can be considered technologically feasible with conditions, as long as AlagaVerse can establish reliable data sources, accurate predictive modeling, strong security, and scalable infrastructure.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B. Economic Feasibility </w:t>
      </w:r>
    </w:p>
    <w:p w:rsidR="00000000" w:rsidDel="00000000" w:rsidP="00000000" w:rsidRDefault="00000000" w:rsidRPr="00000000" w14:paraId="000000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ind w:firstLine="720"/>
        <w:jc w:val="both"/>
        <w:rPr/>
      </w:pPr>
      <w:r w:rsidDel="00000000" w:rsidR="00000000" w:rsidRPr="00000000">
        <w:rPr>
          <w:rtl w:val="0"/>
        </w:rPr>
        <w:t xml:space="preserve">PadalaCare would need to make some initial investments on account of software development, system integration, predictive modeling, security, testing, and other aspects. AlagaVerse should split these costs into two categories: Capital Expenditures (CapEx) and Operating Expenditures (OpEx). CapEx accounts for significant initial investments, whereas OpEx consists of recurrent costs related to cloud services, data costs, maintenance, security, and other costs. Moreover, the firm must identify an appropriate revenue model and decide on funding for the initiative from the sources of company funds, angels, venture capital, and banks.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The Profit and Loss Statement, Balance Sheet, and Cash Flow Forecast of the project should be considered in order to analyze its profitability, financial standing, and cash available. The Cash Flow Forecast plays a critical role in this context since a project can be profitable but still have issues with cash shortages. In addition, the project must also be analyzed using Payback Period, Discounted Cash Flow (DCF), and Net Present Value (NPV). As there are no real numbers about investment, income and cash flows in this case, numeric calculation of Payback and NPV is not possible at this stage. Furthermore, the risk-adjusted discount rate should be considered when estimating risks of the project. Thus, PadalaCare can be viewed as an economically feasible project under certain conditions.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 Legal Feasibility </w:t>
      </w:r>
    </w:p>
    <w:p w:rsidR="00000000" w:rsidDel="00000000" w:rsidP="00000000" w:rsidRDefault="00000000" w:rsidRPr="00000000" w14:paraId="0000001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ind w:firstLine="720"/>
        <w:jc w:val="both"/>
        <w:rPr/>
      </w:pPr>
      <w:r w:rsidDel="00000000" w:rsidR="00000000" w:rsidRPr="00000000">
        <w:rPr>
          <w:rtl w:val="0"/>
        </w:rPr>
        <w:t xml:space="preserve">PadalaCare will be subject to laws and regulations in the Philippines because it will be collecting personal information and offering a micro-loan and health-funding service. Specifically, the Data Privacy Act of 2012 (RA 10173) is essential for ensuring that customers are appropriately educated regarding the collection and use of data, and security and privacy measures are put in place to ensure the protection of customers' information.</w:t>
      </w:r>
    </w:p>
    <w:p w:rsidR="00000000" w:rsidDel="00000000" w:rsidP="00000000" w:rsidRDefault="00000000" w:rsidRPr="00000000" w14:paraId="0000001A">
      <w:pPr>
        <w:jc w:val="both"/>
        <w:rPr/>
      </w:pPr>
      <w:r w:rsidDel="00000000" w:rsidR="00000000" w:rsidRPr="00000000">
        <w:rPr>
          <w:rtl w:val="0"/>
        </w:rPr>
        <w:tab/>
      </w:r>
    </w:p>
    <w:p w:rsidR="00000000" w:rsidDel="00000000" w:rsidP="00000000" w:rsidRDefault="00000000" w:rsidRPr="00000000" w14:paraId="0000001B">
      <w:pPr>
        <w:ind w:firstLine="720"/>
        <w:jc w:val="both"/>
        <w:rPr/>
      </w:pPr>
      <w:r w:rsidDel="00000000" w:rsidR="00000000" w:rsidRPr="00000000">
        <w:rPr>
          <w:rtl w:val="0"/>
        </w:rPr>
        <w:t xml:space="preserve">In addition, it will be crucial for PadalaCare to examine the alternative data use as well as the regulations in the financial services sector. Any information regarding health issues must be protected from unauthorized access as well. In general, PadalaCare is legal feasible under certain conditions if AlagaVerse adheres to all necessary data privacy and financial services regulations.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D. Operational Feasibility </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ind w:firstLine="720"/>
        <w:jc w:val="both"/>
        <w:rPr/>
      </w:pPr>
      <w:r w:rsidDel="00000000" w:rsidR="00000000" w:rsidRPr="00000000">
        <w:rPr>
          <w:rtl w:val="0"/>
        </w:rPr>
        <w:t xml:space="preserve">AlagaVerse will need developers, data specialists, cybersecurity personnel, system administrators, financial staff, project managers, and legal or compliance personnel to support PadalaCare. Clear procedures should also be established for data handling, funding decisions, fund disbursement, transaction monitoring, and customer support.</w:t>
      </w:r>
    </w:p>
    <w:p w:rsidR="00000000" w:rsidDel="00000000" w:rsidP="00000000" w:rsidRDefault="00000000" w:rsidRPr="00000000" w14:paraId="00000020">
      <w:pPr>
        <w:spacing w:after="240" w:before="240" w:lineRule="auto"/>
        <w:ind w:firstLine="720"/>
        <w:jc w:val="both"/>
        <w:rPr/>
      </w:pPr>
      <w:r w:rsidDel="00000000" w:rsidR="00000000" w:rsidRPr="00000000">
        <w:rPr>
          <w:rtl w:val="0"/>
        </w:rPr>
        <w:t xml:space="preserve">From a management-accounting perspective, PadalaCare can initially be treated as a cost center because resources will be spent on its development and operation. The company should identify direct costs, such as project-specific developer labor and dedicated cloud resources, and indirect costs, such as shared IT and administrative expenses. Overall absorption can then be used to assign an appropriate share of shared costs to the project. Therefore, PadalaCare can be considered operationally feasible with conditions, as long as the necessary personnel, procedures, responsibilities, and cost controls are properly established.</w:t>
      </w:r>
    </w:p>
    <w:p w:rsidR="00000000" w:rsidDel="00000000" w:rsidP="00000000" w:rsidRDefault="00000000" w:rsidRPr="00000000" w14:paraId="00000021">
      <w:pPr>
        <w:jc w:val="both"/>
        <w:rPr/>
      </w:pPr>
      <w:r w:rsidDel="00000000" w:rsidR="00000000" w:rsidRPr="00000000">
        <w:rPr>
          <w:rtl w:val="0"/>
        </w:rPr>
        <w:t xml:space="preserve">E. Scheduling Feasibility </w:t>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ind w:firstLine="720"/>
        <w:jc w:val="both"/>
        <w:rPr/>
      </w:pPr>
      <w:r w:rsidDel="00000000" w:rsidR="00000000" w:rsidRPr="00000000">
        <w:rPr>
          <w:rtl w:val="0"/>
        </w:rPr>
        <w:t xml:space="preserve">PadalaCare must go through a series of phases and not be introduced at once. In accordance with the recommendation, the process of introducing this system must be started from planning and requirement analysis, then proceed to design of the system, MVP creation, testing, piloting, and finally deployment. Testing must cover the system's functionality, security, performance, data quality, and accuracy of the predictive model. Piloting of the system must also be conducted before deployment in order for AlagaVerse to be able to spot potential issues and fix them before going big. In this case, PadalaCare can be regarded as scheduling-feasible, but with some conditions.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