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769BE26"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Ornstein-Uhlenbeck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236D1F93" w:rsidR="00E00FF4" w:rsidRPr="00B0609F"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w:t>
      </w:r>
      <w:r w:rsidR="00E00FF4">
        <w:lastRenderedPageBreak/>
        <w:t xml:space="preserve">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4550BE">
        <w:t xml:space="preserve">Note that estimates of evolutionary mode are unlikely to be very robust because our samples size is relatively small </w:t>
      </w:r>
      <w:r w:rsidR="004550BE">
        <w:fldChar w:fldCharType="begin"/>
      </w:r>
      <w:r w:rsidR="004550BE">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4550BE">
        <w:fldChar w:fldCharType="separate"/>
      </w:r>
      <w:r w:rsidR="004550BE">
        <w:rPr>
          <w:noProof/>
        </w:rPr>
        <w:t>(Cooper</w:t>
      </w:r>
      <w:r w:rsidR="004550BE" w:rsidRPr="004550BE">
        <w:rPr>
          <w:i/>
          <w:noProof/>
        </w:rPr>
        <w:t xml:space="preserve"> et al.</w:t>
      </w:r>
      <w:r w:rsidR="004550BE">
        <w:rPr>
          <w:noProof/>
        </w:rPr>
        <w:t>, 2016)</w:t>
      </w:r>
      <w:r w:rsidR="004550BE">
        <w:fldChar w:fldCharType="end"/>
      </w:r>
      <w:r w:rsidR="004550BE">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rsidR="004550BE">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Lastly, we also investigated the most likely evolutionary mode for log-transformed centroid size through functionalities in the </w:t>
      </w:r>
      <w:r w:rsidR="00B0609F">
        <w:rPr>
          <w:i/>
          <w:iCs/>
        </w:rPr>
        <w:t>Phytools</w:t>
      </w:r>
      <w:r w:rsidR="00B0609F">
        <w:t xml:space="preserve"> package. Note that the </w:t>
      </w:r>
      <w:r w:rsidR="0089641F">
        <w:t>probabilities</w:t>
      </w:r>
      <w:r w:rsidR="00B0609F">
        <w:t xml:space="preserve"> from </w:t>
      </w:r>
      <w:r w:rsidR="00B0609F">
        <w:rPr>
          <w:i/>
          <w:iCs/>
        </w:rPr>
        <w:t>Phytools</w:t>
      </w:r>
      <w:r w:rsidR="00B0609F">
        <w:t xml:space="preserve"> are given as Akaike Information Criterion (AIC), </w:t>
      </w:r>
      <w:r w:rsidR="0089641F">
        <w:t xml:space="preserve">which are a special case of and similar to the GICs given by the mvMORPH package </w:t>
      </w:r>
      <w:r w:rsidR="0089641F">
        <w:fldChar w:fldCharType="begin"/>
      </w:r>
      <w:r w:rsidR="0089641F">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89641F">
        <w:fldChar w:fldCharType="separate"/>
      </w:r>
      <w:r w:rsidR="0089641F">
        <w:rPr>
          <w:noProof/>
        </w:rPr>
        <w:t>(Cavanaugh &amp; Neath, 2019)</w:t>
      </w:r>
      <w:r w:rsidR="0089641F">
        <w:fldChar w:fldCharType="end"/>
      </w:r>
      <w:r w:rsidR="0089641F">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70619D6B" w:rsidR="00E00FF4" w:rsidRDefault="007F54EC" w:rsidP="007F54EC">
      <w:pPr>
        <w:spacing w:line="480" w:lineRule="auto"/>
      </w:pPr>
      <w:r>
        <w:rPr>
          <w:highlight w:val="white"/>
        </w:rPr>
        <w:t xml:space="preserve">To complement our analyses of evolutionary modes, we also visualized the divergence of shape over evolutionary time. For this,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Pr>
          <w:highlight w:val="white"/>
        </w:rPr>
        <w:fldChar w:fldCharType="end"/>
      </w:r>
      <w:r>
        <w:rPr>
          <w:highlight w:val="white"/>
        </w:rPr>
        <w:t xml:space="preserve"> on our ultrametric time-calibrated phylogeny </w:t>
      </w:r>
      <w:r>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expected this to provide a broad estimate </w:t>
      </w:r>
      <w:r>
        <w:lastRenderedPageBreak/>
        <w:t>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geomorph-based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w:t>
      </w:r>
      <w:r>
        <w:rPr>
          <w:highlight w:val="white"/>
        </w:rPr>
        <w:lastRenderedPageBreak/>
        <w:t xml:space="preserve">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lastRenderedPageBreak/>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We used geomorph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xml:space="preserve">. The resulting evolutionary covariance matrix </w:t>
      </w:r>
      <w:r w:rsidR="00A81B39">
        <w:rPr>
          <w:highlight w:val="white"/>
        </w:rPr>
        <w:lastRenderedPageBreak/>
        <w:t>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w:t>
      </w:r>
      <w:r>
        <w:rPr>
          <w:highlight w:val="white"/>
        </w:rPr>
        <w:lastRenderedPageBreak/>
        <w:t xml:space="preserve">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31BB7E71"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 </w:instrText>
      </w:r>
      <w:r w:rsidR="004550BE">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EN.CITE.DATA </w:instrText>
      </w:r>
      <w:r w:rsidR="004550BE">
        <w:fldChar w:fldCharType="end"/>
      </w:r>
      <w:r w:rsidR="000E694B" w:rsidRPr="00573D24">
        <w:fldChar w:fldCharType="separate"/>
      </w:r>
      <w:r w:rsidR="004550BE">
        <w:rPr>
          <w:noProof/>
        </w:rPr>
        <w:t>(Bookstein, 2015; Evans</w:t>
      </w:r>
      <w:r w:rsidR="004550BE" w:rsidRPr="004550BE">
        <w:rPr>
          <w:i/>
          <w:noProof/>
        </w:rPr>
        <w:t xml:space="preserve"> et al.</w:t>
      </w:r>
      <w:r w:rsidR="004550BE">
        <w:rPr>
          <w:noProof/>
        </w:rPr>
        <w:t>, 2017; Sansalone</w:t>
      </w:r>
      <w:r w:rsidR="004550BE" w:rsidRPr="004550BE">
        <w:rPr>
          <w:i/>
          <w:noProof/>
        </w:rPr>
        <w:t xml:space="preserve"> et al.</w:t>
      </w:r>
      <w:r w:rsidR="004550BE">
        <w:rPr>
          <w:noProof/>
        </w:rPr>
        <w:t>, 2019; Young</w:t>
      </w:r>
      <w:r w:rsidR="004550BE" w:rsidRPr="004550BE">
        <w:rPr>
          <w:i/>
          <w:noProof/>
        </w:rPr>
        <w:t xml:space="preserve"> et al.</w:t>
      </w:r>
      <w:r w:rsidR="004550BE">
        <w:rPr>
          <w:noProof/>
        </w:rPr>
        <w:t>,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77777777" w:rsidR="00A65F2F" w:rsidRPr="00A65F2F" w:rsidRDefault="00A65F2F" w:rsidP="00A65F2F">
            <w:pPr>
              <w:suppressAutoHyphens w:val="0"/>
              <w:rPr>
                <w:lang w:val="en-AU" w:eastAsia="en-AU"/>
              </w:rPr>
            </w:pP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A65F2F"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GIC</w:t>
            </w:r>
          </w:p>
        </w:tc>
        <w:tc>
          <w:tcPr>
            <w:tcW w:w="1319" w:type="dxa"/>
            <w:tcBorders>
              <w:top w:val="single" w:sz="4" w:space="0" w:color="auto"/>
              <w:left w:val="nil"/>
              <w:bottom w:val="nil"/>
              <w:right w:val="nil"/>
            </w:tcBorders>
            <w:shd w:val="clear" w:color="auto" w:fill="auto"/>
            <w:noWrap/>
            <w:vAlign w:val="bottom"/>
            <w:hideMark/>
          </w:tcPr>
          <w:p w14:paraId="7A5E571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-446170</w:t>
            </w:r>
          </w:p>
        </w:tc>
        <w:tc>
          <w:tcPr>
            <w:tcW w:w="1276" w:type="dxa"/>
            <w:tcBorders>
              <w:top w:val="single" w:sz="4" w:space="0" w:color="auto"/>
              <w:left w:val="nil"/>
              <w:bottom w:val="nil"/>
              <w:right w:val="nil"/>
            </w:tcBorders>
            <w:shd w:val="clear" w:color="auto" w:fill="auto"/>
            <w:noWrap/>
            <w:vAlign w:val="bottom"/>
            <w:hideMark/>
          </w:tcPr>
          <w:p w14:paraId="1040EC79"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-447701</w:t>
            </w:r>
          </w:p>
        </w:tc>
        <w:tc>
          <w:tcPr>
            <w:tcW w:w="1276" w:type="dxa"/>
            <w:tcBorders>
              <w:top w:val="single" w:sz="4" w:space="0" w:color="auto"/>
              <w:left w:val="nil"/>
              <w:bottom w:val="nil"/>
              <w:right w:val="nil"/>
            </w:tcBorders>
            <w:shd w:val="clear" w:color="auto" w:fill="auto"/>
            <w:noWrap/>
            <w:vAlign w:val="bottom"/>
            <w:hideMark/>
          </w:tcPr>
          <w:p w14:paraId="25BC980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-446167</w:t>
            </w:r>
          </w:p>
        </w:tc>
      </w:tr>
      <w:tr w:rsidR="00A65F2F"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W</w:t>
            </w:r>
          </w:p>
        </w:tc>
        <w:tc>
          <w:tcPr>
            <w:tcW w:w="1319" w:type="dxa"/>
            <w:tcBorders>
              <w:top w:val="nil"/>
              <w:left w:val="nil"/>
              <w:bottom w:val="nil"/>
              <w:right w:val="nil"/>
            </w:tcBorders>
            <w:shd w:val="clear" w:color="auto" w:fill="auto"/>
            <w:noWrap/>
            <w:vAlign w:val="bottom"/>
            <w:hideMark/>
          </w:tcPr>
          <w:p w14:paraId="19335C9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nil"/>
              <w:right w:val="nil"/>
            </w:tcBorders>
            <w:shd w:val="clear" w:color="auto" w:fill="auto"/>
            <w:noWrap/>
            <w:vAlign w:val="bottom"/>
            <w:hideMark/>
          </w:tcPr>
          <w:p w14:paraId="6274BBCA"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nil"/>
              <w:right w:val="nil"/>
            </w:tcBorders>
            <w:shd w:val="clear" w:color="auto" w:fill="auto"/>
            <w:noWrap/>
            <w:vAlign w:val="bottom"/>
            <w:hideMark/>
          </w:tcPr>
          <w:p w14:paraId="33551C8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r w:rsidR="00A65F2F"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AIC</w:t>
            </w:r>
          </w:p>
        </w:tc>
        <w:tc>
          <w:tcPr>
            <w:tcW w:w="1319" w:type="dxa"/>
            <w:tcBorders>
              <w:top w:val="nil"/>
              <w:left w:val="nil"/>
              <w:bottom w:val="nil"/>
              <w:right w:val="nil"/>
            </w:tcBorders>
            <w:shd w:val="clear" w:color="auto" w:fill="auto"/>
            <w:noWrap/>
            <w:vAlign w:val="bottom"/>
            <w:hideMark/>
          </w:tcPr>
          <w:p w14:paraId="24DDE172"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-4.802</w:t>
            </w:r>
          </w:p>
        </w:tc>
        <w:tc>
          <w:tcPr>
            <w:tcW w:w="1276" w:type="dxa"/>
            <w:tcBorders>
              <w:top w:val="nil"/>
              <w:left w:val="nil"/>
              <w:bottom w:val="nil"/>
              <w:right w:val="nil"/>
            </w:tcBorders>
            <w:shd w:val="clear" w:color="auto" w:fill="auto"/>
            <w:noWrap/>
            <w:vAlign w:val="bottom"/>
            <w:hideMark/>
          </w:tcPr>
          <w:p w14:paraId="6F1E89C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-2.875</w:t>
            </w:r>
          </w:p>
        </w:tc>
        <w:tc>
          <w:tcPr>
            <w:tcW w:w="1276" w:type="dxa"/>
            <w:tcBorders>
              <w:top w:val="nil"/>
              <w:left w:val="nil"/>
              <w:bottom w:val="nil"/>
              <w:right w:val="nil"/>
            </w:tcBorders>
            <w:shd w:val="clear" w:color="auto" w:fill="auto"/>
            <w:noWrap/>
            <w:vAlign w:val="bottom"/>
            <w:hideMark/>
          </w:tcPr>
          <w:p w14:paraId="0198C6C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-2.802</w:t>
            </w:r>
          </w:p>
        </w:tc>
      </w:tr>
      <w:tr w:rsidR="00A65F2F"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W</w:t>
            </w:r>
          </w:p>
        </w:tc>
        <w:tc>
          <w:tcPr>
            <w:tcW w:w="1319" w:type="dxa"/>
            <w:tcBorders>
              <w:top w:val="nil"/>
              <w:left w:val="nil"/>
              <w:bottom w:val="nil"/>
              <w:right w:val="nil"/>
            </w:tcBorders>
            <w:shd w:val="clear" w:color="auto" w:fill="auto"/>
            <w:noWrap/>
            <w:vAlign w:val="bottom"/>
            <w:hideMark/>
          </w:tcPr>
          <w:p w14:paraId="63D6F845"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0.572</w:t>
            </w:r>
          </w:p>
        </w:tc>
        <w:tc>
          <w:tcPr>
            <w:tcW w:w="1276" w:type="dxa"/>
            <w:tcBorders>
              <w:top w:val="nil"/>
              <w:left w:val="nil"/>
              <w:bottom w:val="nil"/>
              <w:right w:val="nil"/>
            </w:tcBorders>
            <w:shd w:val="clear" w:color="auto" w:fill="auto"/>
            <w:noWrap/>
            <w:vAlign w:val="bottom"/>
            <w:hideMark/>
          </w:tcPr>
          <w:p w14:paraId="48FF5CD6" w14:textId="3BDAC80D"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w:t>
            </w:r>
            <w:r>
              <w:rPr>
                <w:rFonts w:ascii="Calibri" w:hAnsi="Calibri" w:cs="Calibri"/>
                <w:color w:val="000000"/>
                <w:sz w:val="22"/>
                <w:szCs w:val="22"/>
                <w:lang w:val="en-AU" w:eastAsia="en-AU"/>
              </w:rPr>
              <w:t>2</w:t>
            </w:r>
          </w:p>
        </w:tc>
        <w:tc>
          <w:tcPr>
            <w:tcW w:w="1276" w:type="dxa"/>
            <w:tcBorders>
              <w:top w:val="nil"/>
              <w:left w:val="nil"/>
              <w:bottom w:val="nil"/>
              <w:right w:val="nil"/>
            </w:tcBorders>
            <w:shd w:val="clear" w:color="auto" w:fill="auto"/>
            <w:noWrap/>
            <w:vAlign w:val="bottom"/>
            <w:hideMark/>
          </w:tcPr>
          <w:p w14:paraId="07995B8E"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0.21</w:t>
            </w:r>
          </w:p>
        </w:tc>
      </w:tr>
      <w:tr w:rsidR="00A65F2F"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Shape~log(Csize) GIC</w:t>
            </w:r>
          </w:p>
        </w:tc>
        <w:tc>
          <w:tcPr>
            <w:tcW w:w="1319" w:type="dxa"/>
            <w:tcBorders>
              <w:top w:val="nil"/>
              <w:left w:val="nil"/>
              <w:right w:val="nil"/>
            </w:tcBorders>
            <w:shd w:val="clear" w:color="auto" w:fill="auto"/>
            <w:noWrap/>
            <w:vAlign w:val="bottom"/>
            <w:hideMark/>
          </w:tcPr>
          <w:p w14:paraId="2333F442"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-433056</w:t>
            </w:r>
          </w:p>
        </w:tc>
        <w:tc>
          <w:tcPr>
            <w:tcW w:w="1276" w:type="dxa"/>
            <w:tcBorders>
              <w:top w:val="nil"/>
              <w:left w:val="nil"/>
              <w:right w:val="nil"/>
            </w:tcBorders>
            <w:shd w:val="clear" w:color="auto" w:fill="auto"/>
            <w:noWrap/>
            <w:vAlign w:val="bottom"/>
            <w:hideMark/>
          </w:tcPr>
          <w:p w14:paraId="1B2E58E7"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-434260</w:t>
            </w:r>
          </w:p>
        </w:tc>
        <w:tc>
          <w:tcPr>
            <w:tcW w:w="1276" w:type="dxa"/>
            <w:tcBorders>
              <w:top w:val="nil"/>
              <w:left w:val="nil"/>
              <w:right w:val="nil"/>
            </w:tcBorders>
            <w:shd w:val="clear" w:color="auto" w:fill="auto"/>
            <w:noWrap/>
            <w:vAlign w:val="bottom"/>
            <w:hideMark/>
          </w:tcPr>
          <w:p w14:paraId="5C154FFC"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-433054</w:t>
            </w:r>
          </w:p>
        </w:tc>
      </w:tr>
      <w:tr w:rsidR="00A65F2F" w:rsidRPr="00A65F2F" w14:paraId="622450D9"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7D4A248D"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Shape~Loc(Csize) W</w:t>
            </w:r>
          </w:p>
        </w:tc>
        <w:tc>
          <w:tcPr>
            <w:tcW w:w="1319" w:type="dxa"/>
            <w:tcBorders>
              <w:top w:val="nil"/>
              <w:left w:val="nil"/>
              <w:bottom w:val="single" w:sz="4" w:space="0" w:color="auto"/>
              <w:right w:val="nil"/>
            </w:tcBorders>
            <w:shd w:val="clear" w:color="auto" w:fill="auto"/>
            <w:noWrap/>
            <w:vAlign w:val="bottom"/>
            <w:hideMark/>
          </w:tcPr>
          <w:p w14:paraId="2069246B"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single" w:sz="4" w:space="0" w:color="auto"/>
              <w:right w:val="nil"/>
            </w:tcBorders>
            <w:shd w:val="clear" w:color="auto" w:fill="auto"/>
            <w:noWrap/>
            <w:vAlign w:val="bottom"/>
            <w:hideMark/>
          </w:tcPr>
          <w:p w14:paraId="7CA6E5A0"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single" w:sz="4" w:space="0" w:color="auto"/>
              <w:right w:val="nil"/>
            </w:tcBorders>
            <w:shd w:val="clear" w:color="auto" w:fill="auto"/>
            <w:noWrap/>
            <w:vAlign w:val="bottom"/>
            <w:hideMark/>
          </w:tcPr>
          <w:p w14:paraId="29C4134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bl>
    <w:p w14:paraId="39BFDB53" w14:textId="77777777" w:rsidR="00F560B0" w:rsidRDefault="00F560B0" w:rsidP="00F560B0">
      <w:pPr>
        <w:spacing w:line="480" w:lineRule="auto"/>
      </w:pPr>
    </w:p>
    <w:p w14:paraId="79EAE768" w14:textId="7A43114F" w:rsidR="00F560B0" w:rsidRDefault="00E00B56" w:rsidP="00F17323">
      <w:r>
        <w:rPr>
          <w:b/>
          <w:bCs/>
        </w:rPr>
        <w:t xml:space="preserve">Table X: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47F9A970" w:rsidR="00F17323" w:rsidRPr="00E00B56" w:rsidRDefault="00F17323" w:rsidP="00F560B0">
      <w:pPr>
        <w:spacing w:line="480" w:lineRule="auto"/>
      </w:pPr>
      <w:r>
        <w:t xml:space="preserve">As OU-structured evolutionary modes is not implementable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B27788">
        <w:t>.</w:t>
      </w:r>
    </w:p>
    <w:p w14:paraId="64909BA4" w14:textId="77777777" w:rsidR="00F560B0" w:rsidRPr="00F560B0" w:rsidRDefault="00F560B0" w:rsidP="00F560B0">
      <w:pPr>
        <w:spacing w:line="480" w:lineRule="auto"/>
        <w:rPr>
          <w:b/>
          <w:bCs/>
        </w:rPr>
      </w:pP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69771456" w:rsidR="008922AE" w:rsidRDefault="00C248A2">
      <w:pPr>
        <w:spacing w:line="480" w:lineRule="auto"/>
      </w:pPr>
      <w:r>
        <w:t xml:space="preserve">Comparing the variation and species distribution from the first two Principal Components (PC)  of the full and residual datasets shows that the removal of allometric shape variation substantially </w:t>
      </w:r>
      <w:r>
        <w:lastRenderedPageBreak/>
        <w:t>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4DC47D10" w:rsidR="008922AE" w:rsidRDefault="00000000">
      <w:pPr>
        <w:spacing w:line="480" w:lineRule="auto"/>
      </w:pPr>
      <w:r>
        <w:t>In the shape residual plot of PC1 and PC2, the majority of species cluster in the center</w:t>
      </w:r>
      <w:r w:rsidR="0043398A">
        <w:t xml:space="preserve"> and include </w:t>
      </w:r>
      <w:r>
        <w:t>two large-bodied frugivores,</w:t>
      </w:r>
      <w:r w:rsidR="0043398A">
        <w:t xml:space="preserve"> whose large size makes them outliers in the full-shape PC1 plot and gives them</w:t>
      </w:r>
      <w:r>
        <w:t xml:space="preserve"> high regression scores in the evolutionary allometry plot. The allometry-free shape residual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The PC2 </w:t>
      </w:r>
      <w:r w:rsidR="00481B35">
        <w:t>minimum</w:t>
      </w:r>
      <w:r>
        <w:t xml:space="preserve">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rsidR="00481B35">
        <w:lastRenderedPageBreak/>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7" w:name="_heading=h.2s8eyo1"/>
      <w:r>
        <w:rPr>
          <w:noProof/>
        </w:rPr>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0"/>
                    <a:stretch>
                      <a:fillRect/>
                    </a:stretch>
                  </pic:blipFill>
                  <pic:spPr>
                    <a:xfrm>
                      <a:off x="0" y="0"/>
                      <a:ext cx="5943600" cy="4888230"/>
                    </a:xfrm>
                    <a:prstGeom prst="rect">
                      <a:avLst/>
                    </a:prstGeom>
                  </pic:spPr>
                </pic:pic>
              </a:graphicData>
            </a:graphic>
          </wp:inline>
        </w:drawing>
      </w:r>
    </w:p>
    <w:p w14:paraId="38275DEF" w14:textId="4A681AD1" w:rsidR="00BF6875" w:rsidRDefault="00000000" w:rsidP="00BF6875">
      <w:pPr>
        <w:spacing w:after="200"/>
      </w:pPr>
      <w:sdt>
        <w:sdtPr>
          <w:id w:val="133243903"/>
        </w:sdtPr>
        <w:sdtContent>
          <w:bookmarkEnd w:id="7"/>
        </w:sdtContent>
      </w:sdt>
      <w:r>
        <w:rPr>
          <w:b/>
          <w:color w:val="000000"/>
        </w:rPr>
        <w:t>Figure 1</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BF6875">
        <w:rPr>
          <w:i/>
        </w:rPr>
        <w:t>.</w:t>
      </w:r>
    </w:p>
    <w:p w14:paraId="4FA34F04" w14:textId="77777777" w:rsidR="008922AE" w:rsidRDefault="008922AE">
      <w:pPr>
        <w:spacing w:after="200"/>
      </w:pPr>
    </w:p>
    <w:p w14:paraId="471B3C9F" w14:textId="77777777" w:rsidR="008922AE" w:rsidRDefault="00000000" w:rsidP="003266F8">
      <w:pPr>
        <w:pStyle w:val="Heading3"/>
        <w:numPr>
          <w:ilvl w:val="0"/>
          <w:numId w:val="0"/>
        </w:numPr>
        <w:spacing w:line="480" w:lineRule="auto"/>
      </w:pPr>
      <w:bookmarkStart w:id="8" w:name="_heading=h.17dp8vu"/>
      <w:bookmarkEnd w:id="8"/>
      <w:r>
        <w:t>Landmark heatmaps</w:t>
      </w:r>
    </w:p>
    <w:p w14:paraId="7AF17660" w14:textId="78CC39B7"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w:t>
      </w:r>
      <w:r w:rsidR="00EC6815">
        <w:t>Predicted shapes for</w:t>
      </w:r>
      <w:r>
        <w:t xml:space="preserve"> </w:t>
      </w:r>
      <w:r>
        <w:lastRenderedPageBreak/>
        <w:t xml:space="preserve">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clearly 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14F4A7C3"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0892E4AC" w:rsidR="008922AE" w:rsidRPr="006A14F8" w:rsidRDefault="004D0A02">
      <w:pPr>
        <w:spacing w:line="480" w:lineRule="auto"/>
      </w:pPr>
      <w:r>
        <w:t xml:space="preserve">As expected removing the shape patterns that covary with size (Fig. 2d-f) also removed this gracilization pattern. Species closer to the PC1 minimum then show ventral flexion of the rostrum and anteroventral movement of the foramen magnum (Fig. 2d). However, the allometry-free PC2 heatmaps with all species highlighted shape patterns resemble </w:t>
      </w:r>
      <w:r w:rsidR="00A44BA0">
        <w:t>some of 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w:t>
      </w:r>
      <w:r>
        <w:lastRenderedPageBreak/>
        <w:t xml:space="preserve">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with the PC1/2 plots of 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02CFCF37" w:rsidR="008922AE" w:rsidRDefault="00000000">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the size variation, with greater independence of the cranial modules suggested by the lower r-PLS and CR coefficients of the shape residual dataset. </w:t>
      </w:r>
      <w:bookmarkStart w:id="14"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4"/>
      <w:r>
        <w:t xml:space="preserve">The r statistics for the full shape dataset were all above 0.51 (Table 1, upper triangle), indicating medium-to-strong positive shape variation relationships between all modules. The molar module consistently had the lowest r 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 xml:space="preserve">However, none of the difference in integration were clear in terms of </w:t>
      </w:r>
      <w:r w:rsidR="0019349F" w:rsidRPr="002173E8">
        <w:rPr>
          <w:b/>
          <w:bCs/>
        </w:rPr>
        <w:lastRenderedPageBreak/>
        <w:t>significance, and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5" w:name="_heading=h.35nkun2"/>
      <w:bookmarkEnd w:id="15"/>
      <w:r>
        <w:rPr>
          <w:b/>
          <w:color w:val="000000"/>
        </w:rPr>
        <w:t xml:space="preserve">Figure 3: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(b,d)</w:t>
      </w:r>
      <w:r>
        <w:t xml:space="preserve"> and shape residual </w:t>
      </w:r>
      <w:r w:rsidR="00564AD8">
        <w:t xml:space="preserve">(c,e)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6" w:name="_heading=h.1ksv4uv"/>
      <w:bookmarkEnd w:id="16"/>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7" w:name="_heading=h.44sinio"/>
      <w:bookmarkEnd w:id="17"/>
      <w:r>
        <w:t>Phylo-morphological distance</w:t>
      </w:r>
    </w:p>
    <w:p w14:paraId="65CC6035" w14:textId="00016EA4" w:rsidR="008922AE" w:rsidRDefault="00000000">
      <w:pPr>
        <w:spacing w:line="480" w:lineRule="auto"/>
      </w:pPr>
      <w:r>
        <w:t xml:space="preserve">Our phylo-morphological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4550BE">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4550BE">
        <w:rPr>
          <w:noProof/>
        </w:rPr>
        <w:t>(Voje</w:t>
      </w:r>
      <w:r w:rsidR="004550BE" w:rsidRPr="004550BE">
        <w:rPr>
          <w:i/>
          <w:noProof/>
        </w:rPr>
        <w:t xml:space="preserve"> et al.</w:t>
      </w:r>
      <w:r w:rsidR="004550BE">
        <w:rPr>
          <w:noProof/>
        </w:rPr>
        <w:t>, 2014)</w:t>
      </w:r>
      <w:r>
        <w:fldChar w:fldCharType="end"/>
      </w:r>
      <w:r>
        <w:t xml:space="preserve">. As expected, all of the points closest to the origin (i.e. low phylogenetic </w:t>
      </w:r>
      <w:r>
        <w:rPr>
          <w:i/>
        </w:rPr>
        <w:t xml:space="preserve">and </w:t>
      </w:r>
      <w:r>
        <w:t xml:space="preserve">low morphological distances) are </w:t>
      </w:r>
      <w:r>
        <w:lastRenderedPageBreak/>
        <w:t xml:space="preserve">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semiaquatic species are ignored, the remaining dataset’s maximum distances appear around 3.1 </w:t>
      </w:r>
      <w:r>
        <w:lastRenderedPageBreak/>
        <w:t xml:space="preserve">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8" w:name="_heading=h.2jxsxqh"/>
      <w:bookmarkEnd w:id="18"/>
      <w:r>
        <w:rPr>
          <w:b/>
          <w:color w:val="000000"/>
        </w:rPr>
        <w:t xml:space="preserve">Figure 5: </w:t>
      </w:r>
      <w:r>
        <w:rPr>
          <w:bCs/>
          <w:color w:val="000000"/>
        </w:rPr>
        <w:t>Phylo-morphological distance plots.</w:t>
      </w:r>
      <w:bookmarkStart w:id="19" w:name="_heading=h.z337ya"/>
      <w:bookmarkEnd w:id="19"/>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t>Discussion</w:t>
      </w:r>
    </w:p>
    <w:p w14:paraId="375E3967" w14:textId="77777777" w:rsidR="008922AE" w:rsidRDefault="008922AE">
      <w:pPr>
        <w:spacing w:line="480" w:lineRule="auto"/>
      </w:pPr>
    </w:p>
    <w:p w14:paraId="34CCF86A" w14:textId="11082818" w:rsidR="008922AE" w:rsidRDefault="00000000">
      <w:pPr>
        <w:spacing w:line="480" w:lineRule="auto"/>
      </w:pPr>
      <w:r>
        <w:t xml:space="preserve">In this study, we characterised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4550BE">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4550BE">
        <w:rPr>
          <w:noProof/>
        </w:rPr>
        <w:t>(Smaers</w:t>
      </w:r>
      <w:r w:rsidR="004550BE" w:rsidRPr="004550BE">
        <w:rPr>
          <w:i/>
          <w:noProof/>
        </w:rPr>
        <w:t xml:space="preserve"> et al.</w:t>
      </w:r>
      <w:r w:rsidR="004550BE">
        <w:rPr>
          <w:noProof/>
        </w:rPr>
        <w:t>, 2021)</w:t>
      </w:r>
      <w:r>
        <w:fldChar w:fldCharType="end"/>
      </w:r>
      <w:r>
        <w:t xml:space="preserve"> – or have a different distribution of the brain tissue within the braincase </w:t>
      </w:r>
      <w:r>
        <w:fldChar w:fldCharType="begin"/>
      </w:r>
      <w:r w:rsidR="004550BE">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4550BE">
        <w:rPr>
          <w:noProof/>
        </w:rPr>
        <w:t>(Weisbecker</w:t>
      </w:r>
      <w:r w:rsidR="004550BE" w:rsidRPr="004550BE">
        <w:rPr>
          <w:i/>
          <w:noProof/>
        </w:rPr>
        <w:t xml:space="preserve"> et al.</w:t>
      </w:r>
      <w:r w:rsidR="004550BE">
        <w:rPr>
          <w:noProof/>
        </w:rPr>
        <w:t>,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5B60BED"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 </w:instrText>
      </w:r>
      <w:r w:rsidR="004550B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EN.CITE.DATA </w:instrText>
      </w:r>
      <w:r w:rsidR="004550BE">
        <w:fldChar w:fldCharType="end"/>
      </w:r>
      <w:r w:rsidR="00245C5E">
        <w:fldChar w:fldCharType="separate"/>
      </w:r>
      <w:r w:rsidR="004550BE">
        <w:rPr>
          <w:noProof/>
        </w:rPr>
        <w:t>(Marroig &amp; Cheverud, 2005; Mitchell</w:t>
      </w:r>
      <w:r w:rsidR="004550BE" w:rsidRPr="004550BE">
        <w:rPr>
          <w:i/>
          <w:noProof/>
        </w:rPr>
        <w:t xml:space="preserve"> et al.</w:t>
      </w:r>
      <w:r w:rsidR="004550BE">
        <w:rPr>
          <w:noProof/>
        </w:rPr>
        <w:t>, 2018; Mitchell</w:t>
      </w:r>
      <w:r w:rsidR="004550BE" w:rsidRPr="004550BE">
        <w:rPr>
          <w:i/>
          <w:noProof/>
        </w:rPr>
        <w:t xml:space="preserve"> et al.</w:t>
      </w:r>
      <w:r w:rsidR="004550BE">
        <w:rPr>
          <w:noProof/>
        </w:rPr>
        <w:t>, 2024; Singleton, 2005; Weisbecker</w:t>
      </w:r>
      <w:r w:rsidR="004550BE" w:rsidRPr="004550BE">
        <w:rPr>
          <w:i/>
          <w:noProof/>
        </w:rPr>
        <w:t xml:space="preserve"> et al.</w:t>
      </w:r>
      <w:r w:rsidR="004550BE">
        <w:rPr>
          <w:noProof/>
        </w:rPr>
        <w:t>, 2019)</w:t>
      </w:r>
      <w:r w:rsidR="00245C5E">
        <w:fldChar w:fldCharType="end"/>
      </w:r>
      <w:r>
        <w:t>. This is probably particularly true for rodents, where high levels 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 </w:instrText>
      </w:r>
      <w:r w:rsidR="004550B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EN.CITE.DATA </w:instrText>
      </w:r>
      <w:r w:rsidR="004550BE">
        <w:fldChar w:fldCharType="end"/>
      </w:r>
      <w:r w:rsidR="00245C5E">
        <w:fldChar w:fldCharType="separate"/>
      </w:r>
      <w:r w:rsidR="004550BE">
        <w:rPr>
          <w:noProof/>
        </w:rPr>
        <w:t>(Cox</w:t>
      </w:r>
      <w:r w:rsidR="004550BE" w:rsidRPr="004550BE">
        <w:rPr>
          <w:i/>
          <w:noProof/>
        </w:rPr>
        <w:t xml:space="preserve"> et al.</w:t>
      </w:r>
      <w:r w:rsidR="004550BE">
        <w:rPr>
          <w:noProof/>
        </w:rPr>
        <w:t xml:space="preserve">, 2012; Druzinsky, </w:t>
      </w:r>
      <w:r w:rsidR="004550BE">
        <w:rPr>
          <w:noProof/>
        </w:rPr>
        <w:lastRenderedPageBreak/>
        <w:t>2015; Ginot</w:t>
      </w:r>
      <w:r w:rsidR="004550BE" w:rsidRPr="004550BE">
        <w:rPr>
          <w:i/>
          <w:noProof/>
        </w:rPr>
        <w:t xml:space="preserve"> et al.</w:t>
      </w:r>
      <w:r w:rsidR="004550BE">
        <w:rPr>
          <w:noProof/>
        </w:rPr>
        <w:t>, 2018; Lessa &amp; Patton, 1989; Marcy</w:t>
      </w:r>
      <w:r w:rsidR="004550BE" w:rsidRPr="004550BE">
        <w:rPr>
          <w:i/>
          <w:noProof/>
        </w:rPr>
        <w:t xml:space="preserve"> et al.</w:t>
      </w:r>
      <w:r w:rsidR="004550BE">
        <w:rPr>
          <w:noProof/>
        </w:rPr>
        <w:t>, 2020; Marcy</w:t>
      </w:r>
      <w:r w:rsidR="004550BE" w:rsidRPr="004550BE">
        <w:rPr>
          <w:i/>
          <w:noProof/>
        </w:rPr>
        <w:t xml:space="preserve"> et al.</w:t>
      </w:r>
      <w:r w:rsidR="004550BE">
        <w:rPr>
          <w:noProof/>
        </w:rPr>
        <w:t>,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056383EE"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 </w:instrText>
      </w:r>
      <w:r w:rsidR="004550B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EN.CITE.DATA </w:instrText>
      </w:r>
      <w:r w:rsidR="004550BE">
        <w:fldChar w:fldCharType="end"/>
      </w:r>
      <w:r w:rsidR="00245C5E">
        <w:fldChar w:fldCharType="separate"/>
      </w:r>
      <w:r w:rsidR="004550BE">
        <w:rPr>
          <w:noProof/>
        </w:rPr>
        <w:t>(Hennekam</w:t>
      </w:r>
      <w:r w:rsidR="004550BE" w:rsidRPr="004550BE">
        <w:rPr>
          <w:i/>
          <w:noProof/>
        </w:rPr>
        <w:t xml:space="preserve"> et al.</w:t>
      </w:r>
      <w:r w:rsidR="004550BE">
        <w:rPr>
          <w:noProof/>
        </w:rPr>
        <w:t>, 2020; Williams</w:t>
      </w:r>
      <w:r w:rsidR="004550BE" w:rsidRPr="004550BE">
        <w:rPr>
          <w:i/>
          <w:noProof/>
        </w:rPr>
        <w:t xml:space="preserve"> et al.</w:t>
      </w:r>
      <w:r w:rsidR="004550BE">
        <w:rPr>
          <w:noProof/>
        </w:rPr>
        <w:t>,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 </w:instrText>
      </w:r>
      <w:r w:rsidR="004550B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EN.CITE.DATA </w:instrText>
      </w:r>
      <w:r w:rsidR="004550BE">
        <w:fldChar w:fldCharType="end"/>
      </w:r>
      <w:r w:rsidR="00245C5E">
        <w:fldChar w:fldCharType="separate"/>
      </w:r>
      <w:r w:rsidR="004550BE">
        <w:rPr>
          <w:noProof/>
        </w:rPr>
        <w:t>(Figueirido</w:t>
      </w:r>
      <w:r w:rsidR="004550BE" w:rsidRPr="004550BE">
        <w:rPr>
          <w:i/>
          <w:noProof/>
        </w:rPr>
        <w:t xml:space="preserve"> et al.</w:t>
      </w:r>
      <w:r w:rsidR="004550BE">
        <w:rPr>
          <w:noProof/>
        </w:rPr>
        <w:t>, 2014; Mitchell, 2019; Strait</w:t>
      </w:r>
      <w:r w:rsidR="004550BE" w:rsidRPr="004550BE">
        <w:rPr>
          <w:i/>
          <w:noProof/>
        </w:rPr>
        <w:t xml:space="preserve"> et al.</w:t>
      </w:r>
      <w:r w:rsidR="004550BE">
        <w:rPr>
          <w:noProof/>
        </w:rPr>
        <w:t>,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4550B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4550BE">
        <w:rPr>
          <w:noProof/>
        </w:rPr>
        <w:t>(Murray</w:t>
      </w:r>
      <w:r w:rsidR="004550BE" w:rsidRPr="004550BE">
        <w:rPr>
          <w:i/>
          <w:noProof/>
        </w:rPr>
        <w:t xml:space="preserve"> et al.</w:t>
      </w:r>
      <w:r w:rsidR="004550BE">
        <w:rPr>
          <w:noProof/>
        </w:rPr>
        <w:t>,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t xml:space="preserve">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w:t>
      </w:r>
      <w:r>
        <w:lastRenderedPageBreak/>
        <w:t>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01D0B56B"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w:t>
      </w:r>
      <w:r w:rsidR="004550BE">
        <w:rPr>
          <w:noProof/>
        </w:rPr>
        <w:lastRenderedPageBreak/>
        <w:t>(2020)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4550BE">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4550BE">
        <w:rPr>
          <w:noProof/>
        </w:rPr>
        <w:t>((represented by the intercept differences of the allomeric slope; Mitchell</w:t>
      </w:r>
      <w:r w:rsidR="004550BE" w:rsidRPr="004550BE">
        <w:rPr>
          <w:i/>
          <w:noProof/>
        </w:rPr>
        <w:t xml:space="preserve"> et al.</w:t>
      </w:r>
      <w:r w:rsidR="004550BE">
        <w:rPr>
          <w:noProof/>
        </w:rPr>
        <w:t>, 2024)</w:t>
      </w:r>
      <w:r w:rsidR="00245C5E">
        <w:fldChar w:fldCharType="end"/>
      </w:r>
    </w:p>
    <w:p w14:paraId="4D9B1B6D" w14:textId="77777777" w:rsidR="008922AE" w:rsidRDefault="008922AE">
      <w:pPr>
        <w:spacing w:line="480" w:lineRule="auto"/>
      </w:pPr>
    </w:p>
    <w:p w14:paraId="52781224" w14:textId="437B6B66"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4550BE">
        <w:rPr>
          <w:noProof/>
        </w:rPr>
        <w:t>(Mitchell</w:t>
      </w:r>
      <w:r w:rsidR="004550BE" w:rsidRPr="004550BE">
        <w:rPr>
          <w:i/>
          <w:noProof/>
        </w:rPr>
        <w:t xml:space="preserve"> et al.</w:t>
      </w:r>
      <w:r w:rsidR="004550BE">
        <w:rPr>
          <w:noProof/>
        </w:rPr>
        <w:t>, 2024)</w:t>
      </w:r>
      <w:r w:rsidR="00422522">
        <w:fldChar w:fldCharType="end"/>
      </w:r>
      <w:r>
        <w:t>.</w:t>
      </w:r>
    </w:p>
    <w:p w14:paraId="635CDE58" w14:textId="77777777" w:rsidR="008922AE" w:rsidRDefault="008922AE">
      <w:pPr>
        <w:spacing w:line="480" w:lineRule="auto"/>
      </w:pPr>
    </w:p>
    <w:p w14:paraId="7CCACC0D" w14:textId="32B97E15" w:rsidR="008922AE" w:rsidRDefault="00000000">
      <w:pPr>
        <w:spacing w:line="480" w:lineRule="auto"/>
      </w:pPr>
      <w:r>
        <w:t xml:space="preserve">Counter to our expectations, morphological distances between species did not correspond with increases in phylogenetic distances. Instead, the asymptotic divergence pattern of shape </w:t>
      </w:r>
      <w:r>
        <w:lastRenderedPageBreak/>
        <w:t>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4550B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4550BE">
        <w:rPr>
          <w:noProof/>
        </w:rPr>
        <w:t>(sensu Schluter; Marcy</w:t>
      </w:r>
      <w:r w:rsidR="004550BE" w:rsidRPr="004550BE">
        <w:rPr>
          <w:i/>
          <w:noProof/>
        </w:rPr>
        <w:t xml:space="preserve"> et al.</w:t>
      </w:r>
      <w:r w:rsidR="004550BE">
        <w:rPr>
          <w:noProof/>
        </w:rPr>
        <w:t>,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fldChar w:fldCharType="begin"/>
      </w:r>
      <w:r w:rsidR="004550BE">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4550BE">
        <w:rPr>
          <w:noProof/>
        </w:rPr>
        <w:t>(Harmon</w:t>
      </w:r>
      <w:r w:rsidR="004550BE" w:rsidRPr="004550BE">
        <w:rPr>
          <w:i/>
          <w:noProof/>
        </w:rPr>
        <w:t xml:space="preserve"> et al.</w:t>
      </w:r>
      <w:r w:rsidR="004550BE">
        <w:rPr>
          <w:noProof/>
        </w:rPr>
        <w:t>,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t>
      </w:r>
      <w:r>
        <w:rPr>
          <w:bCs/>
        </w:rPr>
        <w:lastRenderedPageBreak/>
        <w:t>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72BF2B53" w14:textId="3A201A0E" w:rsidR="00B27788" w:rsidRPr="00B27788" w:rsidRDefault="00751EC7" w:rsidP="00B27788">
      <w:pPr>
        <w:pStyle w:val="EndNoteBibliography"/>
        <w:ind w:left="720" w:hanging="720"/>
        <w:rPr>
          <w:noProof/>
        </w:rPr>
      </w:pPr>
      <w:r>
        <w:fldChar w:fldCharType="begin"/>
      </w:r>
      <w:r>
        <w:instrText xml:space="preserve"> ADDIN EN.REFLIST </w:instrText>
      </w:r>
      <w:r>
        <w:fldChar w:fldCharType="separate"/>
      </w:r>
      <w:r w:rsidR="00B27788" w:rsidRPr="00B27788">
        <w:rPr>
          <w:noProof/>
        </w:rPr>
        <w:t xml:space="preserve">Adams, D. C. (2016). Evaluating modularity in morphometric data: challenges with the RV coefficient and a new test measure. </w:t>
      </w:r>
      <w:r w:rsidR="00B27788" w:rsidRPr="00B27788">
        <w:rPr>
          <w:i/>
          <w:noProof/>
        </w:rPr>
        <w:t>Methods in Ecology and Evolution, 7</w:t>
      </w:r>
      <w:r w:rsidR="00B27788" w:rsidRPr="00B27788">
        <w:rPr>
          <w:noProof/>
        </w:rPr>
        <w:t>(5), 565-572. doi:</w:t>
      </w:r>
      <w:hyperlink r:id="rId14" w:history="1">
        <w:r w:rsidR="00B27788" w:rsidRPr="00B27788">
          <w:rPr>
            <w:rStyle w:val="Hyperlink"/>
            <w:noProof/>
          </w:rPr>
          <w:t>https://doi.org/10.1111/2041-210X.12511</w:t>
        </w:r>
      </w:hyperlink>
    </w:p>
    <w:p w14:paraId="1FC843D1" w14:textId="77777777" w:rsidR="00B27788" w:rsidRPr="00B27788" w:rsidRDefault="00B27788" w:rsidP="00B27788">
      <w:pPr>
        <w:pStyle w:val="EndNoteBibliography"/>
        <w:ind w:left="720" w:hanging="720"/>
        <w:rPr>
          <w:noProof/>
        </w:rPr>
      </w:pPr>
      <w:r w:rsidRPr="00B27788">
        <w:rPr>
          <w:noProof/>
        </w:rPr>
        <w:t xml:space="preserve">Adams, D. C., &amp; Collyer, M. L. (2016). On the comparison of the strength of morphological integration across morphometric datasets. </w:t>
      </w:r>
      <w:r w:rsidRPr="00B27788">
        <w:rPr>
          <w:i/>
          <w:noProof/>
        </w:rPr>
        <w:t>Evolution, 70</w:t>
      </w:r>
      <w:r w:rsidRPr="00B27788">
        <w:rPr>
          <w:noProof/>
        </w:rPr>
        <w:t xml:space="preserve">(11), 2623-2631. </w:t>
      </w:r>
    </w:p>
    <w:p w14:paraId="1D5AD7DB" w14:textId="225FB881" w:rsidR="00B27788" w:rsidRPr="00B27788" w:rsidRDefault="00B27788" w:rsidP="00B27788">
      <w:pPr>
        <w:pStyle w:val="EndNoteBibliography"/>
        <w:ind w:left="720" w:hanging="720"/>
        <w:rPr>
          <w:noProof/>
        </w:rPr>
      </w:pPr>
      <w:r w:rsidRPr="00B27788">
        <w:rPr>
          <w:noProof/>
        </w:rPr>
        <w:t xml:space="preserve">Adams, D. C., &amp; Collyer, M. L. (2019). Comparing the strength of modular signal, and evaluating alternative modular hypotheses, using covariance ratio effect sizes with morphometric data. </w:t>
      </w:r>
      <w:r w:rsidRPr="00B27788">
        <w:rPr>
          <w:i/>
          <w:noProof/>
        </w:rPr>
        <w:t>Evolution, 73</w:t>
      </w:r>
      <w:r w:rsidRPr="00B27788">
        <w:rPr>
          <w:noProof/>
        </w:rPr>
        <w:t>(12), 2352-2367. doi:</w:t>
      </w:r>
      <w:hyperlink r:id="rId15" w:history="1">
        <w:r w:rsidRPr="00B27788">
          <w:rPr>
            <w:rStyle w:val="Hyperlink"/>
            <w:noProof/>
          </w:rPr>
          <w:t>https://doi.org/10.1111/evo.13867</w:t>
        </w:r>
      </w:hyperlink>
    </w:p>
    <w:p w14:paraId="117AE35F" w14:textId="098EE34F" w:rsidR="00B27788" w:rsidRPr="00B27788" w:rsidRDefault="00B27788" w:rsidP="00B27788">
      <w:pPr>
        <w:pStyle w:val="EndNoteBibliography"/>
        <w:ind w:left="720" w:hanging="720"/>
        <w:rPr>
          <w:noProof/>
        </w:rPr>
      </w:pPr>
      <w:r w:rsidRPr="00B27788">
        <w:rPr>
          <w:noProof/>
        </w:rPr>
        <w:t xml:space="preserve">Adams, D. C., Collyer, M. L., Kaliontzopoulou, A., &amp; Baken, E. K. (2022). Geomorph: Software for geometric morphometric analyses. </w:t>
      </w:r>
      <w:r w:rsidRPr="00B27788">
        <w:rPr>
          <w:i/>
          <w:noProof/>
        </w:rPr>
        <w:t xml:space="preserve">R package version 4.0.4. </w:t>
      </w:r>
      <w:hyperlink r:id="rId16" w:history="1">
        <w:r w:rsidRPr="00B27788">
          <w:rPr>
            <w:rStyle w:val="Hyperlink"/>
            <w:i/>
            <w:noProof/>
          </w:rPr>
          <w:t>https://cran.r-project.org/package=geomorph</w:t>
        </w:r>
      </w:hyperlink>
      <w:r w:rsidRPr="00B27788">
        <w:rPr>
          <w:noProof/>
        </w:rPr>
        <w:t xml:space="preserve">. </w:t>
      </w:r>
    </w:p>
    <w:p w14:paraId="28608197" w14:textId="7EFB8EBB" w:rsidR="00B27788" w:rsidRPr="00B27788" w:rsidRDefault="00B27788" w:rsidP="00B27788">
      <w:pPr>
        <w:pStyle w:val="EndNoteBibliography"/>
        <w:ind w:left="720" w:hanging="720"/>
        <w:rPr>
          <w:noProof/>
        </w:rPr>
      </w:pPr>
      <w:r w:rsidRPr="00B27788">
        <w:rPr>
          <w:noProof/>
        </w:rPr>
        <w:t xml:space="preserve">Adams, D. C., &amp; Felice, R. N. (2014). Assessing trait covariation and morphological integration on phylogenies using evolutionary covariance matrices. </w:t>
      </w:r>
      <w:r w:rsidRPr="00B27788">
        <w:rPr>
          <w:i/>
          <w:noProof/>
        </w:rPr>
        <w:t>PLOS ONE, 9</w:t>
      </w:r>
      <w:r w:rsidRPr="00B27788">
        <w:rPr>
          <w:noProof/>
        </w:rPr>
        <w:t>(4), e94335. doi:</w:t>
      </w:r>
      <w:hyperlink r:id="rId17" w:history="1">
        <w:r w:rsidRPr="00B27788">
          <w:rPr>
            <w:rStyle w:val="Hyperlink"/>
            <w:noProof/>
          </w:rPr>
          <w:t>https://doi.org/10.1371/journal.pone.0094335</w:t>
        </w:r>
      </w:hyperlink>
    </w:p>
    <w:p w14:paraId="1003AFE6" w14:textId="77777777" w:rsidR="00B27788" w:rsidRPr="00B27788" w:rsidRDefault="00B27788" w:rsidP="00B27788">
      <w:pPr>
        <w:pStyle w:val="EndNoteBibliography"/>
        <w:ind w:left="720" w:hanging="720"/>
        <w:rPr>
          <w:noProof/>
        </w:rPr>
      </w:pPr>
      <w:r w:rsidRPr="00B27788">
        <w:rPr>
          <w:noProof/>
        </w:rPr>
        <w:t xml:space="preserve">Aplin, K. P., &amp; Ford, F. (2014). Murine rodents: late but highly successful invaders. In H. H. T. Prins &amp; I. J. Gordon (Eds.), </w:t>
      </w:r>
      <w:r w:rsidRPr="00B27788">
        <w:rPr>
          <w:i/>
          <w:noProof/>
        </w:rPr>
        <w:t>Invasion Biology and Ecological Theory: Insights from a Continent in Transformation</w:t>
      </w:r>
      <w:r w:rsidRPr="00B27788">
        <w:rPr>
          <w:noProof/>
        </w:rPr>
        <w:t xml:space="preserve"> (pp. 196-240). Cambridge: Cambridge University Press.</w:t>
      </w:r>
    </w:p>
    <w:p w14:paraId="56807F5F" w14:textId="3794B2BE" w:rsidR="00B27788" w:rsidRPr="00B27788" w:rsidRDefault="00B27788" w:rsidP="00B27788">
      <w:pPr>
        <w:pStyle w:val="EndNoteBibliography"/>
        <w:ind w:left="720" w:hanging="720"/>
        <w:rPr>
          <w:noProof/>
        </w:rPr>
      </w:pPr>
      <w:r w:rsidRPr="00B27788">
        <w:rPr>
          <w:noProof/>
        </w:rPr>
        <w:t xml:space="preserve">Baken, E. K., Collyer, M. L., Kaliontzopoulou, A., &amp; Adams, D. C. (2021). geomorph v4.0 and gmShiny: enhanced analytics and a new graphical interface for a comprehensive morphometric experience. </w:t>
      </w:r>
      <w:r w:rsidRPr="00B27788">
        <w:rPr>
          <w:i/>
          <w:noProof/>
        </w:rPr>
        <w:t>Methods in Ecology and Evolution, 12</w:t>
      </w:r>
      <w:r w:rsidRPr="00B27788">
        <w:rPr>
          <w:noProof/>
        </w:rPr>
        <w:t>, 2355-2363. doi:</w:t>
      </w:r>
      <w:hyperlink r:id="rId18" w:history="1">
        <w:r w:rsidRPr="00B27788">
          <w:rPr>
            <w:rStyle w:val="Hyperlink"/>
            <w:noProof/>
          </w:rPr>
          <w:t>https://doi.org/10.1111/2041-210X.13723</w:t>
        </w:r>
      </w:hyperlink>
    </w:p>
    <w:p w14:paraId="54B83F79" w14:textId="77777777" w:rsidR="00B27788" w:rsidRPr="00B27788" w:rsidRDefault="00B27788" w:rsidP="00B27788">
      <w:pPr>
        <w:pStyle w:val="EndNoteBibliography"/>
        <w:ind w:left="720" w:hanging="720"/>
        <w:rPr>
          <w:noProof/>
        </w:rPr>
      </w:pPr>
      <w:r w:rsidRPr="00B27788">
        <w:rPr>
          <w:noProof/>
        </w:rPr>
        <w:t xml:space="preserve">Bonferroni, C. (1936). Teoria statistica delle classi e calcolo delle probabilita. </w:t>
      </w:r>
      <w:r w:rsidRPr="00B27788">
        <w:rPr>
          <w:i/>
          <w:noProof/>
        </w:rPr>
        <w:t>Pubblicazioni del R Istituto Superiore di Scienze Economiche e Commericiali di Firenze, 8</w:t>
      </w:r>
      <w:r w:rsidRPr="00B27788">
        <w:rPr>
          <w:noProof/>
        </w:rPr>
        <w:t xml:space="preserve">, 3-62. </w:t>
      </w:r>
    </w:p>
    <w:p w14:paraId="1AE68944" w14:textId="2DD04064" w:rsidR="00B27788" w:rsidRPr="00B27788" w:rsidRDefault="00B27788" w:rsidP="00B27788">
      <w:pPr>
        <w:pStyle w:val="EndNoteBibliography"/>
        <w:ind w:left="720" w:hanging="720"/>
        <w:rPr>
          <w:noProof/>
        </w:rPr>
      </w:pPr>
      <w:r w:rsidRPr="00B27788">
        <w:rPr>
          <w:noProof/>
        </w:rPr>
        <w:t xml:space="preserve">Bookstein, F. L. (2015). Integration, disintegration, and self-similarity: characterizing the scales of shape variation in landmark data. </w:t>
      </w:r>
      <w:r w:rsidRPr="00B27788">
        <w:rPr>
          <w:i/>
          <w:noProof/>
        </w:rPr>
        <w:t>Evolutionary Biology, 42</w:t>
      </w:r>
      <w:r w:rsidRPr="00B27788">
        <w:rPr>
          <w:noProof/>
        </w:rPr>
        <w:t>(4), 395-426. doi:</w:t>
      </w:r>
      <w:hyperlink r:id="rId19" w:history="1">
        <w:r w:rsidRPr="00B27788">
          <w:rPr>
            <w:rStyle w:val="Hyperlink"/>
            <w:noProof/>
          </w:rPr>
          <w:t>https://doi.org/10.1007/s11692-015-9317-8</w:t>
        </w:r>
      </w:hyperlink>
    </w:p>
    <w:p w14:paraId="64C8A4B8" w14:textId="77777777" w:rsidR="00B27788" w:rsidRPr="00B27788" w:rsidRDefault="00B27788" w:rsidP="00B27788">
      <w:pPr>
        <w:pStyle w:val="EndNoteBibliography"/>
        <w:ind w:left="720" w:hanging="720"/>
        <w:rPr>
          <w:noProof/>
        </w:rPr>
      </w:pPr>
      <w:r w:rsidRPr="00B27788">
        <w:rPr>
          <w:noProof/>
        </w:rPr>
        <w:t xml:space="preserve">Breed, B., &amp; Ford, F. (2007). </w:t>
      </w:r>
      <w:r w:rsidRPr="00B27788">
        <w:rPr>
          <w:i/>
          <w:noProof/>
        </w:rPr>
        <w:t>Native Mice and Rats</w:t>
      </w:r>
      <w:r w:rsidRPr="00B27788">
        <w:rPr>
          <w:noProof/>
        </w:rPr>
        <w:t>.</w:t>
      </w:r>
    </w:p>
    <w:p w14:paraId="05751BD7" w14:textId="08AE31CD" w:rsidR="00B27788" w:rsidRPr="00B27788" w:rsidRDefault="00B27788" w:rsidP="00B27788">
      <w:pPr>
        <w:pStyle w:val="EndNoteBibliography"/>
        <w:ind w:left="720" w:hanging="720"/>
        <w:rPr>
          <w:noProof/>
        </w:rPr>
      </w:pPr>
      <w:r w:rsidRPr="00B27788">
        <w:rPr>
          <w:noProof/>
        </w:rPr>
        <w:t xml:space="preserve">Bright, J. A., Marugán-Lobón, J., Cobb, S. N., &amp; Rayfield, E. J. (2016). The shapes of bird beaks are highly controlled by nondietary factors. </w:t>
      </w:r>
      <w:r w:rsidRPr="00B27788">
        <w:rPr>
          <w:i/>
          <w:noProof/>
        </w:rPr>
        <w:t>Proceedings of the National Academy of Sciences, 113</w:t>
      </w:r>
      <w:r w:rsidRPr="00B27788">
        <w:rPr>
          <w:noProof/>
        </w:rPr>
        <w:t>(19), 5352-5357. doi:</w:t>
      </w:r>
      <w:hyperlink r:id="rId20" w:history="1">
        <w:r w:rsidRPr="00B27788">
          <w:rPr>
            <w:rStyle w:val="Hyperlink"/>
            <w:noProof/>
          </w:rPr>
          <w:t>https://doi.org/10.1073/pnas.1602683113</w:t>
        </w:r>
      </w:hyperlink>
    </w:p>
    <w:p w14:paraId="05799F64" w14:textId="77777777" w:rsidR="00B27788" w:rsidRPr="00B27788" w:rsidRDefault="00B27788" w:rsidP="00B27788">
      <w:pPr>
        <w:pStyle w:val="EndNoteBibliography"/>
        <w:ind w:left="720" w:hanging="720"/>
        <w:rPr>
          <w:noProof/>
        </w:rPr>
      </w:pPr>
      <w:r w:rsidRPr="00B27788">
        <w:rPr>
          <w:noProof/>
        </w:rPr>
        <w:t xml:space="preserve">Burnham, K. P., &amp; Anderson, D. R. (2002). </w:t>
      </w:r>
      <w:r w:rsidRPr="00B27788">
        <w:rPr>
          <w:i/>
          <w:noProof/>
        </w:rPr>
        <w:t>Model Selection and Multi-Model Inference</w:t>
      </w:r>
      <w:r w:rsidRPr="00B27788">
        <w:rPr>
          <w:noProof/>
        </w:rPr>
        <w:t>. New York: Springer.</w:t>
      </w:r>
    </w:p>
    <w:p w14:paraId="07C3B3F1" w14:textId="651D94E8" w:rsidR="00B27788" w:rsidRPr="00B27788" w:rsidRDefault="00B27788" w:rsidP="00B27788">
      <w:pPr>
        <w:pStyle w:val="EndNoteBibliography"/>
        <w:ind w:left="720" w:hanging="720"/>
        <w:rPr>
          <w:noProof/>
        </w:rPr>
      </w:pPr>
      <w:r w:rsidRPr="00B27788">
        <w:rPr>
          <w:noProof/>
        </w:rPr>
        <w:t xml:space="preserve">Cardini, A. (2019). Craniofacial allometry is a rule in evolutionary radiations of placentals. </w:t>
      </w:r>
      <w:r w:rsidRPr="00B27788">
        <w:rPr>
          <w:i/>
          <w:noProof/>
        </w:rPr>
        <w:t>Evolutionary Biology, 46</w:t>
      </w:r>
      <w:r w:rsidRPr="00B27788">
        <w:rPr>
          <w:noProof/>
        </w:rPr>
        <w:t>(3), 239-248. doi:</w:t>
      </w:r>
      <w:hyperlink r:id="rId21" w:history="1">
        <w:r w:rsidRPr="00B27788">
          <w:rPr>
            <w:rStyle w:val="Hyperlink"/>
            <w:noProof/>
          </w:rPr>
          <w:t>https://doi.org/10.1007/s11692-019-09477-7</w:t>
        </w:r>
      </w:hyperlink>
    </w:p>
    <w:p w14:paraId="0DA54AF7" w14:textId="00518951" w:rsidR="00B27788" w:rsidRPr="00B27788" w:rsidRDefault="00B27788" w:rsidP="00B27788">
      <w:pPr>
        <w:pStyle w:val="EndNoteBibliography"/>
        <w:ind w:left="720" w:hanging="720"/>
        <w:rPr>
          <w:noProof/>
        </w:rPr>
      </w:pPr>
      <w:r w:rsidRPr="00B27788">
        <w:rPr>
          <w:noProof/>
        </w:rPr>
        <w:t xml:space="preserve">Cardini, A., Polly, D., Dawson, R., &amp; Milne, N. (2015). Why the long face? Kangaroos and wallabies follow the same ‘rule’ of cranial evolutionary allometry (CREA) as placentals. </w:t>
      </w:r>
      <w:r w:rsidRPr="00B27788">
        <w:rPr>
          <w:i/>
          <w:noProof/>
        </w:rPr>
        <w:t>Evolutionary Biology, 42</w:t>
      </w:r>
      <w:r w:rsidRPr="00B27788">
        <w:rPr>
          <w:noProof/>
        </w:rPr>
        <w:t>(2), 169-176. doi:</w:t>
      </w:r>
      <w:hyperlink r:id="rId22" w:history="1">
        <w:r w:rsidRPr="00B27788">
          <w:rPr>
            <w:rStyle w:val="Hyperlink"/>
            <w:noProof/>
          </w:rPr>
          <w:t>https://doi.org/10.1007/s11692-015-9308-9</w:t>
        </w:r>
      </w:hyperlink>
    </w:p>
    <w:p w14:paraId="1B0A1EDB" w14:textId="7C8030F8" w:rsidR="00B27788" w:rsidRPr="00B27788" w:rsidRDefault="00B27788" w:rsidP="00B27788">
      <w:pPr>
        <w:pStyle w:val="EndNoteBibliography"/>
        <w:ind w:left="720" w:hanging="720"/>
        <w:rPr>
          <w:noProof/>
        </w:rPr>
      </w:pPr>
      <w:r w:rsidRPr="00B27788">
        <w:rPr>
          <w:noProof/>
        </w:rPr>
        <w:t xml:space="preserve">Cavanaugh, J. E., &amp; Neath, A. A. (2019). The Akaike information criterion: Background, derivation, properties, application, interpretation, and refinements. </w:t>
      </w:r>
      <w:r w:rsidRPr="00B27788">
        <w:rPr>
          <w:i/>
          <w:noProof/>
        </w:rPr>
        <w:t>WIREs Computational Statistics, 11</w:t>
      </w:r>
      <w:r w:rsidRPr="00B27788">
        <w:rPr>
          <w:noProof/>
        </w:rPr>
        <w:t>(3), e1460. doi:</w:t>
      </w:r>
      <w:hyperlink r:id="rId23" w:history="1">
        <w:r w:rsidRPr="00B27788">
          <w:rPr>
            <w:rStyle w:val="Hyperlink"/>
            <w:noProof/>
          </w:rPr>
          <w:t>https://doi.org/10.1002/wics.1460</w:t>
        </w:r>
      </w:hyperlink>
    </w:p>
    <w:p w14:paraId="51F703BC" w14:textId="77777777" w:rsidR="00B27788" w:rsidRPr="00B27788" w:rsidRDefault="00B27788" w:rsidP="00B27788">
      <w:pPr>
        <w:pStyle w:val="EndNoteBibliography"/>
        <w:ind w:left="720" w:hanging="720"/>
        <w:rPr>
          <w:noProof/>
        </w:rPr>
      </w:pPr>
      <w:r w:rsidRPr="00B27788">
        <w:rPr>
          <w:noProof/>
        </w:rPr>
        <w:t xml:space="preserve">Clavel, J., Escarguel, G., &amp; Merceron, G. (2015). mvMORPH: an R package for fitting multivariate evolutionary models to morphometric data. </w:t>
      </w:r>
      <w:r w:rsidRPr="00B27788">
        <w:rPr>
          <w:i/>
          <w:noProof/>
        </w:rPr>
        <w:t>Methods in Ecology and Evolution, 6</w:t>
      </w:r>
      <w:r w:rsidRPr="00B27788">
        <w:rPr>
          <w:noProof/>
        </w:rPr>
        <w:t xml:space="preserve">(11), 1311-1319. </w:t>
      </w:r>
    </w:p>
    <w:p w14:paraId="13BF858B" w14:textId="46772E67" w:rsidR="00B27788" w:rsidRPr="00B27788" w:rsidRDefault="00B27788" w:rsidP="00B27788">
      <w:pPr>
        <w:pStyle w:val="EndNoteBibliography"/>
        <w:ind w:left="720" w:hanging="720"/>
        <w:rPr>
          <w:noProof/>
        </w:rPr>
      </w:pPr>
      <w:r w:rsidRPr="00B27788">
        <w:rPr>
          <w:noProof/>
        </w:rPr>
        <w:lastRenderedPageBreak/>
        <w:t xml:space="preserve">Collyer, M. L., &amp; Adams, D. C. (2018). RRPP: An R package for fitting linear models to high‐dimensional data using residual randomization. </w:t>
      </w:r>
      <w:r w:rsidRPr="00B27788">
        <w:rPr>
          <w:i/>
          <w:noProof/>
        </w:rPr>
        <w:t>Methods in Ecology and Evolution, 9</w:t>
      </w:r>
      <w:r w:rsidRPr="00B27788">
        <w:rPr>
          <w:noProof/>
        </w:rPr>
        <w:t>, 1772-1779. doi:</w:t>
      </w:r>
      <w:hyperlink r:id="rId24" w:history="1">
        <w:r w:rsidRPr="00B27788">
          <w:rPr>
            <w:rStyle w:val="Hyperlink"/>
            <w:noProof/>
          </w:rPr>
          <w:t>https://doi.org/10.1111/2041-210X.13029</w:t>
        </w:r>
      </w:hyperlink>
    </w:p>
    <w:p w14:paraId="32A3AE44" w14:textId="33B9BE0D" w:rsidR="00B27788" w:rsidRPr="00B27788" w:rsidRDefault="00B27788" w:rsidP="00B27788">
      <w:pPr>
        <w:pStyle w:val="EndNoteBibliography"/>
        <w:ind w:left="720" w:hanging="720"/>
        <w:rPr>
          <w:noProof/>
        </w:rPr>
      </w:pPr>
      <w:r w:rsidRPr="00B27788">
        <w:rPr>
          <w:noProof/>
        </w:rPr>
        <w:t xml:space="preserve">Collyer, M. L., &amp; Adams, D. C. (2019). RRPP: Linear Model Evaluation with Randomized Residuals in a Permutation Procedure. </w:t>
      </w:r>
      <w:hyperlink r:id="rId25" w:history="1">
        <w:r w:rsidRPr="00B27788">
          <w:rPr>
            <w:rStyle w:val="Hyperlink"/>
            <w:i/>
            <w:noProof/>
          </w:rPr>
          <w:t>https://CRAN.R-project.org/package=RRPP</w:t>
        </w:r>
      </w:hyperlink>
      <w:r w:rsidRPr="00B27788">
        <w:rPr>
          <w:noProof/>
        </w:rPr>
        <w:t xml:space="preserve">. </w:t>
      </w:r>
    </w:p>
    <w:p w14:paraId="1119386C" w14:textId="77777777" w:rsidR="00B27788" w:rsidRPr="00B27788" w:rsidRDefault="00B27788" w:rsidP="00B27788">
      <w:pPr>
        <w:pStyle w:val="EndNoteBibliography"/>
        <w:ind w:left="720" w:hanging="720"/>
        <w:rPr>
          <w:noProof/>
        </w:rPr>
      </w:pPr>
      <w:r w:rsidRPr="00B27788">
        <w:rPr>
          <w:noProof/>
        </w:rPr>
        <w:t xml:space="preserve">Cooper, N., Thomas, G. H., Venditti, C., Meade, A., &amp; Freckleton, R. P. (2016). A cautionary note on the use of Ornstein Uhlenbeck models in macroevolutionary studies. </w:t>
      </w:r>
      <w:r w:rsidRPr="00B27788">
        <w:rPr>
          <w:i/>
          <w:noProof/>
        </w:rPr>
        <w:t>Biological Journal of the Linnean Society, 118</w:t>
      </w:r>
      <w:r w:rsidRPr="00B27788">
        <w:rPr>
          <w:noProof/>
        </w:rPr>
        <w:t xml:space="preserve">(1), 64-77. </w:t>
      </w:r>
    </w:p>
    <w:p w14:paraId="090BC3C3" w14:textId="45DE466E" w:rsidR="00B27788" w:rsidRPr="00B27788" w:rsidRDefault="00B27788" w:rsidP="00B27788">
      <w:pPr>
        <w:pStyle w:val="EndNoteBibliography"/>
        <w:ind w:left="720" w:hanging="720"/>
        <w:rPr>
          <w:noProof/>
        </w:rPr>
      </w:pPr>
      <w:r w:rsidRPr="00B27788">
        <w:rPr>
          <w:noProof/>
        </w:rPr>
        <w:t xml:space="preserve">Cox, P. G., Rayfield, E. J., Fagan, M. J., Herrel, A., Pataky, T. C., &amp; Jeffery, N. (2012). Functional evolution of the feeding system in rodents. </w:t>
      </w:r>
      <w:r w:rsidRPr="00B27788">
        <w:rPr>
          <w:i/>
          <w:noProof/>
        </w:rPr>
        <w:t>PLOS ONE, 7</w:t>
      </w:r>
      <w:r w:rsidRPr="00B27788">
        <w:rPr>
          <w:noProof/>
        </w:rPr>
        <w:t>(4), e36299. doi:</w:t>
      </w:r>
      <w:hyperlink r:id="rId26" w:history="1">
        <w:r w:rsidRPr="00B27788">
          <w:rPr>
            <w:rStyle w:val="Hyperlink"/>
            <w:noProof/>
          </w:rPr>
          <w:t>https://doi.org/10.1371/journal.pone.0036299</w:t>
        </w:r>
      </w:hyperlink>
    </w:p>
    <w:p w14:paraId="4A3A575A" w14:textId="77777777" w:rsidR="00B27788" w:rsidRPr="00B27788" w:rsidRDefault="00B27788" w:rsidP="00B27788">
      <w:pPr>
        <w:pStyle w:val="EndNoteBibliography"/>
        <w:ind w:left="720" w:hanging="720"/>
        <w:rPr>
          <w:noProof/>
        </w:rPr>
      </w:pPr>
      <w:r w:rsidRPr="00B27788">
        <w:rPr>
          <w:noProof/>
        </w:rPr>
        <w:t xml:space="preserve">Druzinsky, R. E. (2015). The oral apparatus of rodents: variations on the theme of a gnawing machine. In L. Hautier &amp; P. G. Cox (Eds.), </w:t>
      </w:r>
      <w:r w:rsidRPr="00B27788">
        <w:rPr>
          <w:i/>
          <w:noProof/>
        </w:rPr>
        <w:t>Evolution of the Rodents: Advances in Phylogeny, Functional Morphology and Development</w:t>
      </w:r>
      <w:r w:rsidRPr="00B27788">
        <w:rPr>
          <w:noProof/>
        </w:rPr>
        <w:t xml:space="preserve"> (Vol. 5, pp. 323-349). Cambridge: Cambridge University Press.</w:t>
      </w:r>
    </w:p>
    <w:p w14:paraId="1A9109A9" w14:textId="31DB34BE" w:rsidR="00B27788" w:rsidRPr="00B27788" w:rsidRDefault="00B27788" w:rsidP="00B27788">
      <w:pPr>
        <w:pStyle w:val="EndNoteBibliography"/>
        <w:ind w:left="720" w:hanging="720"/>
        <w:rPr>
          <w:noProof/>
        </w:rPr>
      </w:pPr>
      <w:r w:rsidRPr="00B27788">
        <w:rPr>
          <w:noProof/>
        </w:rPr>
        <w:t xml:space="preserve">Esselstyn, J. A., Achmadi, A. S., &amp; Rowe, K. C. (2012). Evolutionary novelty in a rat with no molars. </w:t>
      </w:r>
      <w:r w:rsidRPr="00B27788">
        <w:rPr>
          <w:i/>
          <w:noProof/>
        </w:rPr>
        <w:t>Biology Letters, 8</w:t>
      </w:r>
      <w:r w:rsidRPr="00B27788">
        <w:rPr>
          <w:noProof/>
        </w:rPr>
        <w:t>(6), 990-993. doi:</w:t>
      </w:r>
      <w:hyperlink r:id="rId27" w:history="1">
        <w:r w:rsidRPr="00B27788">
          <w:rPr>
            <w:rStyle w:val="Hyperlink"/>
            <w:noProof/>
          </w:rPr>
          <w:t>https://doi.org/10.1098/rsbl.2012.0574</w:t>
        </w:r>
      </w:hyperlink>
    </w:p>
    <w:p w14:paraId="156DED04" w14:textId="748DABA6" w:rsidR="00B27788" w:rsidRPr="00B27788" w:rsidRDefault="00B27788" w:rsidP="00B27788">
      <w:pPr>
        <w:pStyle w:val="EndNoteBibliography"/>
        <w:ind w:left="720" w:hanging="720"/>
        <w:rPr>
          <w:noProof/>
        </w:rPr>
      </w:pPr>
      <w:r w:rsidRPr="00B27788">
        <w:rPr>
          <w:noProof/>
        </w:rPr>
        <w:t xml:space="preserve">Evans, K. M., Waltz, B., Tagliacollo, V., Chakrabarty, P., &amp; Albert, J. S. (2017). Why the short face? Developmental disintegration of the neurocranium drives convergent evolution in neotropical electric fishes. </w:t>
      </w:r>
      <w:r w:rsidRPr="00B27788">
        <w:rPr>
          <w:i/>
          <w:noProof/>
        </w:rPr>
        <w:t>Ecology and Evolution, 7</w:t>
      </w:r>
      <w:r w:rsidRPr="00B27788">
        <w:rPr>
          <w:noProof/>
        </w:rPr>
        <w:t>(6), 1783-1801. doi:</w:t>
      </w:r>
      <w:hyperlink r:id="rId28" w:history="1">
        <w:r w:rsidRPr="00B27788">
          <w:rPr>
            <w:rStyle w:val="Hyperlink"/>
            <w:noProof/>
          </w:rPr>
          <w:t>https://doi.org/10.1002/ece3.2704</w:t>
        </w:r>
      </w:hyperlink>
    </w:p>
    <w:p w14:paraId="767104ED" w14:textId="3349B42F" w:rsidR="00B27788" w:rsidRPr="00B27788" w:rsidRDefault="00B27788" w:rsidP="00B27788">
      <w:pPr>
        <w:pStyle w:val="EndNoteBibliography"/>
        <w:ind w:left="720" w:hanging="720"/>
        <w:rPr>
          <w:noProof/>
        </w:rPr>
      </w:pPr>
      <w:r w:rsidRPr="00B27788">
        <w:rPr>
          <w:noProof/>
        </w:rPr>
        <w:t xml:space="preserve">Figueirido, B., Tseng, Z. J., Serrano-Alarcón, F. J., Martín-Serra, A., &amp; Pastor, J. F. (2014). Three-dimensional computer simulations of feeding behaviour in red and giant pandas relate skull biomechanics with dietary niche partitioning. </w:t>
      </w:r>
      <w:r w:rsidRPr="00B27788">
        <w:rPr>
          <w:i/>
          <w:noProof/>
        </w:rPr>
        <w:t>Biology Letters, 10</w:t>
      </w:r>
      <w:r w:rsidRPr="00B27788">
        <w:rPr>
          <w:noProof/>
        </w:rPr>
        <w:t>(4), 20140196. doi:</w:t>
      </w:r>
      <w:hyperlink r:id="rId29" w:history="1">
        <w:r w:rsidRPr="00B27788">
          <w:rPr>
            <w:rStyle w:val="Hyperlink"/>
            <w:noProof/>
          </w:rPr>
          <w:t>https://doi.org/10.1098/rsbl.2014.0196</w:t>
        </w:r>
      </w:hyperlink>
    </w:p>
    <w:p w14:paraId="463DE036" w14:textId="7323E19D" w:rsidR="00B27788" w:rsidRPr="00B27788" w:rsidRDefault="00B27788" w:rsidP="00B27788">
      <w:pPr>
        <w:pStyle w:val="EndNoteBibliography"/>
        <w:ind w:left="720" w:hanging="720"/>
        <w:rPr>
          <w:noProof/>
        </w:rPr>
      </w:pPr>
      <w:r w:rsidRPr="00B27788">
        <w:rPr>
          <w:noProof/>
        </w:rPr>
        <w:t xml:space="preserve">Ginot, S., Claude, J., &amp; Hautier, L. (2018). One skull to rule them all? Descriptive and comparative anatomy of the masticatory apparatus in five mouse species. </w:t>
      </w:r>
      <w:r w:rsidRPr="00B27788">
        <w:rPr>
          <w:i/>
          <w:noProof/>
        </w:rPr>
        <w:t>Journal of Morphology, 279</w:t>
      </w:r>
      <w:r w:rsidRPr="00B27788">
        <w:rPr>
          <w:noProof/>
        </w:rPr>
        <w:t>(9), 1234-1255. doi:</w:t>
      </w:r>
      <w:hyperlink r:id="rId30" w:history="1">
        <w:r w:rsidRPr="00B27788">
          <w:rPr>
            <w:rStyle w:val="Hyperlink"/>
            <w:noProof/>
          </w:rPr>
          <w:t>https://doi.org/10.1002/jmor.20845</w:t>
        </w:r>
      </w:hyperlink>
    </w:p>
    <w:p w14:paraId="03A57979" w14:textId="3A27D71F" w:rsidR="00B27788" w:rsidRPr="00B27788" w:rsidRDefault="00B27788" w:rsidP="00B27788">
      <w:pPr>
        <w:pStyle w:val="EndNoteBibliography"/>
        <w:ind w:left="720" w:hanging="720"/>
        <w:rPr>
          <w:noProof/>
        </w:rPr>
      </w:pPr>
      <w:r w:rsidRPr="00B27788">
        <w:rPr>
          <w:noProof/>
        </w:rPr>
        <w:t xml:space="preserve">Goswami, A. (2006). Cranial modularity shifts during mammalian evolution. </w:t>
      </w:r>
      <w:r w:rsidRPr="00B27788">
        <w:rPr>
          <w:i/>
          <w:noProof/>
        </w:rPr>
        <w:t>The American Naturalist, 168</w:t>
      </w:r>
      <w:r w:rsidRPr="00B27788">
        <w:rPr>
          <w:noProof/>
        </w:rPr>
        <w:t>(2), 270-280. doi:</w:t>
      </w:r>
      <w:hyperlink r:id="rId31" w:history="1">
        <w:r w:rsidRPr="00B27788">
          <w:rPr>
            <w:rStyle w:val="Hyperlink"/>
            <w:noProof/>
          </w:rPr>
          <w:t>https://doi.org/10.1086/505758</w:t>
        </w:r>
      </w:hyperlink>
    </w:p>
    <w:p w14:paraId="1FFFBE26" w14:textId="3CD3BFAC" w:rsidR="00B27788" w:rsidRPr="00B27788" w:rsidRDefault="00B27788" w:rsidP="00B27788">
      <w:pPr>
        <w:pStyle w:val="EndNoteBibliography"/>
        <w:ind w:left="720" w:hanging="720"/>
        <w:rPr>
          <w:noProof/>
        </w:rPr>
      </w:pPr>
      <w:r w:rsidRPr="00B27788">
        <w:rPr>
          <w:noProof/>
        </w:rPr>
        <w:t xml:space="preserve">Goswami, A., Noirault, E., Coombs, E. J., Clavel, J., Fabre, A.-C., Halliday, T. J. D., Churchill, M., Curtis, A., Watanabe, A., Simmons, N. B., Beatty, B. L., Geisler, J. H., Fox, D. L., &amp; Felice, R. N. (2022). Attenuated evolution of mammals through the Cenozoic. </w:t>
      </w:r>
      <w:r w:rsidRPr="00B27788">
        <w:rPr>
          <w:i/>
          <w:noProof/>
        </w:rPr>
        <w:t>Science, 378</w:t>
      </w:r>
      <w:r w:rsidRPr="00B27788">
        <w:rPr>
          <w:noProof/>
        </w:rPr>
        <w:t>(6618), 377-383. doi:</w:t>
      </w:r>
      <w:hyperlink r:id="rId32" w:history="1">
        <w:r w:rsidRPr="00B27788">
          <w:rPr>
            <w:rStyle w:val="Hyperlink"/>
            <w:noProof/>
          </w:rPr>
          <w:t>https://doi.org/10.1126/science.abm7525</w:t>
        </w:r>
      </w:hyperlink>
    </w:p>
    <w:p w14:paraId="5DAB3CC2" w14:textId="242BE3D0" w:rsidR="00B27788" w:rsidRPr="00B27788" w:rsidRDefault="00B27788" w:rsidP="00B27788">
      <w:pPr>
        <w:pStyle w:val="EndNoteBibliography"/>
        <w:ind w:left="720" w:hanging="720"/>
        <w:rPr>
          <w:noProof/>
        </w:rPr>
      </w:pPr>
      <w:r w:rsidRPr="00B27788">
        <w:rPr>
          <w:noProof/>
        </w:rPr>
        <w:t xml:space="preserve">Guillerme, T., &amp; Weisbecker, V. (2019). LandvR: Tools for measuring landmark position variation. </w:t>
      </w:r>
      <w:r w:rsidRPr="00B27788">
        <w:rPr>
          <w:i/>
          <w:noProof/>
        </w:rPr>
        <w:t>Zenodo</w:t>
      </w:r>
      <w:r w:rsidRPr="00B27788">
        <w:rPr>
          <w:noProof/>
        </w:rPr>
        <w:t>. doi:</w:t>
      </w:r>
      <w:hyperlink r:id="rId33" w:history="1">
        <w:r w:rsidRPr="00B27788">
          <w:rPr>
            <w:rStyle w:val="Hyperlink"/>
            <w:noProof/>
          </w:rPr>
          <w:t>https://doi.org/10.5281/zenodo.2620785</w:t>
        </w:r>
      </w:hyperlink>
    </w:p>
    <w:p w14:paraId="4D31D5E6" w14:textId="08C5BEB6" w:rsidR="00B27788" w:rsidRPr="00B27788" w:rsidRDefault="00B27788" w:rsidP="00B27788">
      <w:pPr>
        <w:pStyle w:val="EndNoteBibliography"/>
        <w:ind w:left="720" w:hanging="720"/>
        <w:rPr>
          <w:noProof/>
        </w:rPr>
      </w:pPr>
      <w:r w:rsidRPr="00B27788">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27788">
        <w:rPr>
          <w:i/>
          <w:noProof/>
        </w:rPr>
        <w:t>Evolution, 64</w:t>
      </w:r>
      <w:r w:rsidRPr="00B27788">
        <w:rPr>
          <w:noProof/>
        </w:rPr>
        <w:t>(8), 2385-2396. doi:</w:t>
      </w:r>
      <w:hyperlink r:id="rId34" w:history="1">
        <w:r w:rsidRPr="00B27788">
          <w:rPr>
            <w:rStyle w:val="Hyperlink"/>
            <w:noProof/>
          </w:rPr>
          <w:t>https://doi.org/10.1111/j.1558-5646.2010.01025.x</w:t>
        </w:r>
      </w:hyperlink>
    </w:p>
    <w:p w14:paraId="7F090B18" w14:textId="3958BDF1" w:rsidR="00B27788" w:rsidRPr="00B27788" w:rsidRDefault="00B27788" w:rsidP="00B27788">
      <w:pPr>
        <w:pStyle w:val="EndNoteBibliography"/>
        <w:ind w:left="720" w:hanging="720"/>
        <w:rPr>
          <w:noProof/>
        </w:rPr>
      </w:pPr>
      <w:r w:rsidRPr="00B27788">
        <w:rPr>
          <w:noProof/>
        </w:rPr>
        <w:t xml:space="preserve">Hennekam, J. J., Benson, R. B. J., Herridge, V. L., Jeffery, N., Torres-Roig, E., Alcover, J. A., &amp; Cox, P. G. (2020). Morphological divergence in giant fossil dormice. </w:t>
      </w:r>
      <w:r w:rsidRPr="00B27788">
        <w:rPr>
          <w:i/>
          <w:noProof/>
        </w:rPr>
        <w:t>Proceedings of the Royal Society B: Biological Sciences, 287</w:t>
      </w:r>
      <w:r w:rsidRPr="00B27788">
        <w:rPr>
          <w:noProof/>
        </w:rPr>
        <w:t>(1938), 20202085. doi:</w:t>
      </w:r>
      <w:hyperlink r:id="rId35" w:history="1">
        <w:r w:rsidRPr="00B27788">
          <w:rPr>
            <w:rStyle w:val="Hyperlink"/>
            <w:noProof/>
          </w:rPr>
          <w:t>https://doi.org/10.1098/rspb.2020.2085</w:t>
        </w:r>
      </w:hyperlink>
    </w:p>
    <w:p w14:paraId="4F1E1F9A" w14:textId="5B29FA32" w:rsidR="00B27788" w:rsidRPr="00B27788" w:rsidRDefault="00B27788" w:rsidP="00B27788">
      <w:pPr>
        <w:pStyle w:val="EndNoteBibliography"/>
        <w:ind w:left="720" w:hanging="720"/>
        <w:rPr>
          <w:noProof/>
        </w:rPr>
      </w:pPr>
      <w:r w:rsidRPr="00B27788">
        <w:rPr>
          <w:noProof/>
        </w:rPr>
        <w:lastRenderedPageBreak/>
        <w:t xml:space="preserve">Hetherington, A. J., Sherratt, E., Ruta, M., Wilkinson, M., Deline, B., &amp; Donoghue, P. C. J. (2015). Do cladistic and morphometric data capture common patterns of morphological disparity? </w:t>
      </w:r>
      <w:r w:rsidRPr="00B27788">
        <w:rPr>
          <w:i/>
          <w:noProof/>
        </w:rPr>
        <w:t>Palaeontology, 58</w:t>
      </w:r>
      <w:r w:rsidRPr="00B27788">
        <w:rPr>
          <w:noProof/>
        </w:rPr>
        <w:t>(3), 393-399. doi:</w:t>
      </w:r>
      <w:hyperlink r:id="rId36" w:history="1">
        <w:r w:rsidRPr="00B27788">
          <w:rPr>
            <w:rStyle w:val="Hyperlink"/>
            <w:noProof/>
          </w:rPr>
          <w:t>https://doi.org/10.1111/pala.12159</w:t>
        </w:r>
      </w:hyperlink>
    </w:p>
    <w:p w14:paraId="7EEA1378" w14:textId="2BA945F4" w:rsidR="00B27788" w:rsidRPr="00B27788" w:rsidRDefault="00B27788" w:rsidP="00B27788">
      <w:pPr>
        <w:pStyle w:val="EndNoteBibliography"/>
        <w:ind w:left="720" w:hanging="720"/>
        <w:rPr>
          <w:noProof/>
        </w:rPr>
      </w:pPr>
      <w:r w:rsidRPr="00B27788">
        <w:rPr>
          <w:noProof/>
        </w:rPr>
        <w:t xml:space="preserve">Kembel, S. W., Cowan, P. D., Helmus, M. R., Cornwell, W. K., Morlon, H., Ackerly, D. D., Blomberg, S. P., &amp; Webb, C. O. (2010). </w:t>
      </w:r>
      <w:r w:rsidRPr="00B27788">
        <w:rPr>
          <w:i/>
          <w:noProof/>
        </w:rPr>
        <w:t>Picante</w:t>
      </w:r>
      <w:r w:rsidRPr="00B27788">
        <w:rPr>
          <w:noProof/>
        </w:rPr>
        <w:t xml:space="preserve">: R tools for integrating phylogenies and ecology. </w:t>
      </w:r>
      <w:r w:rsidRPr="00B27788">
        <w:rPr>
          <w:i/>
          <w:noProof/>
        </w:rPr>
        <w:t>Bioinformatics, 26</w:t>
      </w:r>
      <w:r w:rsidRPr="00B27788">
        <w:rPr>
          <w:noProof/>
        </w:rPr>
        <w:t>(11), 1463-1464. doi:</w:t>
      </w:r>
      <w:hyperlink r:id="rId37" w:history="1">
        <w:r w:rsidRPr="00B27788">
          <w:rPr>
            <w:rStyle w:val="Hyperlink"/>
            <w:noProof/>
          </w:rPr>
          <w:t>https://doi.org/10.1093/bioinformatics/btq166</w:t>
        </w:r>
      </w:hyperlink>
    </w:p>
    <w:p w14:paraId="66D000B7" w14:textId="67F20C4C" w:rsidR="00B27788" w:rsidRPr="00B27788" w:rsidRDefault="00B27788" w:rsidP="00B27788">
      <w:pPr>
        <w:pStyle w:val="EndNoteBibliography"/>
        <w:ind w:left="720" w:hanging="720"/>
        <w:rPr>
          <w:noProof/>
        </w:rPr>
      </w:pPr>
      <w:r w:rsidRPr="00B27788">
        <w:rPr>
          <w:noProof/>
        </w:rPr>
        <w:t xml:space="preserve">Klingenberg, C. P. (2009). Morphometric integration and modularity in configurations of landmarks: tools for evaluating a priori hypotheses. </w:t>
      </w:r>
      <w:r w:rsidRPr="00B27788">
        <w:rPr>
          <w:i/>
          <w:noProof/>
        </w:rPr>
        <w:t>Evolution &amp; Development, 11</w:t>
      </w:r>
      <w:r w:rsidRPr="00B27788">
        <w:rPr>
          <w:noProof/>
        </w:rPr>
        <w:t>(4), 405-421. doi:</w:t>
      </w:r>
      <w:hyperlink r:id="rId38" w:history="1">
        <w:r w:rsidRPr="00B27788">
          <w:rPr>
            <w:rStyle w:val="Hyperlink"/>
            <w:noProof/>
          </w:rPr>
          <w:t>https://doi.org/10.1111/j.1525-142X.2009.00347.x</w:t>
        </w:r>
      </w:hyperlink>
    </w:p>
    <w:p w14:paraId="2C8AD55F" w14:textId="6045BB53" w:rsidR="00B27788" w:rsidRPr="00B27788" w:rsidRDefault="00B27788" w:rsidP="00B27788">
      <w:pPr>
        <w:pStyle w:val="EndNoteBibliography"/>
        <w:ind w:left="720" w:hanging="720"/>
        <w:rPr>
          <w:noProof/>
        </w:rPr>
      </w:pPr>
      <w:r w:rsidRPr="00B27788">
        <w:rPr>
          <w:noProof/>
        </w:rPr>
        <w:t xml:space="preserve">Klingenberg, C. P., &amp; Marugán-Lobón, J. (2013). Evolutionary covariation in geometric morphometric data: analyzing integration, modularity, and allometry in a phylogenetic context. </w:t>
      </w:r>
      <w:r w:rsidRPr="00B27788">
        <w:rPr>
          <w:i/>
          <w:noProof/>
        </w:rPr>
        <w:t>Systematic Biology, 62</w:t>
      </w:r>
      <w:r w:rsidRPr="00B27788">
        <w:rPr>
          <w:noProof/>
        </w:rPr>
        <w:t>(4), 591-610. doi:</w:t>
      </w:r>
      <w:hyperlink r:id="rId39" w:history="1">
        <w:r w:rsidRPr="00B27788">
          <w:rPr>
            <w:rStyle w:val="Hyperlink"/>
            <w:noProof/>
          </w:rPr>
          <w:t>https://doi.org/10.1093/sysbio/syt025</w:t>
        </w:r>
      </w:hyperlink>
    </w:p>
    <w:p w14:paraId="2810780A" w14:textId="2DB1ED56" w:rsidR="00B27788" w:rsidRPr="00B27788" w:rsidRDefault="00B27788" w:rsidP="00B27788">
      <w:pPr>
        <w:pStyle w:val="EndNoteBibliography"/>
        <w:ind w:left="720" w:hanging="720"/>
        <w:rPr>
          <w:noProof/>
        </w:rPr>
      </w:pPr>
      <w:r w:rsidRPr="00B27788">
        <w:rPr>
          <w:noProof/>
        </w:rPr>
        <w:t xml:space="preserve">Kraatz, B., &amp; Sherratt, E. (2016). Evolutionary morphology of the rabbit skull. </w:t>
      </w:r>
      <w:r w:rsidRPr="00B27788">
        <w:rPr>
          <w:i/>
          <w:noProof/>
        </w:rPr>
        <w:t>PeerJ, 4</w:t>
      </w:r>
      <w:r w:rsidRPr="00B27788">
        <w:rPr>
          <w:noProof/>
        </w:rPr>
        <w:t>, e2453. doi:</w:t>
      </w:r>
      <w:hyperlink r:id="rId40" w:history="1">
        <w:r w:rsidRPr="00B27788">
          <w:rPr>
            <w:rStyle w:val="Hyperlink"/>
            <w:noProof/>
          </w:rPr>
          <w:t>https://doi.org/10.7717/peerj.2453</w:t>
        </w:r>
      </w:hyperlink>
    </w:p>
    <w:p w14:paraId="3288095E" w14:textId="77777777" w:rsidR="00B27788" w:rsidRPr="00B27788" w:rsidRDefault="00B27788" w:rsidP="00B27788">
      <w:pPr>
        <w:pStyle w:val="EndNoteBibliography"/>
        <w:ind w:left="720" w:hanging="720"/>
        <w:rPr>
          <w:noProof/>
        </w:rPr>
      </w:pPr>
      <w:r w:rsidRPr="00B27788">
        <w:rPr>
          <w:noProof/>
        </w:rPr>
        <w:t xml:space="preserve">Legendre, P., &amp; Legendre, L. (2012). </w:t>
      </w:r>
      <w:r w:rsidRPr="00B27788">
        <w:rPr>
          <w:i/>
          <w:noProof/>
        </w:rPr>
        <w:t>Numerical ecology</w:t>
      </w:r>
      <w:r w:rsidRPr="00B27788">
        <w:rPr>
          <w:noProof/>
        </w:rPr>
        <w:t xml:space="preserve"> (3rd English Edition ed.): Elsevier.</w:t>
      </w:r>
    </w:p>
    <w:p w14:paraId="58212040" w14:textId="2ADA5040" w:rsidR="00B27788" w:rsidRPr="00B27788" w:rsidRDefault="00B27788" w:rsidP="00B27788">
      <w:pPr>
        <w:pStyle w:val="EndNoteBibliography"/>
        <w:ind w:left="720" w:hanging="720"/>
        <w:rPr>
          <w:noProof/>
        </w:rPr>
      </w:pPr>
      <w:r w:rsidRPr="00B27788">
        <w:rPr>
          <w:noProof/>
        </w:rPr>
        <w:t xml:space="preserve">Lessa, E. P., &amp; Patton, J. L. (1989). Structural constraints, recurrent shapes, and allometry in pocket gophers (genus Thomomys). </w:t>
      </w:r>
      <w:r w:rsidRPr="00B27788">
        <w:rPr>
          <w:i/>
          <w:noProof/>
        </w:rPr>
        <w:t>Biological Journal of the Linnean Society, 36</w:t>
      </w:r>
      <w:r w:rsidRPr="00B27788">
        <w:rPr>
          <w:noProof/>
        </w:rPr>
        <w:t>(4), 349-363. doi:</w:t>
      </w:r>
      <w:hyperlink r:id="rId41" w:history="1">
        <w:r w:rsidRPr="00B27788">
          <w:rPr>
            <w:rStyle w:val="Hyperlink"/>
            <w:noProof/>
          </w:rPr>
          <w:t>https://doi.org/10.1111/j.1095-8312.1989.tb00500.x</w:t>
        </w:r>
      </w:hyperlink>
    </w:p>
    <w:p w14:paraId="108B8C8F" w14:textId="5B010774" w:rsidR="00B27788" w:rsidRPr="00B27788" w:rsidRDefault="00B27788" w:rsidP="00B27788">
      <w:pPr>
        <w:pStyle w:val="EndNoteBibliography"/>
        <w:ind w:left="720" w:hanging="720"/>
        <w:rPr>
          <w:noProof/>
        </w:rPr>
      </w:pPr>
      <w:r w:rsidRPr="00B27788">
        <w:rPr>
          <w:noProof/>
        </w:rPr>
        <w:t xml:space="preserve">Marcy, A. E., Fruciano, C., Phillips, M. J., Mardon, K., &amp; Weisbecker, V. (2018). Low resolution scans can provide a sufficiently accurate, cost- and time-effective alternative to high resolution scans for 3D shape analyses. </w:t>
      </w:r>
      <w:r w:rsidRPr="00B27788">
        <w:rPr>
          <w:i/>
          <w:noProof/>
        </w:rPr>
        <w:t>PeerJ, 6</w:t>
      </w:r>
      <w:r w:rsidRPr="00B27788">
        <w:rPr>
          <w:noProof/>
        </w:rPr>
        <w:t>, e5032. doi:</w:t>
      </w:r>
      <w:hyperlink r:id="rId42" w:history="1">
        <w:r w:rsidRPr="00B27788">
          <w:rPr>
            <w:rStyle w:val="Hyperlink"/>
            <w:noProof/>
          </w:rPr>
          <w:t>https://doi.org/10.7717/peerj.5032</w:t>
        </w:r>
      </w:hyperlink>
    </w:p>
    <w:p w14:paraId="62E6AB87" w14:textId="7ED17F27" w:rsidR="00B27788" w:rsidRPr="00B27788" w:rsidRDefault="00B27788" w:rsidP="00B27788">
      <w:pPr>
        <w:pStyle w:val="EndNoteBibliography"/>
        <w:ind w:left="720" w:hanging="720"/>
        <w:rPr>
          <w:noProof/>
        </w:rPr>
      </w:pPr>
      <w:r w:rsidRPr="00B27788">
        <w:rPr>
          <w:noProof/>
        </w:rPr>
        <w:t xml:space="preserve">Marcy, A. E., Guillerme, T., Sherratt, E., Rowe, K. C., Phillips, M. J., &amp; Weisbecker, V. (2020). Australian rodents reveal conserved cranial evolutionary allometry across 10 million years of Murid evolution. </w:t>
      </w:r>
      <w:r w:rsidRPr="00B27788">
        <w:rPr>
          <w:i/>
          <w:noProof/>
        </w:rPr>
        <w:t>The American Naturalist, 196</w:t>
      </w:r>
      <w:r w:rsidRPr="00B27788">
        <w:rPr>
          <w:noProof/>
        </w:rPr>
        <w:t>(6), 755-768. doi:</w:t>
      </w:r>
      <w:hyperlink r:id="rId43" w:history="1">
        <w:r w:rsidRPr="00B27788">
          <w:rPr>
            <w:rStyle w:val="Hyperlink"/>
            <w:noProof/>
          </w:rPr>
          <w:t>https://doi.org/10.1086/711398</w:t>
        </w:r>
      </w:hyperlink>
    </w:p>
    <w:p w14:paraId="5176AB8D" w14:textId="61DFE5CB" w:rsidR="00B27788" w:rsidRPr="00B27788" w:rsidRDefault="00B27788" w:rsidP="00B27788">
      <w:pPr>
        <w:pStyle w:val="EndNoteBibliography"/>
        <w:ind w:left="720" w:hanging="720"/>
        <w:rPr>
          <w:noProof/>
        </w:rPr>
      </w:pPr>
      <w:r w:rsidRPr="00B27788">
        <w:rPr>
          <w:noProof/>
        </w:rPr>
        <w:t>Marcy, A. E., Hadly, E. A., Sherratt, E., Garland, K., &amp; Weisbecker, V. (2016). Getting a head in hard soils: Convergent skull evolution and divergent allometric patterns explain shape variation in a highly diverse genus of pocket gophers (</w:t>
      </w:r>
      <w:r w:rsidRPr="00B27788">
        <w:rPr>
          <w:i/>
          <w:noProof/>
        </w:rPr>
        <w:t>Thomomys</w:t>
      </w:r>
      <w:r w:rsidRPr="00B27788">
        <w:rPr>
          <w:noProof/>
        </w:rPr>
        <w:t xml:space="preserve">). </w:t>
      </w:r>
      <w:r w:rsidRPr="00B27788">
        <w:rPr>
          <w:i/>
          <w:noProof/>
        </w:rPr>
        <w:t>BMC Evolutionary Biology, 16</w:t>
      </w:r>
      <w:r w:rsidRPr="00B27788">
        <w:rPr>
          <w:noProof/>
        </w:rPr>
        <w:t>(1), 207. doi:</w:t>
      </w:r>
      <w:hyperlink r:id="rId44" w:history="1">
        <w:r w:rsidRPr="00B27788">
          <w:rPr>
            <w:rStyle w:val="Hyperlink"/>
            <w:noProof/>
          </w:rPr>
          <w:t>https://doi.org/10.1186/s12862-016-0782-1</w:t>
        </w:r>
      </w:hyperlink>
    </w:p>
    <w:p w14:paraId="30634FF4" w14:textId="69CB8FA8" w:rsidR="00B27788" w:rsidRPr="00B27788" w:rsidRDefault="00B27788" w:rsidP="00B27788">
      <w:pPr>
        <w:pStyle w:val="EndNoteBibliography"/>
        <w:ind w:left="720" w:hanging="720"/>
        <w:rPr>
          <w:noProof/>
        </w:rPr>
      </w:pPr>
      <w:r w:rsidRPr="00B27788">
        <w:rPr>
          <w:noProof/>
        </w:rPr>
        <w:t xml:space="preserve">Marroig, G., &amp; Cheverud, J. M. (2005). Size as a line of least evolutionary resistance: diet and adaptive morphological radiation in new world monkeys. </w:t>
      </w:r>
      <w:r w:rsidRPr="00B27788">
        <w:rPr>
          <w:i/>
          <w:noProof/>
        </w:rPr>
        <w:t>Evolution, 59</w:t>
      </w:r>
      <w:r w:rsidRPr="00B27788">
        <w:rPr>
          <w:noProof/>
        </w:rPr>
        <w:t>(5), 1128-1142. doi:</w:t>
      </w:r>
      <w:hyperlink r:id="rId45" w:history="1">
        <w:r w:rsidRPr="00B27788">
          <w:rPr>
            <w:rStyle w:val="Hyperlink"/>
            <w:noProof/>
          </w:rPr>
          <w:t>https://doi.org/10.1111/j.0014-3820.2005.tb01049.x</w:t>
        </w:r>
      </w:hyperlink>
    </w:p>
    <w:p w14:paraId="0F12AC47" w14:textId="62294E07" w:rsidR="00B27788" w:rsidRPr="00B27788" w:rsidRDefault="00B27788" w:rsidP="00B27788">
      <w:pPr>
        <w:pStyle w:val="EndNoteBibliography"/>
        <w:ind w:left="720" w:hanging="720"/>
        <w:rPr>
          <w:noProof/>
        </w:rPr>
      </w:pPr>
      <w:r w:rsidRPr="00B27788">
        <w:rPr>
          <w:noProof/>
        </w:rPr>
        <w:t xml:space="preserve">Mitchell, D. R. (2019). The anatomy of a crushing bite: The specialised cranial mechanics of a giant extinct kangaroo. </w:t>
      </w:r>
      <w:r w:rsidRPr="00B27788">
        <w:rPr>
          <w:i/>
          <w:noProof/>
        </w:rPr>
        <w:t>PLOS ONE, 14</w:t>
      </w:r>
      <w:r w:rsidRPr="00B27788">
        <w:rPr>
          <w:noProof/>
        </w:rPr>
        <w:t>(9), e0221287. doi:</w:t>
      </w:r>
      <w:hyperlink r:id="rId46" w:history="1">
        <w:r w:rsidRPr="00B27788">
          <w:rPr>
            <w:rStyle w:val="Hyperlink"/>
            <w:noProof/>
          </w:rPr>
          <w:t>https://doi.org/10.1371/journal.pone.0221287</w:t>
        </w:r>
      </w:hyperlink>
    </w:p>
    <w:p w14:paraId="07F00324" w14:textId="7475C3B5" w:rsidR="00B27788" w:rsidRPr="00B27788" w:rsidRDefault="00B27788" w:rsidP="00B27788">
      <w:pPr>
        <w:pStyle w:val="EndNoteBibliography"/>
        <w:ind w:left="720" w:hanging="720"/>
        <w:rPr>
          <w:noProof/>
        </w:rPr>
      </w:pPr>
      <w:r w:rsidRPr="00B27788">
        <w:rPr>
          <w:noProof/>
        </w:rPr>
        <w:t xml:space="preserve">Mitchell, D. R., Sherratt, E., Ledogar, J. A., &amp; Wroe, S. (2018). The biomechanics of foraging determines face length among kangaroos and their relatives. </w:t>
      </w:r>
      <w:r w:rsidRPr="00B27788">
        <w:rPr>
          <w:i/>
          <w:noProof/>
        </w:rPr>
        <w:t>Proceedings of the Royal Society B: Biological Sciences, 285</w:t>
      </w:r>
      <w:r w:rsidRPr="00B27788">
        <w:rPr>
          <w:noProof/>
        </w:rPr>
        <w:t>(1881), 20180845. doi:</w:t>
      </w:r>
      <w:hyperlink r:id="rId47" w:history="1">
        <w:r w:rsidRPr="00B27788">
          <w:rPr>
            <w:rStyle w:val="Hyperlink"/>
            <w:noProof/>
          </w:rPr>
          <w:t>https://doi.org/10.1098/rspb.2018.0845</w:t>
        </w:r>
      </w:hyperlink>
    </w:p>
    <w:p w14:paraId="4AEE2C42" w14:textId="77777777" w:rsidR="00B27788" w:rsidRPr="00B27788" w:rsidRDefault="00B27788" w:rsidP="00B27788">
      <w:pPr>
        <w:pStyle w:val="EndNoteBibliography"/>
        <w:ind w:left="720" w:hanging="720"/>
        <w:rPr>
          <w:noProof/>
        </w:rPr>
      </w:pPr>
      <w:r w:rsidRPr="00B27788">
        <w:rPr>
          <w:noProof/>
        </w:rPr>
        <w:t xml:space="preserve">Mitchell, D. R., Sherratt, E., &amp; Weisbecker, V. (2024). Facing the facts: Adaptive trade-offs along body size ranges determine mammalian craniofacial scaling </w:t>
      </w:r>
      <w:r w:rsidRPr="00B27788">
        <w:rPr>
          <w:i/>
          <w:noProof/>
        </w:rPr>
        <w:t>Biological Reviews, 99</w:t>
      </w:r>
      <w:r w:rsidRPr="00B27788">
        <w:rPr>
          <w:noProof/>
        </w:rPr>
        <w:t>(2), 496-524. doi:10.1111/brv.13032</w:t>
      </w:r>
    </w:p>
    <w:p w14:paraId="502243A0" w14:textId="0CDDDAD6" w:rsidR="00B27788" w:rsidRPr="00B27788" w:rsidRDefault="00B27788" w:rsidP="00B27788">
      <w:pPr>
        <w:pStyle w:val="EndNoteBibliography"/>
        <w:ind w:left="720" w:hanging="720"/>
        <w:rPr>
          <w:noProof/>
        </w:rPr>
      </w:pPr>
      <w:r w:rsidRPr="00B27788">
        <w:rPr>
          <w:noProof/>
        </w:rPr>
        <w:lastRenderedPageBreak/>
        <w:t xml:space="preserve">Murray, B. R., Dickman, C. R., Watts, C. H. S., &amp; Morton, S. R. (1999). The dietary ecology of Australian rodents. </w:t>
      </w:r>
      <w:r w:rsidRPr="00B27788">
        <w:rPr>
          <w:i/>
          <w:noProof/>
        </w:rPr>
        <w:t>Wildlife Research, 26</w:t>
      </w:r>
      <w:r w:rsidRPr="00B27788">
        <w:rPr>
          <w:noProof/>
        </w:rPr>
        <w:t>(6), 857-858. doi:</w:t>
      </w:r>
      <w:hyperlink r:id="rId48" w:history="1">
        <w:r w:rsidRPr="00B27788">
          <w:rPr>
            <w:rStyle w:val="Hyperlink"/>
            <w:noProof/>
          </w:rPr>
          <w:t>https://doi.org/10.1071/WR97046_CO</w:t>
        </w:r>
      </w:hyperlink>
    </w:p>
    <w:p w14:paraId="377B7CBB" w14:textId="14396A5E" w:rsidR="00B27788" w:rsidRPr="00B27788" w:rsidRDefault="00B27788" w:rsidP="00B27788">
      <w:pPr>
        <w:pStyle w:val="EndNoteBibliography"/>
        <w:ind w:left="720" w:hanging="720"/>
        <w:rPr>
          <w:noProof/>
        </w:rPr>
      </w:pPr>
      <w:r w:rsidRPr="00B27788">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B27788">
        <w:rPr>
          <w:i/>
          <w:noProof/>
        </w:rPr>
        <w:t xml:space="preserve">R package version 2.6-4 </w:t>
      </w:r>
      <w:hyperlink r:id="rId49" w:history="1">
        <w:r w:rsidRPr="00B27788">
          <w:rPr>
            <w:rStyle w:val="Hyperlink"/>
            <w:i/>
            <w:noProof/>
          </w:rPr>
          <w:t>https://CRAN.R-project.org/package=vegan</w:t>
        </w:r>
      </w:hyperlink>
      <w:r w:rsidRPr="00B27788">
        <w:rPr>
          <w:noProof/>
        </w:rPr>
        <w:t xml:space="preserve">. </w:t>
      </w:r>
    </w:p>
    <w:p w14:paraId="0EF55CE1" w14:textId="1C48E198" w:rsidR="00B27788" w:rsidRPr="00B27788" w:rsidRDefault="00B27788" w:rsidP="00B27788">
      <w:pPr>
        <w:pStyle w:val="EndNoteBibliography"/>
        <w:ind w:left="720" w:hanging="720"/>
        <w:rPr>
          <w:noProof/>
        </w:rPr>
      </w:pPr>
      <w:r w:rsidRPr="00B27788">
        <w:rPr>
          <w:noProof/>
        </w:rPr>
        <w:t xml:space="preserve">R Core Team. (2023). R: A Language and Environment for Statistical Computing_. . </w:t>
      </w:r>
      <w:r w:rsidRPr="00B27788">
        <w:rPr>
          <w:i/>
          <w:noProof/>
        </w:rPr>
        <w:t xml:space="preserve">R Foundation for Statistical Computing, Vienna, Austria. </w:t>
      </w:r>
      <w:hyperlink r:id="rId50" w:history="1">
        <w:r w:rsidRPr="00B27788">
          <w:rPr>
            <w:rStyle w:val="Hyperlink"/>
            <w:i/>
            <w:noProof/>
          </w:rPr>
          <w:t>https://www.R-project.org/</w:t>
        </w:r>
      </w:hyperlink>
      <w:r w:rsidRPr="00B27788">
        <w:rPr>
          <w:noProof/>
        </w:rPr>
        <w:t xml:space="preserve">. </w:t>
      </w:r>
    </w:p>
    <w:p w14:paraId="5A3A26E4" w14:textId="1BACC87F" w:rsidR="00B27788" w:rsidRPr="00B27788" w:rsidRDefault="00B27788" w:rsidP="00B27788">
      <w:pPr>
        <w:pStyle w:val="EndNoteBibliography"/>
        <w:ind w:left="720" w:hanging="720"/>
        <w:rPr>
          <w:noProof/>
        </w:rPr>
      </w:pPr>
      <w:r w:rsidRPr="00B27788">
        <w:rPr>
          <w:noProof/>
        </w:rPr>
        <w:t xml:space="preserve">Samuels, J. X. (2009). Cranial morphology and dietary habits of rodents. </w:t>
      </w:r>
      <w:r w:rsidRPr="00B27788">
        <w:rPr>
          <w:i/>
          <w:noProof/>
        </w:rPr>
        <w:t>Zoological Journal of the Linnean Society, 156</w:t>
      </w:r>
      <w:r w:rsidRPr="00B27788">
        <w:rPr>
          <w:noProof/>
        </w:rPr>
        <w:t>(4), 864-888. doi:</w:t>
      </w:r>
      <w:hyperlink r:id="rId51" w:history="1">
        <w:r w:rsidRPr="00B27788">
          <w:rPr>
            <w:rStyle w:val="Hyperlink"/>
            <w:noProof/>
          </w:rPr>
          <w:t>https://doi.org/10.1111/j.1096-3642.2009.00502.x</w:t>
        </w:r>
      </w:hyperlink>
    </w:p>
    <w:p w14:paraId="496BE62E" w14:textId="4C98518F" w:rsidR="00B27788" w:rsidRPr="00B27788" w:rsidRDefault="00B27788" w:rsidP="00B27788">
      <w:pPr>
        <w:pStyle w:val="EndNoteBibliography"/>
        <w:ind w:left="720" w:hanging="720"/>
        <w:rPr>
          <w:noProof/>
        </w:rPr>
      </w:pPr>
      <w:r w:rsidRPr="00B27788">
        <w:rPr>
          <w:noProof/>
        </w:rPr>
        <w:t xml:space="preserve">Sansalone, G., Colangelo, P., Loy, A., Raia, P., Wroe, S., &amp; Piras, P. (2019). Impact of transition to a subterranean lifestyle on morphological disparity and integration in talpid moles (Mammalia, Talpidae). </w:t>
      </w:r>
      <w:r w:rsidRPr="00B27788">
        <w:rPr>
          <w:i/>
          <w:noProof/>
        </w:rPr>
        <w:t>BMC Evolutionary Biology, 19</w:t>
      </w:r>
      <w:r w:rsidRPr="00B27788">
        <w:rPr>
          <w:noProof/>
        </w:rPr>
        <w:t>(1), 179. doi:</w:t>
      </w:r>
      <w:hyperlink r:id="rId52" w:history="1">
        <w:r w:rsidRPr="00B27788">
          <w:rPr>
            <w:rStyle w:val="Hyperlink"/>
            <w:noProof/>
          </w:rPr>
          <w:t>https://doi.org/10.1186/s12862-019-1506-0</w:t>
        </w:r>
      </w:hyperlink>
    </w:p>
    <w:p w14:paraId="7C50E5C6" w14:textId="77777777" w:rsidR="00B27788" w:rsidRPr="00B27788" w:rsidRDefault="00B27788" w:rsidP="00B27788">
      <w:pPr>
        <w:pStyle w:val="EndNoteBibliography"/>
        <w:ind w:left="720" w:hanging="720"/>
        <w:rPr>
          <w:noProof/>
        </w:rPr>
      </w:pPr>
      <w:r w:rsidRPr="00B27788">
        <w:rPr>
          <w:noProof/>
        </w:rPr>
        <w:t xml:space="preserve">Segura, V., Flores, D., &amp; Deferrari, G. (2023). Comparison of skull growth in two ecosystem modifiers: beavers Castor canadensis (Rodentia: Castoridae) and muskrats Ondatra zibethicus (Rodentia: Cricetidae). </w:t>
      </w:r>
      <w:r w:rsidRPr="00B27788">
        <w:rPr>
          <w:i/>
          <w:noProof/>
        </w:rPr>
        <w:t>Zoologischer Anzeiger, 304</w:t>
      </w:r>
      <w:r w:rsidRPr="00B27788">
        <w:rPr>
          <w:noProof/>
        </w:rPr>
        <w:t xml:space="preserve">, 61-72. </w:t>
      </w:r>
    </w:p>
    <w:p w14:paraId="38875373" w14:textId="77777777" w:rsidR="00B27788" w:rsidRPr="00B27788" w:rsidRDefault="00B27788" w:rsidP="00B27788">
      <w:pPr>
        <w:pStyle w:val="EndNoteBibliography"/>
        <w:ind w:left="720" w:hanging="720"/>
        <w:rPr>
          <w:noProof/>
        </w:rPr>
      </w:pPr>
      <w:r w:rsidRPr="00B27788">
        <w:rPr>
          <w:noProof/>
        </w:rPr>
        <w:t xml:space="preserve">Singleton, M. (2005). Functional shape variation in the Cercopithecine masticatory complex. In D. E. Slice (Ed.), </w:t>
      </w:r>
      <w:r w:rsidRPr="00B27788">
        <w:rPr>
          <w:i/>
          <w:noProof/>
        </w:rPr>
        <w:t>Modern Morphometrics in Physical Anthropology</w:t>
      </w:r>
      <w:r w:rsidRPr="00B27788">
        <w:rPr>
          <w:noProof/>
        </w:rPr>
        <w:t xml:space="preserve"> (pp. 319-348). Boston, MA: Springer US.</w:t>
      </w:r>
    </w:p>
    <w:p w14:paraId="77781A1B" w14:textId="2144988E" w:rsidR="00B27788" w:rsidRPr="00B27788" w:rsidRDefault="00B27788" w:rsidP="00B27788">
      <w:pPr>
        <w:pStyle w:val="EndNoteBibliography"/>
        <w:ind w:left="720" w:hanging="720"/>
        <w:rPr>
          <w:noProof/>
        </w:rPr>
      </w:pPr>
      <w:r w:rsidRPr="00B27788">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27788">
        <w:rPr>
          <w:i/>
          <w:noProof/>
        </w:rPr>
        <w:t>Science Advances, 7</w:t>
      </w:r>
      <w:r w:rsidRPr="00B27788">
        <w:rPr>
          <w:noProof/>
        </w:rPr>
        <w:t>(18), eabe2101. doi:</w:t>
      </w:r>
      <w:hyperlink r:id="rId53" w:history="1">
        <w:r w:rsidRPr="00B27788">
          <w:rPr>
            <w:rStyle w:val="Hyperlink"/>
            <w:noProof/>
          </w:rPr>
          <w:t>https://doi.org/10.1126/sciadv.abe2101</w:t>
        </w:r>
      </w:hyperlink>
    </w:p>
    <w:p w14:paraId="0271B31E" w14:textId="175B0843" w:rsidR="00B27788" w:rsidRPr="00B27788" w:rsidRDefault="00B27788" w:rsidP="00B27788">
      <w:pPr>
        <w:pStyle w:val="EndNoteBibliography"/>
        <w:ind w:left="720" w:hanging="720"/>
        <w:rPr>
          <w:noProof/>
        </w:rPr>
      </w:pPr>
      <w:r w:rsidRPr="00B27788">
        <w:rPr>
          <w:noProof/>
        </w:rPr>
        <w:t xml:space="preserve">Smissen, P. J., &amp; Rowe, K. C. (2018). Repeated biome transitions in the evolution of Australian rodents. </w:t>
      </w:r>
      <w:r w:rsidRPr="00B27788">
        <w:rPr>
          <w:i/>
          <w:noProof/>
        </w:rPr>
        <w:t>Molecular Phylogenetics and Evolution, 128</w:t>
      </w:r>
      <w:r w:rsidRPr="00B27788">
        <w:rPr>
          <w:noProof/>
        </w:rPr>
        <w:t>, 182-191. doi:</w:t>
      </w:r>
      <w:hyperlink r:id="rId54" w:history="1">
        <w:r w:rsidRPr="00B27788">
          <w:rPr>
            <w:rStyle w:val="Hyperlink"/>
            <w:noProof/>
          </w:rPr>
          <w:t>https://doi.org/10.1016/j.ympev.2018.07.015</w:t>
        </w:r>
      </w:hyperlink>
    </w:p>
    <w:p w14:paraId="57A5E155" w14:textId="470CC3FE" w:rsidR="00B27788" w:rsidRPr="00B27788" w:rsidRDefault="00B27788" w:rsidP="00B27788">
      <w:pPr>
        <w:pStyle w:val="EndNoteBibliography"/>
        <w:ind w:left="720" w:hanging="720"/>
        <w:rPr>
          <w:noProof/>
        </w:rPr>
      </w:pPr>
      <w:r w:rsidRPr="00B27788">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27788">
        <w:rPr>
          <w:i/>
          <w:noProof/>
        </w:rPr>
        <w:t>Australopithecus africanus</w:t>
      </w:r>
      <w:r w:rsidRPr="00B27788">
        <w:rPr>
          <w:noProof/>
        </w:rPr>
        <w:t xml:space="preserve">. </w:t>
      </w:r>
      <w:r w:rsidRPr="00B27788">
        <w:rPr>
          <w:i/>
          <w:noProof/>
        </w:rPr>
        <w:t>Proceedings of the National Academy of Sciences, 106</w:t>
      </w:r>
      <w:r w:rsidRPr="00B27788">
        <w:rPr>
          <w:noProof/>
        </w:rPr>
        <w:t>(7), 2124-2129. doi:</w:t>
      </w:r>
      <w:hyperlink r:id="rId55" w:history="1">
        <w:r w:rsidRPr="00B27788">
          <w:rPr>
            <w:rStyle w:val="Hyperlink"/>
            <w:noProof/>
          </w:rPr>
          <w:t>https://doi.org/10.1073/pnas.0808730106</w:t>
        </w:r>
      </w:hyperlink>
    </w:p>
    <w:p w14:paraId="58C95B9E" w14:textId="77777777" w:rsidR="00B27788" w:rsidRPr="00B27788" w:rsidRDefault="00B27788" w:rsidP="00B27788">
      <w:pPr>
        <w:pStyle w:val="EndNoteBibliography"/>
        <w:ind w:left="720" w:hanging="720"/>
        <w:rPr>
          <w:noProof/>
        </w:rPr>
      </w:pPr>
      <w:r w:rsidRPr="00B27788">
        <w:rPr>
          <w:noProof/>
        </w:rPr>
        <w:t xml:space="preserve">Van Valkenburgh, B. (1989). Carnivore dental adaptations and diet: A study of trophic diversity within Guilds. In J. L. Gittleman (Ed.), </w:t>
      </w:r>
      <w:r w:rsidRPr="00B27788">
        <w:rPr>
          <w:i/>
          <w:noProof/>
        </w:rPr>
        <w:t>Carnivore Behavior, Ecology, and Evolution</w:t>
      </w:r>
      <w:r w:rsidRPr="00B27788">
        <w:rPr>
          <w:noProof/>
        </w:rPr>
        <w:t xml:space="preserve"> (pp. 410-436). Boston, MA: Springer US.</w:t>
      </w:r>
    </w:p>
    <w:p w14:paraId="1B0E0710" w14:textId="0EF23D7D" w:rsidR="00B27788" w:rsidRPr="00B27788" w:rsidRDefault="00B27788" w:rsidP="00B27788">
      <w:pPr>
        <w:pStyle w:val="EndNoteBibliography"/>
        <w:ind w:left="720" w:hanging="720"/>
        <w:rPr>
          <w:noProof/>
        </w:rPr>
      </w:pPr>
      <w:r w:rsidRPr="00B27788">
        <w:rPr>
          <w:noProof/>
        </w:rPr>
        <w:t xml:space="preserve">Voje, K. L., Hansen, T. F., Egset, C. K., Bolstad, G. H., &amp; Pélabon, C. (2014). Allometric constraints and the evolution of allometry. </w:t>
      </w:r>
      <w:r w:rsidRPr="00B27788">
        <w:rPr>
          <w:i/>
          <w:noProof/>
        </w:rPr>
        <w:t>Evolution, 68</w:t>
      </w:r>
      <w:r w:rsidRPr="00B27788">
        <w:rPr>
          <w:noProof/>
        </w:rPr>
        <w:t>(3), 866-885. doi:</w:t>
      </w:r>
      <w:hyperlink r:id="rId56" w:history="1">
        <w:r w:rsidRPr="00B27788">
          <w:rPr>
            <w:rStyle w:val="Hyperlink"/>
            <w:noProof/>
          </w:rPr>
          <w:t>https://doi.org/10.1111/evo.12312</w:t>
        </w:r>
      </w:hyperlink>
    </w:p>
    <w:p w14:paraId="30D4E856" w14:textId="57C9B0D4" w:rsidR="00B27788" w:rsidRPr="00B27788" w:rsidRDefault="00B27788" w:rsidP="00B27788">
      <w:pPr>
        <w:pStyle w:val="EndNoteBibliography"/>
        <w:ind w:left="720" w:hanging="720"/>
        <w:rPr>
          <w:noProof/>
        </w:rPr>
      </w:pPr>
      <w:r w:rsidRPr="00B27788">
        <w:rPr>
          <w:noProof/>
        </w:rPr>
        <w:lastRenderedPageBreak/>
        <w:t xml:space="preserve">Weisbecker, V., Guillerme, T., Speck, C., Sherratt, E., Abraha, H. M., Sharp, A. C., Terhune, C. E., Collins, S., Johnston, S., &amp; Panagiotopoulou, O. (2019). Individual variation of the masticatory system dominates 3D skull shape in the herbivory-adapted marsupial wombats. </w:t>
      </w:r>
      <w:r w:rsidRPr="00B27788">
        <w:rPr>
          <w:i/>
          <w:noProof/>
        </w:rPr>
        <w:t>Frontiers in Zoology, 16</w:t>
      </w:r>
      <w:r w:rsidRPr="00B27788">
        <w:rPr>
          <w:noProof/>
        </w:rPr>
        <w:t>(1), 41. doi:</w:t>
      </w:r>
      <w:hyperlink r:id="rId57" w:history="1">
        <w:r w:rsidRPr="00B27788">
          <w:rPr>
            <w:rStyle w:val="Hyperlink"/>
            <w:noProof/>
          </w:rPr>
          <w:t>https://doi.org/10.1186/s12983-019-0338-5</w:t>
        </w:r>
      </w:hyperlink>
    </w:p>
    <w:p w14:paraId="2DA72BA6" w14:textId="6137A722" w:rsidR="00B27788" w:rsidRPr="00B27788" w:rsidRDefault="00B27788" w:rsidP="00B27788">
      <w:pPr>
        <w:pStyle w:val="EndNoteBibliography"/>
        <w:ind w:left="720" w:hanging="720"/>
        <w:rPr>
          <w:noProof/>
        </w:rPr>
      </w:pPr>
      <w:r w:rsidRPr="00B27788">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B27788">
        <w:rPr>
          <w:i/>
          <w:noProof/>
        </w:rPr>
        <w:t>Evolution, 75</w:t>
      </w:r>
      <w:r w:rsidRPr="00B27788">
        <w:rPr>
          <w:noProof/>
        </w:rPr>
        <w:t>(3), 625-640. doi:</w:t>
      </w:r>
      <w:hyperlink r:id="rId58" w:history="1">
        <w:r w:rsidRPr="00B27788">
          <w:rPr>
            <w:rStyle w:val="Hyperlink"/>
            <w:noProof/>
          </w:rPr>
          <w:t>https://doi.org/10.1111/evo.14163</w:t>
        </w:r>
      </w:hyperlink>
    </w:p>
    <w:p w14:paraId="24C50841" w14:textId="7C68C0D4" w:rsidR="00B27788" w:rsidRPr="00B27788" w:rsidRDefault="00B27788" w:rsidP="00B27788">
      <w:pPr>
        <w:pStyle w:val="EndNoteBibliography"/>
        <w:ind w:left="720" w:hanging="720"/>
        <w:rPr>
          <w:noProof/>
        </w:rPr>
      </w:pPr>
      <w:r w:rsidRPr="00B27788">
        <w:rPr>
          <w:noProof/>
        </w:rPr>
        <w:t xml:space="preserve">Williams, S. H., Peiffer, E., &amp; Ford, S. (2009). Gape and bite force in the rodents </w:t>
      </w:r>
      <w:r w:rsidRPr="00B27788">
        <w:rPr>
          <w:i/>
          <w:noProof/>
        </w:rPr>
        <w:t>Onychomys leucogaster</w:t>
      </w:r>
      <w:r w:rsidRPr="00B27788">
        <w:rPr>
          <w:noProof/>
        </w:rPr>
        <w:t xml:space="preserve"> and </w:t>
      </w:r>
      <w:r w:rsidRPr="00B27788">
        <w:rPr>
          <w:i/>
          <w:noProof/>
        </w:rPr>
        <w:t>Peromyscus maniculatus</w:t>
      </w:r>
      <w:r w:rsidRPr="00B27788">
        <w:rPr>
          <w:noProof/>
        </w:rPr>
        <w:t xml:space="preserve">: Does jaw-muscle anatomy predict performance? </w:t>
      </w:r>
      <w:r w:rsidRPr="00B27788">
        <w:rPr>
          <w:i/>
          <w:noProof/>
        </w:rPr>
        <w:t>Journal of Morphology, 270</w:t>
      </w:r>
      <w:r w:rsidRPr="00B27788">
        <w:rPr>
          <w:noProof/>
        </w:rPr>
        <w:t>(11), 1338-1347. doi:</w:t>
      </w:r>
      <w:hyperlink r:id="rId59" w:history="1">
        <w:r w:rsidRPr="00B27788">
          <w:rPr>
            <w:rStyle w:val="Hyperlink"/>
            <w:noProof/>
          </w:rPr>
          <w:t>https://doi.org/10.1002/jmor.10761</w:t>
        </w:r>
      </w:hyperlink>
    </w:p>
    <w:p w14:paraId="1880EC06" w14:textId="7BE7B669" w:rsidR="00B27788" w:rsidRPr="00B27788" w:rsidRDefault="00B27788" w:rsidP="00B27788">
      <w:pPr>
        <w:pStyle w:val="EndNoteBibliography"/>
        <w:ind w:left="720" w:hanging="720"/>
        <w:rPr>
          <w:noProof/>
        </w:rPr>
      </w:pPr>
      <w:r w:rsidRPr="00B27788">
        <w:rPr>
          <w:noProof/>
        </w:rPr>
        <w:t xml:space="preserve">Wilson, L. A. B. (2013). Allometric disparity in rodent evolution. </w:t>
      </w:r>
      <w:r w:rsidRPr="00B27788">
        <w:rPr>
          <w:i/>
          <w:noProof/>
        </w:rPr>
        <w:t>Ecology and Evolution, 3</w:t>
      </w:r>
      <w:r w:rsidRPr="00B27788">
        <w:rPr>
          <w:noProof/>
        </w:rPr>
        <w:t>(4), 971-984. doi:</w:t>
      </w:r>
      <w:hyperlink r:id="rId60" w:history="1">
        <w:r w:rsidRPr="00B27788">
          <w:rPr>
            <w:rStyle w:val="Hyperlink"/>
            <w:noProof/>
          </w:rPr>
          <w:t>https://doi.org/10.1002/ece3.521</w:t>
        </w:r>
      </w:hyperlink>
    </w:p>
    <w:p w14:paraId="4A740FE3" w14:textId="1EB9C583" w:rsidR="00B27788" w:rsidRPr="00B27788" w:rsidRDefault="00B27788" w:rsidP="00B27788">
      <w:pPr>
        <w:pStyle w:val="EndNoteBibliography"/>
        <w:ind w:left="720" w:hanging="720"/>
        <w:rPr>
          <w:noProof/>
        </w:rPr>
      </w:pPr>
      <w:r w:rsidRPr="00B27788">
        <w:rPr>
          <w:noProof/>
        </w:rPr>
        <w:t xml:space="preserve">Young, N. M., Linde-Medina, M., Fondon, J. W., Hallgrímsson, B., &amp; Marcucio, R. S. (2017). Craniofacial diversification in the domestic pigeon and the evolution of the avian skull. </w:t>
      </w:r>
      <w:r w:rsidRPr="00B27788">
        <w:rPr>
          <w:i/>
          <w:noProof/>
        </w:rPr>
        <w:t>Nature Ecology &amp; Evolution, 1</w:t>
      </w:r>
      <w:r w:rsidRPr="00B27788">
        <w:rPr>
          <w:noProof/>
        </w:rPr>
        <w:t>(4), 0095. doi:</w:t>
      </w:r>
      <w:hyperlink r:id="rId61" w:history="1">
        <w:r w:rsidRPr="00B27788">
          <w:rPr>
            <w:rStyle w:val="Hyperlink"/>
            <w:noProof/>
          </w:rPr>
          <w:t>https://doi.org/10.1038/s41559-017-0095</w:t>
        </w:r>
      </w:hyperlink>
    </w:p>
    <w:p w14:paraId="586D106C" w14:textId="77777777" w:rsidR="00B27788" w:rsidRPr="00B27788" w:rsidRDefault="00B27788" w:rsidP="00B27788">
      <w:pPr>
        <w:pStyle w:val="EndNoteBibliography"/>
        <w:ind w:left="720" w:hanging="720"/>
        <w:rPr>
          <w:noProof/>
        </w:rPr>
      </w:pPr>
      <w:r w:rsidRPr="00B27788">
        <w:rPr>
          <w:noProof/>
        </w:rPr>
        <w:t xml:space="preserve">Zelditch, M. L., &amp; Swiderski, D. L. (2023). The predictable complexity of evolutionary allometry. </w:t>
      </w:r>
      <w:r w:rsidRPr="00B27788">
        <w:rPr>
          <w:i/>
          <w:noProof/>
        </w:rPr>
        <w:t>Evolutionary Biology, 50</w:t>
      </w:r>
      <w:r w:rsidRPr="00B27788">
        <w:rPr>
          <w:noProof/>
        </w:rPr>
        <w:t xml:space="preserve">(1), 56-77. </w:t>
      </w:r>
    </w:p>
    <w:p w14:paraId="30972CFF" w14:textId="43B3811D"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2"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3"/>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4"/>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D54F21">
      <w:footerReference w:type="default" r:id="rId65"/>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54BFE" w14:textId="77777777" w:rsidR="00D54F21" w:rsidRDefault="00D54F21">
      <w:r>
        <w:separator/>
      </w:r>
    </w:p>
  </w:endnote>
  <w:endnote w:type="continuationSeparator" w:id="0">
    <w:p w14:paraId="528B6247" w14:textId="77777777" w:rsidR="00D54F21" w:rsidRDefault="00D54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42A60" w14:textId="77777777" w:rsidR="00D54F21" w:rsidRDefault="00D54F21">
      <w:r>
        <w:separator/>
      </w:r>
    </w:p>
  </w:footnote>
  <w:footnote w:type="continuationSeparator" w:id="0">
    <w:p w14:paraId="10B0F07F" w14:textId="77777777" w:rsidR="00D54F21" w:rsidRDefault="00D54F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3479C"/>
    <w:rsid w:val="00174EF9"/>
    <w:rsid w:val="0019349F"/>
    <w:rsid w:val="001A1C0F"/>
    <w:rsid w:val="001B3685"/>
    <w:rsid w:val="001D2733"/>
    <w:rsid w:val="001D4B99"/>
    <w:rsid w:val="001D5FD2"/>
    <w:rsid w:val="001D7B39"/>
    <w:rsid w:val="00216AC5"/>
    <w:rsid w:val="002173E8"/>
    <w:rsid w:val="00226921"/>
    <w:rsid w:val="002453A9"/>
    <w:rsid w:val="00245C5E"/>
    <w:rsid w:val="00261883"/>
    <w:rsid w:val="00261ED6"/>
    <w:rsid w:val="00264F04"/>
    <w:rsid w:val="00272C92"/>
    <w:rsid w:val="00297793"/>
    <w:rsid w:val="002A34C7"/>
    <w:rsid w:val="002B000F"/>
    <w:rsid w:val="002E7775"/>
    <w:rsid w:val="002F2D31"/>
    <w:rsid w:val="00305153"/>
    <w:rsid w:val="00323E39"/>
    <w:rsid w:val="003266F8"/>
    <w:rsid w:val="003408C3"/>
    <w:rsid w:val="003455E2"/>
    <w:rsid w:val="00381040"/>
    <w:rsid w:val="003A188B"/>
    <w:rsid w:val="003A5829"/>
    <w:rsid w:val="003B0500"/>
    <w:rsid w:val="003B7E1E"/>
    <w:rsid w:val="003C14C3"/>
    <w:rsid w:val="003C7F90"/>
    <w:rsid w:val="00422522"/>
    <w:rsid w:val="0043398A"/>
    <w:rsid w:val="004550BE"/>
    <w:rsid w:val="00480F1D"/>
    <w:rsid w:val="00481B35"/>
    <w:rsid w:val="00492FE4"/>
    <w:rsid w:val="00493544"/>
    <w:rsid w:val="004C3067"/>
    <w:rsid w:val="004C7554"/>
    <w:rsid w:val="004D0A02"/>
    <w:rsid w:val="004D38FD"/>
    <w:rsid w:val="004F4B48"/>
    <w:rsid w:val="004F5580"/>
    <w:rsid w:val="00533639"/>
    <w:rsid w:val="00564AD8"/>
    <w:rsid w:val="00566919"/>
    <w:rsid w:val="00573D24"/>
    <w:rsid w:val="00581044"/>
    <w:rsid w:val="00582E1F"/>
    <w:rsid w:val="005D14AF"/>
    <w:rsid w:val="005D274C"/>
    <w:rsid w:val="005F5AFC"/>
    <w:rsid w:val="005F6396"/>
    <w:rsid w:val="00601799"/>
    <w:rsid w:val="00602F16"/>
    <w:rsid w:val="00633951"/>
    <w:rsid w:val="00637A4A"/>
    <w:rsid w:val="00640B71"/>
    <w:rsid w:val="006550EF"/>
    <w:rsid w:val="00657980"/>
    <w:rsid w:val="0066115D"/>
    <w:rsid w:val="00680FC6"/>
    <w:rsid w:val="006A14F8"/>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05130"/>
    <w:rsid w:val="00837FC7"/>
    <w:rsid w:val="0087042B"/>
    <w:rsid w:val="008922AE"/>
    <w:rsid w:val="0089641F"/>
    <w:rsid w:val="008B1B35"/>
    <w:rsid w:val="008D0A12"/>
    <w:rsid w:val="008E0A28"/>
    <w:rsid w:val="008F58D9"/>
    <w:rsid w:val="009063D8"/>
    <w:rsid w:val="0090753B"/>
    <w:rsid w:val="009145B2"/>
    <w:rsid w:val="00916840"/>
    <w:rsid w:val="00924ECB"/>
    <w:rsid w:val="00932518"/>
    <w:rsid w:val="00935EFD"/>
    <w:rsid w:val="009502DF"/>
    <w:rsid w:val="00956157"/>
    <w:rsid w:val="00960507"/>
    <w:rsid w:val="0098026F"/>
    <w:rsid w:val="00994273"/>
    <w:rsid w:val="009A4266"/>
    <w:rsid w:val="009A5291"/>
    <w:rsid w:val="009A7581"/>
    <w:rsid w:val="009E41FE"/>
    <w:rsid w:val="009E4BDB"/>
    <w:rsid w:val="00A15124"/>
    <w:rsid w:val="00A24879"/>
    <w:rsid w:val="00A30C95"/>
    <w:rsid w:val="00A40202"/>
    <w:rsid w:val="00A44BA0"/>
    <w:rsid w:val="00A65F2F"/>
    <w:rsid w:val="00A81B39"/>
    <w:rsid w:val="00A859F5"/>
    <w:rsid w:val="00A861D3"/>
    <w:rsid w:val="00A959CF"/>
    <w:rsid w:val="00AA6F15"/>
    <w:rsid w:val="00AB10B4"/>
    <w:rsid w:val="00AE0DCE"/>
    <w:rsid w:val="00AF74E7"/>
    <w:rsid w:val="00B02AC1"/>
    <w:rsid w:val="00B0609F"/>
    <w:rsid w:val="00B1097F"/>
    <w:rsid w:val="00B27788"/>
    <w:rsid w:val="00B4001F"/>
    <w:rsid w:val="00B508B1"/>
    <w:rsid w:val="00BA753C"/>
    <w:rsid w:val="00BD54DD"/>
    <w:rsid w:val="00BE4905"/>
    <w:rsid w:val="00BF36EE"/>
    <w:rsid w:val="00BF6875"/>
    <w:rsid w:val="00C014AE"/>
    <w:rsid w:val="00C20C4B"/>
    <w:rsid w:val="00C248A2"/>
    <w:rsid w:val="00C41EB0"/>
    <w:rsid w:val="00C46768"/>
    <w:rsid w:val="00C62D76"/>
    <w:rsid w:val="00C75404"/>
    <w:rsid w:val="00C77C9D"/>
    <w:rsid w:val="00CA15B6"/>
    <w:rsid w:val="00CD6888"/>
    <w:rsid w:val="00CF662F"/>
    <w:rsid w:val="00D40434"/>
    <w:rsid w:val="00D54F21"/>
    <w:rsid w:val="00D63252"/>
    <w:rsid w:val="00D70DF0"/>
    <w:rsid w:val="00D769D6"/>
    <w:rsid w:val="00D95117"/>
    <w:rsid w:val="00DB09F3"/>
    <w:rsid w:val="00DB1D12"/>
    <w:rsid w:val="00DB4D1C"/>
    <w:rsid w:val="00DB7BF9"/>
    <w:rsid w:val="00DC75D6"/>
    <w:rsid w:val="00DF3B52"/>
    <w:rsid w:val="00E00B56"/>
    <w:rsid w:val="00E00FF4"/>
    <w:rsid w:val="00E2097B"/>
    <w:rsid w:val="00E91143"/>
    <w:rsid w:val="00EC6815"/>
    <w:rsid w:val="00ED28C2"/>
    <w:rsid w:val="00EE6B7A"/>
    <w:rsid w:val="00F02BB5"/>
    <w:rsid w:val="00F1272E"/>
    <w:rsid w:val="00F17323"/>
    <w:rsid w:val="00F372B1"/>
    <w:rsid w:val="00F43948"/>
    <w:rsid w:val="00F54CA6"/>
    <w:rsid w:val="00F560B0"/>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093/sysbio/syt025"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111/j.1558-5646.2010.01025.x" TargetMode="External"/><Relationship Id="rId42" Type="http://schemas.openxmlformats.org/officeDocument/2006/relationships/hyperlink" Target="https://doi.org/10.7717/peerj.5032" TargetMode="External"/><Relationship Id="rId47" Type="http://schemas.openxmlformats.org/officeDocument/2006/relationships/hyperlink" Target="https://doi.org/10.1098/rspb.2018.0845" TargetMode="External"/><Relationship Id="rId50" Type="http://schemas.openxmlformats.org/officeDocument/2006/relationships/hyperlink" Target="https://www.R-project.org/" TargetMode="External"/><Relationship Id="rId55" Type="http://schemas.openxmlformats.org/officeDocument/2006/relationships/hyperlink" Target="https://doi.org/10.1073/pnas.0808730106"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126/science.abm7525" TargetMode="External"/><Relationship Id="rId37" Type="http://schemas.openxmlformats.org/officeDocument/2006/relationships/hyperlink" Target="https://doi.org/10.1093/bioinformatics/btq166" TargetMode="External"/><Relationship Id="rId40" Type="http://schemas.openxmlformats.org/officeDocument/2006/relationships/hyperlink" Target="https://doi.org/10.7717/peerj.2453" TargetMode="External"/><Relationship Id="rId45" Type="http://schemas.openxmlformats.org/officeDocument/2006/relationships/hyperlink" Target="https://doi.org/10.1111/j.0014-3820.2005.tb01049.x" TargetMode="External"/><Relationship Id="rId53" Type="http://schemas.openxmlformats.org/officeDocument/2006/relationships/hyperlink" Target="https://doi.org/10.1126/sciadv.abe2101" TargetMode="External"/><Relationship Id="rId58" Type="http://schemas.openxmlformats.org/officeDocument/2006/relationships/hyperlink" Target="https://doi.org/10.1111/evo.14163"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2/wics.1460" TargetMode="External"/><Relationship Id="rId28" Type="http://schemas.openxmlformats.org/officeDocument/2006/relationships/hyperlink" Target="https://doi.org/10.1002/ece3.2704" TargetMode="External"/><Relationship Id="rId36" Type="http://schemas.openxmlformats.org/officeDocument/2006/relationships/hyperlink" Target="https://doi.org/10.1111/pala.12159" TargetMode="External"/><Relationship Id="rId49" Type="http://schemas.openxmlformats.org/officeDocument/2006/relationships/hyperlink" Target="https://CRAN.R-project.org/package=vegan" TargetMode="External"/><Relationship Id="rId57" Type="http://schemas.openxmlformats.org/officeDocument/2006/relationships/hyperlink" Target="https://doi.org/10.1186/s12983-019-0338-5" TargetMode="External"/><Relationship Id="rId61" Type="http://schemas.openxmlformats.org/officeDocument/2006/relationships/hyperlink" Target="https://doi.org/10.1038/s41559-017-00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086/505758" TargetMode="External"/><Relationship Id="rId44" Type="http://schemas.openxmlformats.org/officeDocument/2006/relationships/hyperlink" Target="https://doi.org/10.1186/s12862-016-0782-1" TargetMode="External"/><Relationship Id="rId52" Type="http://schemas.openxmlformats.org/officeDocument/2006/relationships/hyperlink" Target="https://doi.org/10.1186/s12862-019-1506-0" TargetMode="External"/><Relationship Id="rId60" Type="http://schemas.openxmlformats.org/officeDocument/2006/relationships/hyperlink" Target="https://doi.org/10.1002/ece3.52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002/jmor.20845" TargetMode="External"/><Relationship Id="rId35" Type="http://schemas.openxmlformats.org/officeDocument/2006/relationships/hyperlink" Target="https://doi.org/10.1098/rspb.2020.2085" TargetMode="External"/><Relationship Id="rId43" Type="http://schemas.openxmlformats.org/officeDocument/2006/relationships/hyperlink" Target="https://doi.org/10.1086/711398" TargetMode="External"/><Relationship Id="rId48" Type="http://schemas.openxmlformats.org/officeDocument/2006/relationships/hyperlink" Target="https://doi.org/10.1071/WR97046_CO" TargetMode="External"/><Relationship Id="rId56" Type="http://schemas.openxmlformats.org/officeDocument/2006/relationships/hyperlink" Target="https://doi.org/10.1111/evo.12312" TargetMode="External"/><Relationship Id="rId64"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doi.org/10.1111/j.1096-3642.2009.00502.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5281/zenodo.2620785" TargetMode="External"/><Relationship Id="rId38" Type="http://schemas.openxmlformats.org/officeDocument/2006/relationships/hyperlink" Target="https://doi.org/10.1111/j.1525-142X.2009.00347.x" TargetMode="External"/><Relationship Id="rId46" Type="http://schemas.openxmlformats.org/officeDocument/2006/relationships/hyperlink" Target="https://doi.org/10.1371/journal.pone.0221287" TargetMode="External"/><Relationship Id="rId59" Type="http://schemas.openxmlformats.org/officeDocument/2006/relationships/hyperlink" Target="https://doi.org/10.1002/jmor.10761" TargetMode="External"/><Relationship Id="rId67" Type="http://schemas.openxmlformats.org/officeDocument/2006/relationships/theme" Target="theme/theme1.xml"/><Relationship Id="rId20" Type="http://schemas.openxmlformats.org/officeDocument/2006/relationships/hyperlink" Target="https://doi.org/10.1073/pnas.1602683113" TargetMode="External"/><Relationship Id="rId41" Type="http://schemas.openxmlformats.org/officeDocument/2006/relationships/hyperlink" Target="https://doi.org/10.1111/j.1095-8312.1989.tb00500.x" TargetMode="External"/><Relationship Id="rId54" Type="http://schemas.openxmlformats.org/officeDocument/2006/relationships/hyperlink" Target="https://doi.org/10.1016/j.ympev.2018.07.015" TargetMode="External"/><Relationship Id="rId62" Type="http://schemas.openxmlformats.org/officeDocument/2006/relationships/hyperlink" Target="https://doi.org/10.5281/zenodo.1021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39</Pages>
  <Words>23383</Words>
  <Characters>133288</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84</cp:revision>
  <cp:lastPrinted>2023-10-06T04:59:00Z</cp:lastPrinted>
  <dcterms:created xsi:type="dcterms:W3CDTF">2023-11-21T06:21:00Z</dcterms:created>
  <dcterms:modified xsi:type="dcterms:W3CDTF">2024-03-28T00:04:00Z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