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161CF0F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r w:rsidR="00196A9E">
        <w:rPr>
          <w:vertAlign w:val="superscript"/>
        </w:rPr>
        <w:t>*</w:t>
      </w:r>
    </w:p>
    <w:p w14:paraId="7320DBF5" w14:textId="77777777" w:rsidR="008922AE" w:rsidRDefault="008922AE">
      <w:pPr>
        <w:spacing w:line="480" w:lineRule="auto"/>
      </w:pPr>
    </w:p>
    <w:p w14:paraId="4EA346BB" w14:textId="09E682E3"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sidR="00196A9E">
        <w:rPr>
          <w:rStyle w:val="Hyperlink"/>
        </w:rPr>
        <w:t>vera.weisbecker@flinders.edu.au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8047CBD"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rsidR="00BE1B29">
        <w:t>.</w:t>
      </w:r>
    </w:p>
    <w:p w14:paraId="6263809B" w14:textId="77777777" w:rsidR="00BE1B29" w:rsidRDefault="00BE1B29">
      <w:pPr>
        <w:spacing w:line="480" w:lineRule="auto"/>
      </w:pP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 xml:space="preserve">Independently, the negative scaling of brain and orbit size relative to body mass tends to reduce the relative size of vault and orbital area, potentially increasing the </w:t>
      </w:r>
      <w:r w:rsidR="001D7B39" w:rsidRPr="001D7B39">
        <w:lastRenderedPageBreak/>
        <w:t>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871EF08" w14:textId="77777777" w:rsidR="00BE1B29" w:rsidRDefault="00BE1B29">
      <w:pPr>
        <w:spacing w:line="480" w:lineRule="auto"/>
      </w:pPr>
    </w:p>
    <w:p w14:paraId="06A2ED2B" w14:textId="77777777" w:rsidR="00BE1B29" w:rsidRDefault="00000000">
      <w:pPr>
        <w:spacing w:line="480" w:lineRule="auto"/>
      </w:pPr>
      <w:r>
        <w:t xml:space="preserve">Among mammals, rodent skulls </w:t>
      </w:r>
      <w:r w:rsidR="0053012A">
        <w:t xml:space="preserve">are </w:t>
      </w:r>
      <w:r w:rsidR="00E91143">
        <w:t>among the</w:t>
      </w:r>
      <w:r>
        <w:t xml:space="preserve"> most striking cases of allometry coinciding with a CREA pattern.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rsidR="00807F77">
        <w:t xml:space="preserve">, and finds that radical changes in </w:t>
      </w:r>
      <w:r w:rsidR="0053012A">
        <w:t>shape</w:t>
      </w:r>
      <w:r w:rsidR="00807F77">
        <w:t xml:space="preserve">, such as island gigantism, </w:t>
      </w:r>
      <w:r w:rsidR="0053012A">
        <w:t>are possible within species along the allometric line</w:t>
      </w:r>
      <w:r w:rsidR="00807F77">
        <w:t xml:space="preserve"> </w:t>
      </w:r>
      <w:r w:rsidR="00807F77">
        <w:fldChar w:fldCharType="begin"/>
      </w:r>
      <w:r w:rsidR="00807F77">
        <w:instrText xml:space="preserve"> ADDIN EN.CITE &lt;EndNote&gt;&lt;Cite&gt;&lt;Author&gt;Schlis-Elias&lt;/Author&gt;&lt;Year&gt;2022&lt;/Year&gt;&lt;RecNum&gt;66&lt;/RecNum&gt;&lt;DisplayText&gt;(Schlis-Elias &amp;amp; Malaney, 2022)&lt;/DisplayText&gt;&lt;record&gt;&lt;rec-number&gt;66&lt;/rec-number&gt;&lt;foreign-keys&gt;&lt;key app="EN" db-id="p9vfsf2vj2tvwjevww9pzwfazxfv5txvw5ap" timestamp="1712291413"&gt;66&lt;/key&gt;&lt;/foreign-keys&gt;&lt;ref-type name="Journal Article"&gt;17&lt;/ref-type&gt;&lt;contributors&gt;&lt;authors&gt;&lt;author&gt;Schlis-Elias, Mariah C.&lt;/author&gt;&lt;author&gt;Malaney, Jason L.&lt;/author&gt;&lt;/authors&gt;&lt;/contributors&gt;&lt;titles&gt;&lt;title&gt;Island biogeography predicts skull gigantism and shape variation in meadow voles Microtus pennsylvanicus through ecological release and allometry&lt;/title&gt;&lt;secondary-title&gt;Oikos&lt;/secondary-title&gt;&lt;/titles&gt;&lt;periodical&gt;&lt;full-title&gt;Oikos&lt;/full-title&gt;&lt;/periodical&gt;&lt;pages&gt;e08777&lt;/pages&gt;&lt;volume&gt;2022&lt;/volume&gt;&lt;number&gt;4&lt;/number&gt;&lt;dates&gt;&lt;year&gt;2022&lt;/year&gt;&lt;/dates&gt;&lt;isbn&gt;0030-1299&lt;/isbn&gt;&lt;urls&gt;&lt;related-urls&gt;&lt;url&gt;https://nsojournals.onlinelibrary.wiley.com/doi/abs/10.1111/oik.08777&lt;/url&gt;&lt;/related-urls&gt;&lt;/urls&gt;&lt;electronic-resource-num&gt;https://doi.org/10.1111/oik.08777&lt;/electronic-resource-num&gt;&lt;/record&gt;&lt;/Cite&gt;&lt;/EndNote&gt;</w:instrText>
      </w:r>
      <w:r w:rsidR="00807F77">
        <w:fldChar w:fldCharType="separate"/>
      </w:r>
      <w:r w:rsidR="00807F77">
        <w:rPr>
          <w:noProof/>
        </w:rPr>
        <w:t>(Schlis-Elias &amp; Malaney, 2022)</w:t>
      </w:r>
      <w:r w:rsidR="00807F77">
        <w:fldChar w:fldCharType="end"/>
      </w:r>
      <w:r>
        <w:t>.</w:t>
      </w:r>
    </w:p>
    <w:p w14:paraId="0E6A0A13" w14:textId="77777777" w:rsidR="00BE1B29" w:rsidRDefault="00BE1B29">
      <w:pPr>
        <w:spacing w:line="480" w:lineRule="auto"/>
      </w:pPr>
    </w:p>
    <w:p w14:paraId="30B0037C" w14:textId="4B4CAFA0" w:rsidR="00163C9C" w:rsidRDefault="00000000" w:rsidP="00163C9C">
      <w:pPr>
        <w:spacing w:line="480" w:lineRule="auto"/>
      </w:pPr>
      <w:r>
        <w:t xml:space="preserve">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w:t>
      </w:r>
      <w:r w:rsidR="00163C9C">
        <w:lastRenderedPageBreak/>
        <w:t>departed most</w:t>
      </w:r>
      <w:r>
        <w:t xml:space="preserve"> from the common evolutionary allometric pattern tended to be ecological specialists with distinct diets and locomotor modes. </w:t>
      </w:r>
      <w:r w:rsidR="00163C9C">
        <w:t xml:space="preserve">This is consistent with Mitchell et al.’s </w:t>
      </w:r>
      <w:r w:rsidR="00163C9C">
        <w:fldChar w:fldCharType="begin"/>
      </w:r>
      <w:r w:rsidR="00163C9C">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63C9C">
        <w:fldChar w:fldCharType="separate"/>
      </w:r>
      <w:r w:rsidR="00163C9C">
        <w:rPr>
          <w:noProof/>
        </w:rPr>
        <w:t>(2024)</w:t>
      </w:r>
      <w:r w:rsidR="00163C9C">
        <w:fldChar w:fldCharType="end"/>
      </w:r>
      <w:r w:rsidR="00163C9C">
        <w:t xml:space="preserve"> hypothesis that CREA </w:t>
      </w:r>
      <w:r w:rsidR="009D6B1F">
        <w:t xml:space="preserve">patterns can be “interrupted” </w:t>
      </w:r>
      <w:r w:rsidR="00163C9C">
        <w:t>by abrupt shifts in dietary hardness, and also highlights that variation beyond allometric scaling is an important part of investigation.</w:t>
      </w:r>
    </w:p>
    <w:p w14:paraId="1F734713" w14:textId="7B8D688A" w:rsidR="0014692A" w:rsidRPr="004D6CED" w:rsidRDefault="00163C9C">
      <w:pPr>
        <w:spacing w:line="480" w:lineRule="auto"/>
        <w:rPr>
          <w:i/>
          <w:iCs/>
        </w:rPr>
      </w:pPr>
      <w:r>
        <w:t>Examples</w:t>
      </w:r>
      <w:r w:rsidR="0014692A">
        <w:t xml:space="preserve"> include the specialized </w:t>
      </w:r>
      <w:r w:rsidR="0014692A">
        <w:rPr>
          <w:i/>
          <w:iCs/>
        </w:rPr>
        <w:t>Mastacomys fuscus</w:t>
      </w:r>
      <w:r w:rsidR="0014692A">
        <w:t xml:space="preserve">, whose diet nearly entirely consists of grass </w:t>
      </w:r>
      <w:r w:rsidR="0014692A">
        <w:fldChar w:fldCharType="begin"/>
      </w:r>
      <w:r w:rsidR="0014692A">
        <w:instrText xml:space="preserve"> ADDIN EN.CITE &lt;EndNote&gt;&lt;Cite&gt;&lt;Author&gt;Calaby&lt;/Author&gt;&lt;Year&gt;1964&lt;/Year&gt;&lt;RecNum&gt;69&lt;/RecNum&gt;&lt;DisplayText&gt;(Calaby &amp;amp; Wimbush, 1964; Green&lt;style face="italic"&gt; et al.&lt;/style&gt;, 2014)&lt;/DisplayText&gt;&lt;record&gt;&lt;rec-number&gt;69&lt;/rec-number&gt;&lt;foreign-keys&gt;&lt;key app="EN" db-id="p9vfsf2vj2tvwjevww9pzwfazxfv5txvw5ap" timestamp="1712300070"&gt;69&lt;/key&gt;&lt;/foreign-keys&gt;&lt;ref-type name="Journal Article"&gt;17&lt;/ref-type&gt;&lt;contributors&gt;&lt;authors&gt;&lt;author&gt;Calaby, JH&lt;/author&gt;&lt;author&gt;Wimbush, DJ&lt;/author&gt;&lt;/authors&gt;&lt;/contributors&gt;&lt;titles&gt;&lt;title&gt;Observations on the broad-toothed rat, Mastacomys fuscus Thomas&lt;/title&gt;&lt;secondary-title&gt;CSIRO Wildlife Research&lt;/secondary-title&gt;&lt;/titles&gt;&lt;periodical&gt;&lt;full-title&gt;CSIRO Wildlife Research&lt;/full-title&gt;&lt;/periodical&gt;&lt;pages&gt;123-133&lt;/pages&gt;&lt;volume&gt;9&lt;/volume&gt;&lt;number&gt;2&lt;/number&gt;&lt;dates&gt;&lt;year&gt;1964&lt;/year&gt;&lt;/dates&gt;&lt;urls&gt;&lt;/urls&gt;&lt;/record&gt;&lt;/Cite&gt;&lt;Cite&gt;&lt;Author&gt;Green&lt;/Author&gt;&lt;Year&gt;2014&lt;/Year&gt;&lt;RecNum&gt;70&lt;/RecNum&gt;&lt;record&gt;&lt;rec-number&gt;70&lt;/rec-number&gt;&lt;foreign-keys&gt;&lt;key app="EN" db-id="p9vfsf2vj2tvwjevww9pzwfazxfv5txvw5ap" timestamp="1712300242"&gt;70&lt;/key&gt;&lt;/foreign-keys&gt;&lt;ref-type name="Journal Article"&gt;17&lt;/ref-type&gt;&lt;contributors&gt;&lt;authors&gt;&lt;author&gt;Green, K&lt;/author&gt;&lt;author&gt;Davis, NE&lt;/author&gt;&lt;author&gt;Robinson, WA&lt;/author&gt;&lt;/authors&gt;&lt;/contributors&gt;&lt;titles&gt;&lt;title&gt;Diet of the Broad-toothed Rat Mastacomys fuscus (Rodentia:Muridae) in the alpine zone of the Snowy Mountains, Australia&lt;/title&gt;&lt;secondary-title&gt;Australian Zoologist&lt;/secondary-title&gt;&lt;/titles&gt;&lt;periodical&gt;&lt;full-title&gt;Australian Zoologist&lt;/full-title&gt;&lt;/periodical&gt;&lt;pages&gt;225-233&lt;/pages&gt;&lt;volume&gt;37&lt;/volume&gt;&lt;number&gt;2&lt;/number&gt;&lt;dates&gt;&lt;year&gt;2014&lt;/year&gt;&lt;/dates&gt;&lt;isbn&gt;0067-2238&lt;/isbn&gt;&lt;urls&gt;&lt;related-urls&gt;&lt;url&gt;https://doi.org/10.7882/AZ.2014.023&lt;/url&gt;&lt;/related-urls&gt;&lt;/urls&gt;&lt;electronic-resource-num&gt;10.7882/az.2014.023&lt;/electronic-resource-num&gt;&lt;access-date&gt;4/5/2024&lt;/access-date&gt;&lt;/record&gt;&lt;/Cite&gt;&lt;/EndNote&gt;</w:instrText>
      </w:r>
      <w:r w:rsidR="0014692A">
        <w:fldChar w:fldCharType="separate"/>
      </w:r>
      <w:r w:rsidR="0014692A">
        <w:rPr>
          <w:noProof/>
        </w:rPr>
        <w:t>(Calaby &amp; Wimbush, 1964; Green</w:t>
      </w:r>
      <w:r w:rsidR="0014692A" w:rsidRPr="0014692A">
        <w:rPr>
          <w:i/>
          <w:noProof/>
        </w:rPr>
        <w:t xml:space="preserve"> et al.</w:t>
      </w:r>
      <w:r w:rsidR="0014692A">
        <w:rPr>
          <w:noProof/>
        </w:rPr>
        <w:t>, 2014)</w:t>
      </w:r>
      <w:r w:rsidR="0014692A">
        <w:fldChar w:fldCharType="end"/>
      </w:r>
      <w:r w:rsidR="0014692A">
        <w:t xml:space="preserve"> which is highly abrasive to dentition  </w:t>
      </w:r>
      <w:r w:rsidR="0014692A">
        <w:fldChar w:fldCharType="begin"/>
      </w:r>
      <w:r w:rsidR="00F72D9A">
        <w:instrText xml:space="preserve"> ADDIN EN.CITE &lt;EndNote&gt;&lt;Cite&gt;&lt;Author&gt;Winkler&lt;/Author&gt;&lt;Year&gt;2019&lt;/Year&gt;&lt;RecNum&gt;71&lt;/RecNum&gt;&lt;Prefix&gt;e.g. &lt;/Prefix&gt;&lt;DisplayText&gt;(e.g. Winkler&lt;style face="italic"&gt; et al.&lt;/style&gt;, 2019)&lt;/DisplayText&gt;&lt;record&gt;&lt;rec-number&gt;71&lt;/rec-number&gt;&lt;foreign-keys&gt;&lt;key app="EN" db-id="p9vfsf2vj2tvwjevww9pzwfazxfv5txvw5ap" timestamp="1712300668"&gt;71&lt;/key&gt;&lt;/foreign-keys&gt;&lt;ref-type name="Journal Article"&gt;17&lt;/ref-type&gt;&lt;contributors&gt;&lt;authors&gt;&lt;author&gt;Winkler, Daniela E.&lt;/author&gt;&lt;author&gt;Schulz-Kornas, Ellen&lt;/author&gt;&lt;author&gt;Kaiser, Thomas M.&lt;/author&gt;&lt;author&gt;De Cuyper, Annelies&lt;/author&gt;&lt;author&gt;Clauss, Marcus&lt;/author&gt;&lt;author&gt;Tütken, Thomas&lt;/author&gt;&lt;/authors&gt;&lt;/contributors&gt;&lt;titles&gt;&lt;title&gt;Forage silica and water content control dental surface texture in guinea pigs and provide implications for dietary reconstruction&lt;/title&gt;&lt;secondary-title&gt;Proceedings of the National Academy of Sciences&lt;/secondary-title&gt;&lt;/titles&gt;&lt;periodical&gt;&lt;full-title&gt;Proceedings of the National Academy of Sciences&lt;/full-title&gt;&lt;/periodical&gt;&lt;pages&gt;1325-1330&lt;/pages&gt;&lt;volume&gt;116&lt;/volume&gt;&lt;number&gt;4&lt;/number&gt;&lt;dates&gt;&lt;year&gt;2019&lt;/year&gt;&lt;/dates&gt;&lt;urls&gt;&lt;related-urls&gt;&lt;url&gt;https://www.pnas.org/doi/abs/10.1073/pnas.1814081116&lt;/url&gt;&lt;/related-urls&gt;&lt;/urls&gt;&lt;electronic-resource-num&gt;doi:10.1073/pnas.1814081116&lt;/electronic-resource-num&gt;&lt;/record&gt;&lt;/Cite&gt;&lt;/EndNote&gt;</w:instrText>
      </w:r>
      <w:r w:rsidR="0014692A">
        <w:fldChar w:fldCharType="separate"/>
      </w:r>
      <w:r w:rsidR="00F72D9A">
        <w:rPr>
          <w:noProof/>
        </w:rPr>
        <w:t>(e.g. Winkler</w:t>
      </w:r>
      <w:r w:rsidR="00F72D9A" w:rsidRPr="00F72D9A">
        <w:rPr>
          <w:i/>
          <w:noProof/>
        </w:rPr>
        <w:t xml:space="preserve"> et al.</w:t>
      </w:r>
      <w:r w:rsidR="00F72D9A">
        <w:rPr>
          <w:noProof/>
        </w:rPr>
        <w:t>, 2019)</w:t>
      </w:r>
      <w:r w:rsidR="0014692A">
        <w:fldChar w:fldCharType="end"/>
      </w:r>
      <w:r w:rsidR="00BE1B29">
        <w:t xml:space="preserve">. Another deviation from the common allometric line is seen in the two carnivorous </w:t>
      </w:r>
      <w:r>
        <w:t>sister species</w:t>
      </w:r>
      <w:r w:rsidR="00BE1B29">
        <w:t xml:space="preserve">, the Rakali </w:t>
      </w:r>
      <w:r w:rsidR="00BE1B29">
        <w:rPr>
          <w:i/>
          <w:iCs/>
        </w:rPr>
        <w:t>Hydromys chrysogaster</w:t>
      </w:r>
      <w:r>
        <w:t xml:space="preserve"> and water mouse </w:t>
      </w:r>
      <w:r>
        <w:rPr>
          <w:i/>
          <w:iCs/>
        </w:rPr>
        <w:t xml:space="preserve">Xeromys myoides, </w:t>
      </w:r>
      <w:r>
        <w:t>and</w:t>
      </w:r>
      <w:r w:rsidR="00BE1B29">
        <w:t xml:space="preserve"> a group of ecological specialists with distinct non-diet related locomotor modes, the hopping mice </w:t>
      </w:r>
      <w:r w:rsidR="00BE1B29">
        <w:rPr>
          <w:i/>
        </w:rPr>
        <w:t>(Notomys</w:t>
      </w:r>
      <w:r w:rsidR="00BE1B29">
        <w:t>) and the rabbit-rat (</w:t>
      </w:r>
      <w:r w:rsidR="00BE1B29">
        <w:rPr>
          <w:i/>
        </w:rPr>
        <w:t>Conilurus penicillatus</w:t>
      </w:r>
      <w:r w:rsidR="00BE1B29">
        <w:t xml:space="preserve">). </w:t>
      </w:r>
      <w:r>
        <w:t>The hopping mice are</w:t>
      </w:r>
      <w:r w:rsidR="00BE1B29">
        <w:t xml:space="preserve"> of interest because of their conspicuous “facial tilt” of the anterior cranium, an adaptation resulting in an expansion of their field of view while hopping or bounding </w:t>
      </w:r>
      <w:r w:rsidR="00BE1B29">
        <w:fldChar w:fldCharType="begin"/>
      </w:r>
      <w:r w:rsidR="00BE1B29">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BE1B29">
        <w:fldChar w:fldCharType="separate"/>
      </w:r>
      <w:r w:rsidR="00BE1B29">
        <w:rPr>
          <w:noProof/>
        </w:rPr>
        <w:t>(Kraatz &amp; Sherratt, 2016)</w:t>
      </w:r>
      <w:r w:rsidR="00BE1B29">
        <w:fldChar w:fldCharType="end"/>
      </w:r>
      <w:r w:rsidR="00BE1B29">
        <w:t>. This makes them intriguing cases to examine in the allometry-free morphospace, as their rostral shapes may depend on the degree to which the facial tilt is independent from CREA.</w:t>
      </w:r>
    </w:p>
    <w:p w14:paraId="369B92B6" w14:textId="68788579" w:rsidR="000650EE" w:rsidRDefault="00000000" w:rsidP="00163C9C">
      <w:pPr>
        <w:spacing w:line="480" w:lineRule="auto"/>
        <w:ind w:firstLine="720"/>
      </w:pPr>
      <w:r>
        <w:t xml:space="preserve">The rodent sample </w:t>
      </w:r>
      <w:r w:rsidR="00163C9C">
        <w:t>of</w:t>
      </w:r>
      <w:r>
        <w:t xml:space="preserv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w:t>
      </w:r>
      <w:r w:rsidR="00163C9C">
        <w:t xml:space="preserve"> (via analysis of residuals from regressions of shape against size),</w:t>
      </w:r>
      <w:r>
        <w:t xml:space="preserve"> because it </w:t>
      </w:r>
      <w:r w:rsidR="00163C9C">
        <w:t>includes a predominance of</w:t>
      </w:r>
      <w:r>
        <w:t xml:space="preserve"> allometrically highly uniform species with clear deviations from the common pattern. </w:t>
      </w:r>
      <w:r w:rsidR="00163C9C">
        <w:t xml:space="preserve">For example, it allows us to test </w:t>
      </w:r>
      <w:r w:rsidR="00163C9C" w:rsidRPr="00163C9C">
        <w:t xml:space="preserve">if </w:t>
      </w:r>
      <w:r w:rsidR="000650EE" w:rsidRPr="00163C9C">
        <w:t>diversification of rodent crania is bounded by functional allometric constraints, whereby each size has a shape optimum</w:t>
      </w:r>
      <w:r w:rsidR="00163C9C" w:rsidRPr="00163C9C">
        <w:t xml:space="preserve">. In this case, </w:t>
      </w:r>
      <w:r w:rsidR="000650EE" w:rsidRPr="00163C9C">
        <w:t>we should expect to see an Ornstein-Uhlenbeck pattern of shape divergence through tim</w:t>
      </w:r>
      <w:r w:rsidR="00AE0DCE" w:rsidRPr="00163C9C">
        <w:t>e</w:t>
      </w:r>
      <w:r w:rsidR="000650EE" w:rsidRPr="00163C9C">
        <w:t xml:space="preserve">. We would also expect the morphological distances among species to be associated with the evolution of optimal shapes within the samples’ maximum size range.  By contrast, if the allometry-free shape variation relates to the capacity of the cranium to diverge </w:t>
      </w:r>
      <w:r w:rsidR="000650EE" w:rsidRPr="00163C9C">
        <w:lastRenderedPageBreak/>
        <w:t xml:space="preserve">independently of allometry, </w:t>
      </w:r>
      <w:r w:rsidR="00163C9C" w:rsidRPr="00163C9C">
        <w:t xml:space="preserve">and without much functional constraint, </w:t>
      </w:r>
      <w:r w:rsidR="000650EE" w:rsidRPr="00163C9C">
        <w:t xml:space="preserve">we would expect </w:t>
      </w:r>
      <w:r w:rsidR="00163C9C" w:rsidRPr="00163C9C">
        <w:t>a Brownian-motion process and find t</w:t>
      </w:r>
      <w:r w:rsidR="000650EE" w:rsidRPr="00163C9C">
        <w:t xml:space="preserve">he </w:t>
      </w:r>
      <w:r w:rsidR="00163C9C" w:rsidRPr="00163C9C">
        <w:t>greatest</w:t>
      </w:r>
      <w:r w:rsidR="000650EE" w:rsidRPr="00163C9C">
        <w:t xml:space="preserve"> morphological distances </w:t>
      </w:r>
      <w:r w:rsidR="009D6B1F">
        <w:t xml:space="preserve">– and differentiation in shape - </w:t>
      </w:r>
      <w:r w:rsidR="000650EE" w:rsidRPr="00163C9C">
        <w:t>between species that have ecological specializations with divergent functional requirements.</w:t>
      </w:r>
      <w:r w:rsidR="009D6B1F">
        <w:t xml:space="preserve"> This effect should </w:t>
      </w:r>
      <w:r w:rsidR="005B181F">
        <w:t xml:space="preserve">also </w:t>
      </w:r>
      <w:r w:rsidR="009D6B1F">
        <w:t>be visible in ordinations of shape, both in terms of the distribution of species in Principal Components morphospaces and the shape variation associated with this distribution.</w:t>
      </w:r>
    </w:p>
    <w:p w14:paraId="33BB3AB6" w14:textId="77777777" w:rsidR="008922AE" w:rsidRDefault="008922AE">
      <w:pPr>
        <w:spacing w:line="480" w:lineRule="auto"/>
      </w:pPr>
    </w:p>
    <w:p w14:paraId="2EFCC6FF" w14:textId="30E62F0E" w:rsidR="00B43042" w:rsidRDefault="00D2526B" w:rsidP="00B43042">
      <w:pPr>
        <w:spacing w:line="480" w:lineRule="auto"/>
      </w:pPr>
      <w:r>
        <w:t xml:space="preserve">In addition, the biomechanical processes leading to CREA are expected to be reflected in high </w:t>
      </w:r>
      <w:r w:rsidR="00CC6B57">
        <w:t xml:space="preserve">allometry and high </w:t>
      </w:r>
      <w:r w:rsidR="00B43042">
        <w:t>levels of co-variation</w:t>
      </w:r>
      <w:r>
        <w:t xml:space="preserve"> </w:t>
      </w:r>
      <w:r w:rsidR="00CC6B57">
        <w:t>in cranial areas that are expected to vary most under CREA</w:t>
      </w:r>
      <w:r>
        <w:t xml:space="preserve"> – the rostrum, cranial vault, and potentially orbital region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D2526B">
        <w:rPr>
          <w:i/>
          <w:noProof/>
        </w:rPr>
        <w:t xml:space="preserve"> et al.</w:t>
      </w:r>
      <w:r>
        <w:rPr>
          <w:noProof/>
        </w:rPr>
        <w:t>, 2024)</w:t>
      </w:r>
      <w:r>
        <w:fldChar w:fldCharType="end"/>
      </w:r>
      <w:r>
        <w:t>. By contrast, selection on functions that result in shape variation independent of CREA is expected to be more apparent in some parts of the skull but not others</w:t>
      </w:r>
      <w:r w:rsidR="00B43042">
        <w:t xml:space="preserve"> depending on cranial function</w:t>
      </w:r>
      <w:r>
        <w:t xml:space="preserve"> (e.g. the maxillary region of carnivorous species; the back of the skull in hopping or bounding species). A key question is therefore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w:t>
      </w:r>
      <w:bookmarkEnd w:id="3"/>
      <w:r w:rsidR="00B43042">
        <w:t>selection that is unrelated to CREA</w:t>
      </w:r>
      <w:r>
        <w:t xml:space="preserve">. </w:t>
      </w:r>
    </w:p>
    <w:p w14:paraId="646A7B03" w14:textId="77777777" w:rsidR="00B43042" w:rsidRDefault="00B43042" w:rsidP="00B43042">
      <w:pPr>
        <w:spacing w:line="480" w:lineRule="auto"/>
      </w:pPr>
    </w:p>
    <w:p w14:paraId="071B35E2" w14:textId="5FEB4FA0" w:rsidR="007F4F9A" w:rsidRDefault="00B43042" w:rsidP="00B43042">
      <w:pPr>
        <w:spacing w:line="480" w:lineRule="auto"/>
      </w:pPr>
      <w:r>
        <w:t xml:space="preserve">Our above predictions can be tested through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w:t>
      </w:r>
      <w:r>
        <w:t xml:space="preserve">Strong allometry in the </w:t>
      </w:r>
      <w:r>
        <w:lastRenderedPageBreak/>
        <w:t xml:space="preserve">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xml:space="preserve">, </w:t>
      </w:r>
      <w:r>
        <w:t xml:space="preserve">so that the integration between modules (i.e. their co-variance)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w:t>
      </w:r>
      <w:r>
        <w:t xml:space="preserve">is expected to be higher and </w:t>
      </w:r>
      <w:r w:rsidR="00ED28C2">
        <w:t>and modularity (i.e. independence of modules from each other)</w:t>
      </w:r>
      <w:r>
        <w:t xml:space="preserve"> potentially lower in datasets with shape information contained. </w:t>
      </w:r>
      <w:r w:rsidR="00ED28C2">
        <w:t xml:space="preserve">Integration should </w:t>
      </w:r>
      <w:r>
        <w:t xml:space="preserve">also </w:t>
      </w:r>
      <w:r w:rsidR="00ED28C2">
        <w:t xml:space="preserve">be strongest between those modules identified as affected by CREA, including the rostrum, vault, and potentially orbital region. </w:t>
      </w:r>
      <w:r w:rsidR="007F4F9A">
        <w:t xml:space="preserve">Removing the effects of size from the shape variation </w:t>
      </w:r>
      <w:r w:rsidR="00FB409C">
        <w:t xml:space="preserve">by analysing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605E6FD0" w14:textId="45D58C10" w:rsidR="000B302A" w:rsidRDefault="00000000">
      <w:pPr>
        <w:spacing w:line="480" w:lineRule="auto"/>
      </w:pPr>
      <w:r>
        <w:t xml:space="preserve">In this study, we test </w:t>
      </w:r>
      <w:r w:rsidR="00F6298A">
        <w:t>the</w:t>
      </w:r>
      <w:r>
        <w:t xml:space="preserve"> expectations</w:t>
      </w:r>
      <w:r w:rsidR="000B302A">
        <w:t xml:space="preserve"> outlined above</w:t>
      </w:r>
      <w:r>
        <w:t xml:space="preserve">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w:t>
      </w:r>
      <w:r w:rsidR="000B302A">
        <w:t xml:space="preserve">. Contrasting the shape variation of the dataset with allometry-free residual shape data, we characterize the mode of evolution, ordinated morphospace distribution, integration and modularity in the whole cranium and its modules. </w:t>
      </w:r>
      <w:r w:rsidR="000B302A" w:rsidRPr="00D0603F">
        <w:rPr>
          <w:highlight w:val="yellow"/>
        </w:rPr>
        <w:t xml:space="preserve">This provides the first investigation targeting </w:t>
      </w:r>
      <w:r w:rsidR="001D75A2" w:rsidRPr="00D0603F">
        <w:rPr>
          <w:highlight w:val="yellow"/>
        </w:rPr>
        <w:t>the</w:t>
      </w:r>
      <w:r w:rsidR="000B302A" w:rsidRPr="00D0603F">
        <w:rPr>
          <w:highlight w:val="yellow"/>
        </w:rPr>
        <w:t xml:space="preserve"> interpretation of shape variation after allometry removal, which serves to test the predominance of biomechanical drivers of mammalian cranial shape variation.</w:t>
      </w:r>
      <w:r w:rsidR="000B302A">
        <w:t xml:space="preserve"> </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76D45545" w:rsidR="008922AE" w:rsidRPr="00A861D3" w:rsidRDefault="00000000"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w:t>
      </w:r>
      <w:r w:rsidR="00F6298A">
        <w:t xml:space="preserve"> The species included </w:t>
      </w:r>
      <w:r w:rsidR="009E41FE">
        <w:t xml:space="preserve">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r w:rsidR="0066115D" w:rsidRPr="0066115D">
        <w:rPr>
          <w:i/>
          <w:iCs/>
        </w:rPr>
        <w:t>mvMORPH</w:t>
      </w:r>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28F391D6" w14:textId="28DEF518" w:rsidR="00C8529A"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gls models of allometry under the three evolutionary </w:t>
      </w:r>
      <w:r w:rsidR="00E00FF4">
        <w:lastRenderedPageBreak/>
        <w:t>scenarios to find out which evolutionary mode fits the evolution of allometry best</w:t>
      </w:r>
      <w:r w:rsidR="00411130">
        <w:t xml:space="preserve">, and additionally the most likely mode of evolution of 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r w:rsidR="00C8529A">
        <w:rPr>
          <w:i/>
          <w:iCs/>
        </w:rPr>
        <w:t>Phytools</w:t>
      </w:r>
      <w:r w:rsidR="00C8529A">
        <w:t xml:space="preserve"> package. Note that the probabilities from </w:t>
      </w:r>
      <w:r w:rsidR="00C8529A">
        <w:rPr>
          <w:i/>
          <w:iCs/>
        </w:rPr>
        <w:t>Phytools</w:t>
      </w:r>
      <w:r w:rsidR="00C8529A">
        <w:t xml:space="preserve"> are given as Akaike Information Criterion (AIC), which are a special case of and similar to the GICs given by the mvMORPH package </w:t>
      </w:r>
      <w:r w:rsidR="00C8529A">
        <w:fldChar w:fldCharType="begin"/>
      </w:r>
      <w:r w:rsidR="00C8529A">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C8529A">
        <w:fldChar w:fldCharType="separate"/>
      </w:r>
      <w:r w:rsidR="00C8529A">
        <w:rPr>
          <w:noProof/>
        </w:rPr>
        <w:t>(Cavanaugh &amp; Neath, 2019)</w:t>
      </w:r>
      <w:r w:rsidR="00C8529A">
        <w:fldChar w:fldCharType="end"/>
      </w:r>
      <w:r w:rsidR="00C8529A">
        <w:t>.</w:t>
      </w:r>
    </w:p>
    <w:p w14:paraId="7B2611A5" w14:textId="4B9832BA" w:rsidR="00E00FF4" w:rsidRPr="00B0609F" w:rsidRDefault="004550BE" w:rsidP="00C8529A">
      <w:pPr>
        <w:spacing w:line="480" w:lineRule="auto"/>
        <w:ind w:firstLine="720"/>
      </w:pPr>
      <w:r>
        <w:t xml:space="preserve">Note that estimates of evolutionary mode are unlikely to be very robust because our samples size is relatively small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4550BE">
        <w:rPr>
          <w:i/>
          <w:noProof/>
        </w:rPr>
        <w:t xml:space="preserve"> et al.</w:t>
      </w:r>
      <w:r>
        <w:rPr>
          <w:noProof/>
        </w:rPr>
        <w:t>, 2016)</w:t>
      </w:r>
      <w:r>
        <w:fldChar w:fldCharType="end"/>
      </w:r>
      <w:r>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r w:rsidR="00837FC7">
        <w:t>.</w:t>
      </w:r>
      <w:r w:rsidR="00B0609F">
        <w:t xml:space="preserve"> </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r>
        <w:rPr>
          <w:highlight w:val="white"/>
        </w:rPr>
        <w:t>Visualising shape evolution</w:t>
      </w:r>
    </w:p>
    <w:p w14:paraId="39969688" w14:textId="77777777" w:rsidR="007F54EC" w:rsidRDefault="007F54EC" w:rsidP="007F54EC">
      <w:pPr>
        <w:spacing w:line="480" w:lineRule="auto"/>
        <w:rPr>
          <w:highlight w:val="white"/>
        </w:rPr>
      </w:pPr>
    </w:p>
    <w:p w14:paraId="5A12D0A3" w14:textId="4357981E" w:rsidR="00E00FF4" w:rsidRDefault="000E7AF4" w:rsidP="007F54EC">
      <w:pPr>
        <w:spacing w:line="480" w:lineRule="auto"/>
      </w:pPr>
      <w:r>
        <w:rPr>
          <w:highlight w:val="white"/>
        </w:rPr>
        <w:t>As noted above, the sample size available to us (n=37 species) makes estimations of evolutionary modes potentially unreliable. For a more direct visualization, we therefore also plotted</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r w:rsidR="007F54EC">
        <w:rPr>
          <w:i/>
          <w:highlight w:val="white"/>
        </w:rPr>
        <w:t>cophenic</w:t>
      </w:r>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ultrametric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w:t>
      </w:r>
      <w:r w:rsidR="007F54EC">
        <w:rPr>
          <w:highlight w:val="white"/>
        </w:rPr>
        <w:lastRenderedPageBreak/>
        <w:t xml:space="preserve">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rsidR="007F54EC">
        <w:t>We expected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w:t>
      </w:r>
      <w:r>
        <w:rPr>
          <w:highlight w:val="white"/>
        </w:rPr>
        <w:lastRenderedPageBreak/>
        <w:t xml:space="preserve">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05A1829A" w:rsidR="008922AE" w:rsidRDefault="00FC4A4E">
      <w:pPr>
        <w:pStyle w:val="Heading3"/>
        <w:numPr>
          <w:ilvl w:val="6"/>
          <w:numId w:val="2"/>
        </w:numPr>
        <w:spacing w:line="480" w:lineRule="auto"/>
        <w:rPr>
          <w:highlight w:val="white"/>
        </w:rPr>
      </w:pPr>
      <w:r>
        <w:rPr>
          <w:highlight w:val="white"/>
        </w:rPr>
        <w:t>Allometry, m</w:t>
      </w:r>
      <w:r w:rsidR="00000000">
        <w:rPr>
          <w:highlight w:val="white"/>
        </w:rPr>
        <w:t xml:space="preserve">odularity and integration </w:t>
      </w:r>
    </w:p>
    <w:p w14:paraId="691FD106" w14:textId="25FB07DC" w:rsidR="00FC4A4E" w:rsidRDefault="00FC4A4E" w:rsidP="00FC4A4E">
      <w:pPr>
        <w:spacing w:line="480" w:lineRule="auto"/>
        <w:ind w:firstLine="720"/>
        <w:rPr>
          <w:highlight w:val="white"/>
        </w:rPr>
      </w:pPr>
      <w:r>
        <w:t>Because CREA is expected to affect the rostral, cranial vault, and possibly orbit areas, we asked if size explained more variation in these three compared to the molar and basicranial modules. These analyses were conducted after separate GPA and asymmetry removals for each module from the raw landmarks. We then compared allometries from geomorph-based PGLS regressions of shape against log-transformed centroid sizes from each GPA. To exclude a potential confounding influence on allometry analyses from the differences in landmark numbers and partition sizes between modules, we also repeated these analyses using centroid sizes from the full dataset.</w:t>
      </w:r>
      <w:r>
        <w:t xml:space="preserve"> </w:t>
      </w:r>
      <w:r w:rsidR="00573D24">
        <w:t>We used geomorph functions to assess integration (degree of co-variation) and modularity (degree to which modules evolve independently of each other) across the cranium and among modules before and after size removal.</w:t>
      </w:r>
      <w:r w:rsidR="00573D24" w:rsidRPr="00573D24">
        <w:rPr>
          <w:highlight w:val="white"/>
        </w:rPr>
        <w:t xml:space="preserve"> </w:t>
      </w:r>
    </w:p>
    <w:p w14:paraId="53D35D4C" w14:textId="3D95D0BB" w:rsidR="00916840" w:rsidRDefault="00FC4A4E" w:rsidP="00FC4A4E">
      <w:pPr>
        <w:spacing w:line="480" w:lineRule="auto"/>
        <w:ind w:firstLine="720"/>
        <w:rPr>
          <w:highlight w:val="white"/>
        </w:rPr>
      </w:pPr>
      <w:r>
        <w:rPr>
          <w:highlight w:val="white"/>
        </w:rPr>
        <w:t>The impact of allometry on shape variation was further contextualized by assessing integration and modularity across the cranium and between modules. Integration</w:t>
      </w:r>
      <w:r w:rsidR="00573D24">
        <w:rPr>
          <w:highlight w:val="white"/>
        </w:rPr>
        <w:t xml:space="preserve"> was measured using partial least squares (PLS) correlation coefficients between multiple modules to assess how much they co-vary, taking into account phylogeny </w:t>
      </w:r>
      <w:r w:rsidR="00573D24">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573D24">
        <w:rPr>
          <w:highlight w:val="white"/>
        </w:rPr>
        <w:fldChar w:fldCharType="separate"/>
      </w:r>
      <w:r w:rsidR="00960507" w:rsidRPr="00960507">
        <w:rPr>
          <w:noProof/>
        </w:rPr>
        <w:t>(Adams &amp; Felice, 2014)</w:t>
      </w:r>
      <w:r w:rsidR="00573D24">
        <w:rPr>
          <w:highlight w:val="white"/>
        </w:rPr>
        <w:fldChar w:fldCharType="end"/>
      </w:r>
      <w:r w:rsidR="00573D24">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t>
      </w:r>
      <w:r w:rsidR="00A81B39">
        <w:lastRenderedPageBreak/>
        <w:t xml:space="preserve">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lastRenderedPageBreak/>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59D50E05"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r w:rsidR="000E694B">
        <w:rPr>
          <w:i/>
          <w:highlight w:val="white"/>
        </w:rPr>
        <w:t>geomorph</w:t>
      </w:r>
      <w:r w:rsidR="000E694B">
        <w:rPr>
          <w:highlight w:val="white"/>
        </w:rPr>
        <w:t xml:space="preserve"> function </w:t>
      </w:r>
      <w:r w:rsidR="000E694B">
        <w:rPr>
          <w:i/>
          <w:highlight w:val="white"/>
        </w:rPr>
        <w:t>globalIntegration</w:t>
      </w:r>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 </w:instrText>
      </w:r>
      <w:r w:rsidR="0014692A">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EN.CITE.DATA </w:instrText>
      </w:r>
      <w:r w:rsidR="0014692A">
        <w:fldChar w:fldCharType="end"/>
      </w:r>
      <w:r w:rsidR="000E694B" w:rsidRPr="00573D24">
        <w:fldChar w:fldCharType="separate"/>
      </w:r>
      <w:r w:rsidR="0014692A">
        <w:rPr>
          <w:noProof/>
        </w:rPr>
        <w:t>(Bookstein, 2015; e.g. Evans</w:t>
      </w:r>
      <w:r w:rsidR="0014692A" w:rsidRPr="0014692A">
        <w:rPr>
          <w:i/>
          <w:noProof/>
        </w:rPr>
        <w:t xml:space="preserve"> et al.</w:t>
      </w:r>
      <w:r w:rsidR="0014692A">
        <w:rPr>
          <w:noProof/>
        </w:rPr>
        <w:t>, 2017; Sansalone</w:t>
      </w:r>
      <w:r w:rsidR="0014692A" w:rsidRPr="0014692A">
        <w:rPr>
          <w:i/>
          <w:noProof/>
        </w:rPr>
        <w:t xml:space="preserve"> et al.</w:t>
      </w:r>
      <w:r w:rsidR="0014692A">
        <w:rPr>
          <w:noProof/>
        </w:rPr>
        <w:t>, 2019; Young</w:t>
      </w:r>
      <w:r w:rsidR="0014692A" w:rsidRPr="0014692A">
        <w:rPr>
          <w:i/>
          <w:noProof/>
        </w:rPr>
        <w:t xml:space="preserve"> et al.</w:t>
      </w:r>
      <w:r w:rsidR="0014692A">
        <w:rPr>
          <w:noProof/>
        </w:rPr>
        <w:t>, 2017)</w:t>
      </w:r>
      <w:r w:rsidR="000E694B" w:rsidRPr="00573D24">
        <w:fldChar w:fldCharType="end"/>
      </w:r>
      <w:r w:rsidR="000E694B">
        <w:rPr>
          <w:highlight w:val="white"/>
        </w:rPr>
        <w:t xml:space="preserve">. The null expectation of self-similarity would give a regression slope of -1 so if the slope is steeper – i.e. greater absolute </w:t>
      </w:r>
      <w:r w:rsidR="000E694B">
        <w:rPr>
          <w:highlight w:val="white"/>
        </w:rPr>
        <w:lastRenderedPageBreak/>
        <w:t>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77777777" w:rsidR="00D37864" w:rsidRDefault="00D37864">
      <w:pPr>
        <w:spacing w:line="480" w:lineRule="auto"/>
        <w:rPr>
          <w:highlight w:val="white"/>
        </w:rPr>
      </w:pP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Ornstein-Uhlenbeck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605786EB" w:rsidR="00A65F2F" w:rsidRPr="00A65F2F" w:rsidRDefault="00EC5854" w:rsidP="00A65F2F">
            <w:pPr>
              <w:suppressAutoHyphens w:val="0"/>
              <w:rPr>
                <w:lang w:val="en-AU" w:eastAsia="en-AU"/>
              </w:rPr>
            </w:pPr>
            <w:r>
              <w:rPr>
                <w:lang w:val="en-AU" w:eastAsia="en-AU"/>
              </w:rPr>
              <w:t>DONE</w:t>
            </w: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rnstein-Uhlenbeck</w:t>
            </w:r>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Shape~log(Csize)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Shape~log(Csize)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log(Csize)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log(Csize)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r>
        <w:t xml:space="preserve">Generalised or Akaike Information criterion scores (GIC/AIC) and W-scores of relative probabilities </w:t>
      </w:r>
      <w:r w:rsidR="00BF36EE">
        <w:t xml:space="preserve">of different modes of evolution </w:t>
      </w:r>
      <w:r>
        <w:t xml:space="preserve">for models of shape, log- transformed centroid size, and shape evolution with log(centroid size) as predictor variable. </w:t>
      </w:r>
    </w:p>
    <w:p w14:paraId="28DA6030" w14:textId="77777777" w:rsidR="00F17323" w:rsidRDefault="00F17323" w:rsidP="00F560B0">
      <w:pPr>
        <w:spacing w:line="480" w:lineRule="auto"/>
      </w:pPr>
    </w:p>
    <w:p w14:paraId="70D44E49" w14:textId="69E1E8F0"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w:t>
      </w:r>
      <w:r>
        <w:lastRenderedPageBreak/>
        <w:t xml:space="preserve">shape from both models using Two-Block Partial Least Squares. In both cases, the </w:t>
      </w:r>
      <w:r w:rsidR="00994273">
        <w:t>r-PLS value was 1, suggesting t</w:t>
      </w:r>
      <w:r w:rsidR="00F02BB5">
        <w:t>hat no substantial difference to BM-based analyses is to be expected</w:t>
      </w:r>
      <w:r w:rsidR="00B27788">
        <w:t>.</w:t>
      </w:r>
    </w:p>
    <w:p w14:paraId="02D5B299" w14:textId="77777777" w:rsidR="000E7AF4" w:rsidRPr="00E00B56" w:rsidRDefault="000E7AF4" w:rsidP="00F560B0">
      <w:pPr>
        <w:spacing w:line="480" w:lineRule="auto"/>
      </w:pPr>
    </w:p>
    <w:p w14:paraId="6D649EBB" w14:textId="77777777" w:rsidR="000E7AF4" w:rsidRDefault="000E7AF4" w:rsidP="000E7AF4">
      <w:pPr>
        <w:pStyle w:val="Heading3"/>
        <w:numPr>
          <w:ilvl w:val="2"/>
          <w:numId w:val="2"/>
        </w:numPr>
        <w:spacing w:line="480" w:lineRule="auto"/>
      </w:pPr>
      <w:r>
        <w:t>Phylo-morphological distance</w:t>
      </w:r>
    </w:p>
    <w:p w14:paraId="482A5ECC" w14:textId="18FD10D8" w:rsidR="000E7AF4" w:rsidRDefault="000E7AF4" w:rsidP="000E7AF4">
      <w:pPr>
        <w:spacing w:line="480" w:lineRule="auto"/>
      </w:pPr>
      <w:r>
        <w:t xml:space="preserve">Our phylo-morphological distance plots (Fig. </w:t>
      </w:r>
      <w:r w:rsidR="00D0603F">
        <w:t>1</w:t>
      </w:r>
      <w:r>
        <w:t xml:space="preserve">)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all of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w:t>
      </w:r>
      <w:r w:rsidR="00D0603F">
        <w:t>1a</w:t>
      </w:r>
      <w:r>
        <w:t xml:space="preserve">).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w:t>
      </w:r>
      <w:r w:rsidR="00D0603F">
        <w:t>1</w:t>
      </w:r>
      <w:r>
        <w:t xml:space="preserve">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01238AB1" w14:textId="2864A2F0" w:rsidR="000E7AF4" w:rsidRDefault="000E7AF4" w:rsidP="00D0603F">
      <w:pPr>
        <w:spacing w:line="480" w:lineRule="auto"/>
        <w:ind w:firstLine="720"/>
      </w:pPr>
      <w:r>
        <w:lastRenderedPageBreak/>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w:t>
      </w:r>
      <w:r w:rsidR="00D0603F">
        <w:t>1</w:t>
      </w:r>
      <w:r>
        <w:t xml:space="preserve">b). If the 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lastRenderedPageBreak/>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t xml:space="preserve">Figure </w:t>
      </w:r>
      <w:r w:rsidR="00127236">
        <w:rPr>
          <w:b/>
          <w:color w:val="000000"/>
        </w:rPr>
        <w:t>1</w:t>
      </w:r>
      <w:r>
        <w:rPr>
          <w:b/>
          <w:color w:val="000000"/>
        </w:rPr>
        <w:t xml:space="preserve">: </w:t>
      </w:r>
      <w:r>
        <w:rPr>
          <w:bCs/>
          <w:color w:val="000000"/>
        </w:rPr>
        <w:t>Phylo-morphological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664675F9" w14:textId="01EE8164" w:rsidR="008922AE" w:rsidRDefault="00000000">
      <w:pPr>
        <w:pStyle w:val="Heading3"/>
        <w:numPr>
          <w:ilvl w:val="2"/>
          <w:numId w:val="2"/>
        </w:numPr>
        <w:spacing w:line="480" w:lineRule="auto"/>
      </w:pPr>
      <w:bookmarkStart w:id="8" w:name="_heading=h.4d34og8"/>
      <w:bookmarkEnd w:id="8"/>
      <w:r>
        <w:t>Principal component</w:t>
      </w:r>
      <w:r w:rsidR="00D37864">
        <w:t>s</w:t>
      </w:r>
      <w:r>
        <w:t xml:space="preserve"> analyses</w:t>
      </w:r>
    </w:p>
    <w:p w14:paraId="3828C78B" w14:textId="5DD34F0A" w:rsidR="008922AE" w:rsidRDefault="00C248A2">
      <w:pPr>
        <w:spacing w:line="480" w:lineRule="auto"/>
      </w:pPr>
      <w:r>
        <w:t xml:space="preserve">Comparing the variation and species distribution from the first two Principal Components (PC)  of the full and residual datasets shows that the removal of allometric shape variation substantially reduces the amount of variation in the dataset that is aligned with PC1 (26% vs. 52%). PC2 axes captured similar percentages of shape variation (14.5% and </w:t>
      </w:r>
      <w:r w:rsidR="00D0603F">
        <w:t>19.8</w:t>
      </w:r>
      <w:r>
        <w:t>%,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w:t>
      </w:r>
      <w:r w:rsidR="002B000F">
        <w:lastRenderedPageBreak/>
        <w:t xml:space="preserve">resembles the pattern along the residual shape PC1 (Fig. </w:t>
      </w:r>
      <w:r w:rsidR="00D0603F">
        <w:t xml:space="preserve">2 </w:t>
      </w:r>
      <w:r w:rsidR="002B000F">
        <w:t xml:space="preserve">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 xml:space="preserve">was removed, the relative positioning of species and the shape variation associated with the first two PCs remain similar (Fig. </w:t>
      </w:r>
      <w:r w:rsidR="00BF1D5C">
        <w:t>2</w:t>
      </w:r>
      <w:r w:rsidR="001D5FD2">
        <w:t>c</w:t>
      </w:r>
      <w:r>
        <w:t xml:space="preserve"> vs. </w:t>
      </w:r>
      <w:r w:rsidR="001D5FD2">
        <w:t>d</w:t>
      </w:r>
      <w:r>
        <w:t xml:space="preserve">). </w:t>
      </w:r>
    </w:p>
    <w:p w14:paraId="421BC090" w14:textId="77777777" w:rsidR="0043398A" w:rsidRDefault="0043398A">
      <w:pPr>
        <w:spacing w:line="480" w:lineRule="auto"/>
      </w:pPr>
    </w:p>
    <w:p w14:paraId="48D0E5DB" w14:textId="5F9FA1C1"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w:t>
      </w:r>
      <w:r w:rsidR="00BF1D5C">
        <w:t>2</w:t>
      </w:r>
      <w:r w:rsidR="00491B6E">
        <w:t xml:space="preserve">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w:t>
      </w:r>
      <w:r w:rsidR="00BF780A">
        <w:t>2c</w:t>
      </w:r>
      <w:r>
        <w:t>). T</w:t>
      </w:r>
      <w:r w:rsidR="00BF780A">
        <w:t xml:space="preserve">wo species of specializing in the </w:t>
      </w:r>
      <w:r w:rsidR="00D0603F">
        <w:t>consumption of grasses</w:t>
      </w:r>
      <w:r>
        <w:t>, the broad-toothed rat (</w:t>
      </w:r>
      <w:r>
        <w:rPr>
          <w:i/>
        </w:rPr>
        <w:t>Mastacomys fuscus</w:t>
      </w:r>
      <w:r>
        <w:t>)</w:t>
      </w:r>
      <w:r w:rsidR="00BF780A">
        <w:t xml:space="preserve"> and XXX, are separated by low PC</w:t>
      </w:r>
      <w:r>
        <w:t xml:space="preserve"> All of the specialists along these extremes are in the </w:t>
      </w:r>
      <w:r>
        <w:rPr>
          <w:i/>
          <w:iCs/>
        </w:rPr>
        <w:t>Pseudomys</w:t>
      </w:r>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40F6E1AD" w:rsidR="008922AE" w:rsidRDefault="00824F7A" w:rsidP="0075257D">
      <w:pPr>
        <w:spacing w:line="480" w:lineRule="auto"/>
      </w:pPr>
      <w:bookmarkStart w:id="9" w:name="_heading=h.2s8eyo1"/>
      <w:r>
        <w:rPr>
          <w:noProof/>
        </w:rPr>
        <w:lastRenderedPageBreak/>
        <w:drawing>
          <wp:inline distT="0" distB="0" distL="0" distR="0" wp14:anchorId="5A3C7899" wp14:editId="72B8DB5C">
            <wp:extent cx="5943600" cy="4874895"/>
            <wp:effectExtent l="0" t="0" r="0" b="1905"/>
            <wp:docPr id="491382312"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2312" name="Picture 1" descr="A group of graphs with different colored squares&#10;&#10;Description automatically generated"/>
                    <pic:cNvPicPr/>
                  </pic:nvPicPr>
                  <pic:blipFill>
                    <a:blip r:embed="rId11"/>
                    <a:stretch>
                      <a:fillRect/>
                    </a:stretch>
                  </pic:blipFill>
                  <pic:spPr>
                    <a:xfrm>
                      <a:off x="0" y="0"/>
                      <a:ext cx="5943600" cy="4874895"/>
                    </a:xfrm>
                    <a:prstGeom prst="rect">
                      <a:avLst/>
                    </a:prstGeom>
                  </pic:spPr>
                </pic:pic>
              </a:graphicData>
            </a:graphic>
          </wp:inline>
        </w:drawing>
      </w:r>
    </w:p>
    <w:p w14:paraId="38275DEF" w14:textId="53795BFD" w:rsidR="00BF6875" w:rsidRPr="00824F7A" w:rsidRDefault="00000000" w:rsidP="00BF6875">
      <w:pPr>
        <w:spacing w:after="200"/>
        <w:rPr>
          <w:iCs/>
        </w:rPr>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824F7A">
        <w:t xml:space="preserve"> with</w:t>
      </w:r>
      <w:r w:rsidR="00824F7A">
        <w:rPr>
          <w:iCs/>
        </w:rPr>
        <w:t xml:space="preserve"> </w:t>
      </w:r>
      <w:r w:rsidR="00824F7A">
        <w:rPr>
          <w:i/>
        </w:rPr>
        <w:t xml:space="preserve">Notomys </w:t>
      </w:r>
      <w:r w:rsidR="00824F7A">
        <w:rPr>
          <w:iCs/>
        </w:rPr>
        <w:t xml:space="preserve">genus, </w:t>
      </w:r>
      <w:r w:rsidR="00824F7A">
        <w:rPr>
          <w:i/>
        </w:rPr>
        <w:t>Conilurus penicillatus</w:t>
      </w:r>
      <w:r w:rsidR="00824F7A">
        <w:rPr>
          <w:iCs/>
        </w:rPr>
        <w:t xml:space="preserve">, and </w:t>
      </w:r>
      <w:r w:rsidR="00824F7A">
        <w:rPr>
          <w:i/>
        </w:rPr>
        <w:t xml:space="preserve">Mastacomys fuscus </w:t>
      </w:r>
      <w:r w:rsidR="00824F7A">
        <w:rPr>
          <w:iCs/>
        </w:rPr>
        <w:t xml:space="preserve">highlighted; </w:t>
      </w:r>
      <w:r>
        <w:rPr>
          <w:bCs/>
        </w:rPr>
        <w:t>d,</w:t>
      </w:r>
      <w:r>
        <w:t xml:space="preserve"> shape residual dataset without </w:t>
      </w:r>
      <w:r>
        <w:rPr>
          <w:i/>
        </w:rPr>
        <w:t>Notomys</w:t>
      </w:r>
      <w:r w:rsidR="00F8733B">
        <w:rPr>
          <w:iCs/>
        </w:rPr>
        <w:t>, which mainly just switches the sign of the PC scores</w:t>
      </w:r>
      <w:r w:rsidR="00BF6875">
        <w:rPr>
          <w:i/>
        </w:rPr>
        <w:t>.</w:t>
      </w:r>
      <w:r w:rsidR="00824F7A">
        <w:rPr>
          <w:i/>
        </w:rPr>
        <w:t xml:space="preserve"> </w:t>
      </w:r>
    </w:p>
    <w:p w14:paraId="4FA34F04" w14:textId="77777777" w:rsidR="008922AE" w:rsidRDefault="008922AE">
      <w:pPr>
        <w:spacing w:after="200"/>
      </w:pPr>
    </w:p>
    <w:p w14:paraId="57B7E920" w14:textId="77777777" w:rsidR="00D37864" w:rsidRDefault="00D37864">
      <w:pPr>
        <w:spacing w:after="200"/>
      </w:pPr>
    </w:p>
    <w:p w14:paraId="471B3C9F" w14:textId="77777777" w:rsidR="008922AE" w:rsidRDefault="00000000" w:rsidP="003266F8">
      <w:pPr>
        <w:pStyle w:val="Heading3"/>
        <w:numPr>
          <w:ilvl w:val="0"/>
          <w:numId w:val="0"/>
        </w:numPr>
        <w:spacing w:line="480" w:lineRule="auto"/>
      </w:pPr>
      <w:bookmarkStart w:id="10" w:name="_heading=h.17dp8vu"/>
      <w:bookmarkEnd w:id="10"/>
      <w:r>
        <w:t>Landmark heatmaps</w:t>
      </w:r>
    </w:p>
    <w:p w14:paraId="7AF17660" w14:textId="2B958AA4"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(Fig. </w:t>
      </w:r>
      <w:r w:rsidR="00AC1D7B">
        <w:t>3</w:t>
      </w:r>
      <w:r>
        <w:t xml:space="preserve">a-c). </w:t>
      </w:r>
      <w:r w:rsidR="00EC6815">
        <w:t>Predicted shapes for</w:t>
      </w:r>
      <w:r>
        <w:t xml:space="preserve"> larger species </w:t>
      </w:r>
      <w:r w:rsidR="003266F8">
        <w:t>had</w:t>
      </w:r>
      <w:r>
        <w:t xml:space="preserve"> lengthened rostra and smaller relative braincases compared to smaller species</w:t>
      </w:r>
      <w:r w:rsidR="00EC6815">
        <w:t xml:space="preserve"> (Fig. </w:t>
      </w:r>
      <w:r w:rsidR="00AC1D7B">
        <w:t>3</w:t>
      </w:r>
      <w:r w:rsidR="00EC6815">
        <w:t xml:space="preserve">a), a pattern </w:t>
      </w:r>
      <w:r w:rsidR="003266F8">
        <w:t xml:space="preserve">also </w:t>
      </w:r>
      <w:r w:rsidR="00EC6815">
        <w:t xml:space="preserve">clearly </w:t>
      </w:r>
      <w:r w:rsidR="00EC6815">
        <w:lastRenderedPageBreak/>
        <w:t>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3659928E" w:rsidR="008922AE" w:rsidRDefault="00000000">
      <w:pPr>
        <w:spacing w:after="200"/>
        <w:rPr>
          <w:i/>
          <w:iCs/>
        </w:rPr>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comparison,and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P. delicatulus)</w:t>
      </w:r>
      <w:r>
        <w:t xml:space="preserve"> to the largest (</w:t>
      </w:r>
      <w:r>
        <w:rPr>
          <w:i/>
          <w:iCs/>
        </w:rPr>
        <w:t>U. caudimaculatus)</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6BDAC6D2" w:rsidR="008922AE" w:rsidRPr="006A14F8" w:rsidRDefault="004D0A02">
      <w:pPr>
        <w:spacing w:line="480" w:lineRule="auto"/>
      </w:pPr>
      <w:r>
        <w:t>As expected</w:t>
      </w:r>
      <w:r w:rsidR="00263DD3">
        <w:t>,</w:t>
      </w:r>
      <w:r>
        <w:t xml:space="preserve"> removing the </w:t>
      </w:r>
      <w:r w:rsidR="00491B6E">
        <w:t xml:space="preserve">shape variation that </w:t>
      </w:r>
      <w:r>
        <w:t>covar</w:t>
      </w:r>
      <w:r w:rsidR="00491B6E">
        <w:t>ies</w:t>
      </w:r>
      <w:r>
        <w:t xml:space="preserve"> with size (Fig. </w:t>
      </w:r>
      <w:r w:rsidR="00AC1D7B">
        <w:t>3</w:t>
      </w:r>
      <w:r>
        <w:t xml:space="preserve">d-f) also removed </w:t>
      </w:r>
      <w:r w:rsidR="00263DD3">
        <w:t>the CREA-aligned</w:t>
      </w:r>
      <w:r>
        <w:t xml:space="preserve"> gracilization pattern. Species closer to the PC1 minimum then show ventral flexion of the rostrum and anteroventral movement of the foramen magnum (Fig. </w:t>
      </w:r>
      <w:r w:rsidR="00AC1D7B">
        <w:t>3</w:t>
      </w:r>
      <w:r>
        <w:t xml:space="preserve">d). However, the allometry-free PC2 heatmaps with all species highlighted shape patterns resemble </w:t>
      </w:r>
      <w:r w:rsidR="00A44BA0">
        <w:t>some of 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expected under CREA (Fig. </w:t>
      </w:r>
      <w:r w:rsidR="00AC1D7B">
        <w:t>3</w:t>
      </w:r>
      <w:r>
        <w:t xml:space="preserve">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 xml:space="preserve">with the PC1/2 plots of </w:t>
      </w:r>
      <w:r w:rsidR="00A44BA0">
        <w:lastRenderedPageBreak/>
        <w:t>Fig. 1, the</w:t>
      </w:r>
      <w:r>
        <w:t xml:space="preserve"> result showed similar regions of variation (Fig. </w:t>
      </w:r>
      <w:r w:rsidR="00AC1D7B">
        <w:t>3</w:t>
      </w:r>
      <w:r>
        <w:t>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1F5B9904" w14:textId="34513A18" w:rsidR="008922AE" w:rsidRDefault="002343E1">
      <w:pPr>
        <w:pStyle w:val="Heading3"/>
        <w:numPr>
          <w:ilvl w:val="0"/>
          <w:numId w:val="0"/>
        </w:numPr>
        <w:spacing w:line="480" w:lineRule="auto"/>
        <w:ind w:firstLine="720"/>
      </w:pPr>
      <w:bookmarkStart w:id="15" w:name="_heading=h.lnxbz9"/>
      <w:bookmarkEnd w:id="15"/>
      <w:r>
        <w:t xml:space="preserve">Allometry, </w:t>
      </w:r>
      <w:r w:rsidR="00000000">
        <w:t>Modularity and integration</w:t>
      </w:r>
    </w:p>
    <w:p w14:paraId="30ECA207" w14:textId="77777777" w:rsidR="002343E1" w:rsidRDefault="002343E1" w:rsidP="00491B6E">
      <w:pPr>
        <w:spacing w:line="480" w:lineRule="auto"/>
      </w:pPr>
    </w:p>
    <w:p w14:paraId="4A113D15" w14:textId="77777777" w:rsidR="002343E1" w:rsidRDefault="002343E1" w:rsidP="00491B6E">
      <w:pPr>
        <w:spacing w:line="480" w:lineRule="auto"/>
      </w:pPr>
    </w:p>
    <w:tbl>
      <w:tblPr>
        <w:tblW w:w="6720" w:type="dxa"/>
        <w:tblLook w:val="04A0" w:firstRow="1" w:lastRow="0" w:firstColumn="1" w:lastColumn="0" w:noHBand="0" w:noVBand="1"/>
      </w:tblPr>
      <w:tblGrid>
        <w:gridCol w:w="1418"/>
        <w:gridCol w:w="718"/>
        <w:gridCol w:w="960"/>
        <w:gridCol w:w="960"/>
        <w:gridCol w:w="960"/>
        <w:gridCol w:w="960"/>
        <w:gridCol w:w="960"/>
      </w:tblGrid>
      <w:tr w:rsidR="004003F9" w:rsidRPr="004003F9" w14:paraId="4B2C4663" w14:textId="77777777" w:rsidTr="00830EE6">
        <w:trPr>
          <w:trHeight w:val="290"/>
        </w:trPr>
        <w:tc>
          <w:tcPr>
            <w:tcW w:w="1418" w:type="dxa"/>
            <w:tcBorders>
              <w:top w:val="nil"/>
              <w:left w:val="nil"/>
              <w:bottom w:val="nil"/>
              <w:right w:val="nil"/>
            </w:tcBorders>
            <w:shd w:val="clear" w:color="auto" w:fill="auto"/>
            <w:noWrap/>
            <w:vAlign w:val="bottom"/>
            <w:hideMark/>
          </w:tcPr>
          <w:p w14:paraId="15023CB7" w14:textId="77777777" w:rsidR="004003F9" w:rsidRPr="004003F9" w:rsidRDefault="004003F9" w:rsidP="004003F9">
            <w:pPr>
              <w:suppressAutoHyphens w:val="0"/>
              <w:rPr>
                <w:lang w:val="en-AU" w:eastAsia="en-AU"/>
              </w:rPr>
            </w:pPr>
          </w:p>
        </w:tc>
        <w:tc>
          <w:tcPr>
            <w:tcW w:w="502" w:type="dxa"/>
            <w:tcBorders>
              <w:top w:val="nil"/>
              <w:left w:val="nil"/>
              <w:bottom w:val="single" w:sz="4" w:space="0" w:color="auto"/>
              <w:right w:val="nil"/>
            </w:tcBorders>
            <w:shd w:val="clear" w:color="auto" w:fill="auto"/>
            <w:noWrap/>
            <w:vAlign w:val="bottom"/>
            <w:hideMark/>
          </w:tcPr>
          <w:p w14:paraId="11DFFD0B" w14:textId="77777777"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SS</w:t>
            </w:r>
          </w:p>
        </w:tc>
        <w:tc>
          <w:tcPr>
            <w:tcW w:w="960" w:type="dxa"/>
            <w:tcBorders>
              <w:top w:val="nil"/>
              <w:left w:val="nil"/>
              <w:bottom w:val="single" w:sz="4" w:space="0" w:color="auto"/>
              <w:right w:val="nil"/>
            </w:tcBorders>
            <w:shd w:val="clear" w:color="auto" w:fill="auto"/>
            <w:noWrap/>
            <w:vAlign w:val="bottom"/>
            <w:hideMark/>
          </w:tcPr>
          <w:p w14:paraId="58FB4A30" w14:textId="77777777"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MS</w:t>
            </w:r>
          </w:p>
        </w:tc>
        <w:tc>
          <w:tcPr>
            <w:tcW w:w="960" w:type="dxa"/>
            <w:tcBorders>
              <w:top w:val="nil"/>
              <w:left w:val="nil"/>
              <w:bottom w:val="single" w:sz="4" w:space="0" w:color="auto"/>
              <w:right w:val="nil"/>
            </w:tcBorders>
            <w:shd w:val="clear" w:color="auto" w:fill="auto"/>
            <w:noWrap/>
            <w:vAlign w:val="bottom"/>
            <w:hideMark/>
          </w:tcPr>
          <w:p w14:paraId="3B5A004F" w14:textId="77777777"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Rsq</w:t>
            </w:r>
          </w:p>
        </w:tc>
        <w:tc>
          <w:tcPr>
            <w:tcW w:w="960" w:type="dxa"/>
            <w:tcBorders>
              <w:top w:val="nil"/>
              <w:left w:val="nil"/>
              <w:bottom w:val="single" w:sz="4" w:space="0" w:color="auto"/>
              <w:right w:val="nil"/>
            </w:tcBorders>
            <w:shd w:val="clear" w:color="auto" w:fill="auto"/>
            <w:noWrap/>
            <w:vAlign w:val="bottom"/>
            <w:hideMark/>
          </w:tcPr>
          <w:p w14:paraId="06CAAD9F" w14:textId="77777777"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F</w:t>
            </w:r>
          </w:p>
        </w:tc>
        <w:tc>
          <w:tcPr>
            <w:tcW w:w="960" w:type="dxa"/>
            <w:tcBorders>
              <w:top w:val="nil"/>
              <w:left w:val="nil"/>
              <w:bottom w:val="single" w:sz="4" w:space="0" w:color="auto"/>
              <w:right w:val="nil"/>
            </w:tcBorders>
            <w:shd w:val="clear" w:color="auto" w:fill="auto"/>
            <w:noWrap/>
            <w:vAlign w:val="bottom"/>
            <w:hideMark/>
          </w:tcPr>
          <w:p w14:paraId="287354DA" w14:textId="77777777"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Z</w:t>
            </w:r>
          </w:p>
        </w:tc>
        <w:tc>
          <w:tcPr>
            <w:tcW w:w="960" w:type="dxa"/>
            <w:tcBorders>
              <w:top w:val="nil"/>
              <w:left w:val="nil"/>
              <w:bottom w:val="single" w:sz="4" w:space="0" w:color="auto"/>
              <w:right w:val="nil"/>
            </w:tcBorders>
            <w:shd w:val="clear" w:color="auto" w:fill="auto"/>
            <w:noWrap/>
            <w:vAlign w:val="bottom"/>
            <w:hideMark/>
          </w:tcPr>
          <w:p w14:paraId="6B8AE97D" w14:textId="77777777"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P</w:t>
            </w:r>
          </w:p>
        </w:tc>
      </w:tr>
      <w:tr w:rsidR="004003F9" w:rsidRPr="004003F9" w14:paraId="70C7596C" w14:textId="77777777" w:rsidTr="00830EE6">
        <w:trPr>
          <w:trHeight w:val="290"/>
        </w:trPr>
        <w:tc>
          <w:tcPr>
            <w:tcW w:w="1418" w:type="dxa"/>
            <w:tcBorders>
              <w:top w:val="nil"/>
              <w:left w:val="nil"/>
              <w:bottom w:val="nil"/>
              <w:right w:val="nil"/>
            </w:tcBorders>
            <w:shd w:val="clear" w:color="auto" w:fill="D9D9D9" w:themeFill="background1" w:themeFillShade="D9"/>
            <w:noWrap/>
            <w:vAlign w:val="bottom"/>
          </w:tcPr>
          <w:p w14:paraId="5B2B0931" w14:textId="77777777" w:rsidR="004003F9" w:rsidRPr="004003F9" w:rsidRDefault="004003F9" w:rsidP="004003F9">
            <w:pPr>
              <w:suppressAutoHyphens w:val="0"/>
              <w:rPr>
                <w:lang w:val="en-AU" w:eastAsia="en-AU"/>
              </w:rPr>
            </w:pPr>
          </w:p>
        </w:tc>
        <w:tc>
          <w:tcPr>
            <w:tcW w:w="502" w:type="dxa"/>
            <w:tcBorders>
              <w:top w:val="single" w:sz="4" w:space="0" w:color="auto"/>
              <w:left w:val="nil"/>
              <w:bottom w:val="nil"/>
              <w:right w:val="nil"/>
            </w:tcBorders>
            <w:shd w:val="clear" w:color="auto" w:fill="D9D9D9" w:themeFill="background1" w:themeFillShade="D9"/>
            <w:noWrap/>
            <w:vAlign w:val="bottom"/>
          </w:tcPr>
          <w:p w14:paraId="1D0C89AD" w14:textId="77777777" w:rsidR="004003F9" w:rsidRPr="004003F9" w:rsidRDefault="004003F9" w:rsidP="004003F9">
            <w:pPr>
              <w:suppressAutoHyphens w:val="0"/>
              <w:rPr>
                <w:rFonts w:ascii="Calibri" w:hAnsi="Calibri" w:cs="Calibri"/>
                <w:color w:val="000000"/>
                <w:sz w:val="22"/>
                <w:szCs w:val="22"/>
                <w:lang w:val="en-AU" w:eastAsia="en-AU"/>
              </w:rPr>
            </w:pPr>
          </w:p>
        </w:tc>
        <w:tc>
          <w:tcPr>
            <w:tcW w:w="960" w:type="dxa"/>
            <w:tcBorders>
              <w:top w:val="single" w:sz="4" w:space="0" w:color="auto"/>
              <w:left w:val="nil"/>
              <w:bottom w:val="nil"/>
              <w:right w:val="nil"/>
            </w:tcBorders>
            <w:shd w:val="clear" w:color="auto" w:fill="D9D9D9" w:themeFill="background1" w:themeFillShade="D9"/>
            <w:noWrap/>
            <w:vAlign w:val="bottom"/>
          </w:tcPr>
          <w:p w14:paraId="050A6268" w14:textId="77777777" w:rsidR="004003F9" w:rsidRPr="004003F9" w:rsidRDefault="004003F9" w:rsidP="004003F9">
            <w:pPr>
              <w:suppressAutoHyphens w:val="0"/>
              <w:rPr>
                <w:rFonts w:ascii="Calibri" w:hAnsi="Calibri" w:cs="Calibri"/>
                <w:color w:val="000000"/>
                <w:sz w:val="22"/>
                <w:szCs w:val="22"/>
                <w:lang w:val="en-AU" w:eastAsia="en-AU"/>
              </w:rPr>
            </w:pPr>
          </w:p>
        </w:tc>
        <w:tc>
          <w:tcPr>
            <w:tcW w:w="960" w:type="dxa"/>
            <w:tcBorders>
              <w:top w:val="single" w:sz="4" w:space="0" w:color="auto"/>
              <w:left w:val="nil"/>
              <w:bottom w:val="nil"/>
              <w:right w:val="nil"/>
            </w:tcBorders>
            <w:shd w:val="clear" w:color="auto" w:fill="D9D9D9" w:themeFill="background1" w:themeFillShade="D9"/>
            <w:noWrap/>
            <w:vAlign w:val="bottom"/>
          </w:tcPr>
          <w:p w14:paraId="7A6DD7DD" w14:textId="27A222EE" w:rsidR="004003F9" w:rsidRPr="004003F9" w:rsidRDefault="00830EE6" w:rsidP="004003F9">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P</w:t>
            </w:r>
            <w:r w:rsidR="004003F9">
              <w:rPr>
                <w:rFonts w:ascii="Calibri" w:hAnsi="Calibri" w:cs="Calibri"/>
                <w:color w:val="000000"/>
                <w:sz w:val="22"/>
                <w:szCs w:val="22"/>
                <w:lang w:val="en-AU" w:eastAsia="en-AU"/>
              </w:rPr>
              <w:t>GLS</w:t>
            </w:r>
          </w:p>
        </w:tc>
        <w:tc>
          <w:tcPr>
            <w:tcW w:w="960" w:type="dxa"/>
            <w:tcBorders>
              <w:top w:val="single" w:sz="4" w:space="0" w:color="auto"/>
              <w:left w:val="nil"/>
              <w:bottom w:val="nil"/>
              <w:right w:val="nil"/>
            </w:tcBorders>
            <w:shd w:val="clear" w:color="auto" w:fill="D9D9D9" w:themeFill="background1" w:themeFillShade="D9"/>
            <w:noWrap/>
            <w:vAlign w:val="bottom"/>
          </w:tcPr>
          <w:p w14:paraId="62FF404E" w14:textId="77777777" w:rsidR="004003F9" w:rsidRPr="004003F9" w:rsidRDefault="004003F9" w:rsidP="004003F9">
            <w:pPr>
              <w:suppressAutoHyphens w:val="0"/>
              <w:rPr>
                <w:rFonts w:ascii="Calibri" w:hAnsi="Calibri" w:cs="Calibri"/>
                <w:color w:val="000000"/>
                <w:sz w:val="22"/>
                <w:szCs w:val="22"/>
                <w:lang w:val="en-AU" w:eastAsia="en-AU"/>
              </w:rPr>
            </w:pPr>
          </w:p>
        </w:tc>
        <w:tc>
          <w:tcPr>
            <w:tcW w:w="960" w:type="dxa"/>
            <w:tcBorders>
              <w:top w:val="single" w:sz="4" w:space="0" w:color="auto"/>
              <w:left w:val="nil"/>
              <w:bottom w:val="nil"/>
              <w:right w:val="nil"/>
            </w:tcBorders>
            <w:shd w:val="clear" w:color="auto" w:fill="D9D9D9" w:themeFill="background1" w:themeFillShade="D9"/>
            <w:noWrap/>
            <w:vAlign w:val="bottom"/>
          </w:tcPr>
          <w:p w14:paraId="7552D676" w14:textId="77777777" w:rsidR="004003F9" w:rsidRPr="004003F9" w:rsidRDefault="004003F9" w:rsidP="004003F9">
            <w:pPr>
              <w:suppressAutoHyphens w:val="0"/>
              <w:rPr>
                <w:rFonts w:ascii="Calibri" w:hAnsi="Calibri" w:cs="Calibri"/>
                <w:color w:val="000000"/>
                <w:sz w:val="22"/>
                <w:szCs w:val="22"/>
                <w:lang w:val="en-AU" w:eastAsia="en-AU"/>
              </w:rPr>
            </w:pPr>
          </w:p>
        </w:tc>
        <w:tc>
          <w:tcPr>
            <w:tcW w:w="960" w:type="dxa"/>
            <w:tcBorders>
              <w:top w:val="single" w:sz="4" w:space="0" w:color="auto"/>
              <w:left w:val="nil"/>
              <w:bottom w:val="nil"/>
              <w:right w:val="nil"/>
            </w:tcBorders>
            <w:shd w:val="clear" w:color="auto" w:fill="D9D9D9" w:themeFill="background1" w:themeFillShade="D9"/>
            <w:noWrap/>
            <w:vAlign w:val="bottom"/>
          </w:tcPr>
          <w:p w14:paraId="05FA5CD0" w14:textId="77777777" w:rsidR="004003F9" w:rsidRPr="004003F9" w:rsidRDefault="004003F9" w:rsidP="004003F9">
            <w:pPr>
              <w:suppressAutoHyphens w:val="0"/>
              <w:rPr>
                <w:rFonts w:ascii="Calibri" w:hAnsi="Calibri" w:cs="Calibri"/>
                <w:color w:val="000000"/>
                <w:sz w:val="22"/>
                <w:szCs w:val="22"/>
                <w:lang w:val="en-AU" w:eastAsia="en-AU"/>
              </w:rPr>
            </w:pPr>
          </w:p>
        </w:tc>
      </w:tr>
      <w:tr w:rsidR="004003F9" w:rsidRPr="004003F9" w14:paraId="34B66DDF" w14:textId="77777777" w:rsidTr="00830EE6">
        <w:trPr>
          <w:trHeight w:val="290"/>
        </w:trPr>
        <w:tc>
          <w:tcPr>
            <w:tcW w:w="1418" w:type="dxa"/>
            <w:tcBorders>
              <w:top w:val="nil"/>
              <w:left w:val="nil"/>
              <w:bottom w:val="nil"/>
              <w:right w:val="nil"/>
            </w:tcBorders>
            <w:shd w:val="clear" w:color="auto" w:fill="auto"/>
            <w:noWrap/>
            <w:vAlign w:val="bottom"/>
            <w:hideMark/>
          </w:tcPr>
          <w:p w14:paraId="7C95260B" w14:textId="2DA398A6"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sidR="00830EE6">
              <w:rPr>
                <w:rFonts w:ascii="Calibri" w:hAnsi="Calibri" w:cs="Calibri"/>
                <w:color w:val="000000"/>
                <w:sz w:val="22"/>
                <w:szCs w:val="22"/>
                <w:lang w:val="en-AU" w:eastAsia="en-AU"/>
              </w:rPr>
              <w:t>ium</w:t>
            </w:r>
          </w:p>
        </w:tc>
        <w:tc>
          <w:tcPr>
            <w:tcW w:w="502" w:type="dxa"/>
            <w:tcBorders>
              <w:top w:val="nil"/>
              <w:left w:val="nil"/>
              <w:bottom w:val="nil"/>
              <w:right w:val="nil"/>
            </w:tcBorders>
            <w:shd w:val="clear" w:color="auto" w:fill="auto"/>
            <w:noWrap/>
            <w:vAlign w:val="bottom"/>
            <w:hideMark/>
          </w:tcPr>
          <w:p w14:paraId="00E16B49"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0.01</w:t>
            </w:r>
          </w:p>
        </w:tc>
        <w:tc>
          <w:tcPr>
            <w:tcW w:w="960" w:type="dxa"/>
            <w:tcBorders>
              <w:top w:val="nil"/>
              <w:left w:val="nil"/>
              <w:bottom w:val="nil"/>
              <w:right w:val="nil"/>
            </w:tcBorders>
            <w:shd w:val="clear" w:color="auto" w:fill="auto"/>
            <w:noWrap/>
            <w:vAlign w:val="bottom"/>
            <w:hideMark/>
          </w:tcPr>
          <w:p w14:paraId="62DD8996"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0.085</w:t>
            </w:r>
          </w:p>
        </w:tc>
        <w:tc>
          <w:tcPr>
            <w:tcW w:w="960" w:type="dxa"/>
            <w:tcBorders>
              <w:top w:val="nil"/>
              <w:left w:val="nil"/>
              <w:bottom w:val="nil"/>
              <w:right w:val="nil"/>
            </w:tcBorders>
            <w:shd w:val="clear" w:color="auto" w:fill="auto"/>
            <w:noWrap/>
            <w:vAlign w:val="bottom"/>
            <w:hideMark/>
          </w:tcPr>
          <w:p w14:paraId="67F436ED"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0.09</w:t>
            </w:r>
          </w:p>
        </w:tc>
        <w:tc>
          <w:tcPr>
            <w:tcW w:w="960" w:type="dxa"/>
            <w:tcBorders>
              <w:top w:val="nil"/>
              <w:left w:val="nil"/>
              <w:bottom w:val="nil"/>
              <w:right w:val="nil"/>
            </w:tcBorders>
            <w:shd w:val="clear" w:color="auto" w:fill="auto"/>
            <w:noWrap/>
            <w:vAlign w:val="bottom"/>
            <w:hideMark/>
          </w:tcPr>
          <w:p w14:paraId="1EEC1BEF"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3.26</w:t>
            </w:r>
          </w:p>
        </w:tc>
        <w:tc>
          <w:tcPr>
            <w:tcW w:w="960" w:type="dxa"/>
            <w:tcBorders>
              <w:top w:val="nil"/>
              <w:left w:val="nil"/>
              <w:bottom w:val="nil"/>
              <w:right w:val="nil"/>
            </w:tcBorders>
            <w:shd w:val="clear" w:color="auto" w:fill="auto"/>
            <w:noWrap/>
            <w:vAlign w:val="bottom"/>
            <w:hideMark/>
          </w:tcPr>
          <w:p w14:paraId="62F860A3"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2.69</w:t>
            </w:r>
          </w:p>
        </w:tc>
        <w:tc>
          <w:tcPr>
            <w:tcW w:w="960" w:type="dxa"/>
            <w:tcBorders>
              <w:top w:val="nil"/>
              <w:left w:val="nil"/>
              <w:bottom w:val="nil"/>
              <w:right w:val="nil"/>
            </w:tcBorders>
            <w:shd w:val="clear" w:color="auto" w:fill="auto"/>
            <w:noWrap/>
            <w:vAlign w:val="bottom"/>
            <w:hideMark/>
          </w:tcPr>
          <w:p w14:paraId="6DA02B9F"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0.002</w:t>
            </w:r>
          </w:p>
        </w:tc>
      </w:tr>
      <w:tr w:rsidR="004003F9" w:rsidRPr="004003F9" w14:paraId="390B1C70" w14:textId="77777777" w:rsidTr="00830EE6">
        <w:trPr>
          <w:trHeight w:val="290"/>
        </w:trPr>
        <w:tc>
          <w:tcPr>
            <w:tcW w:w="1418" w:type="dxa"/>
            <w:tcBorders>
              <w:top w:val="nil"/>
              <w:left w:val="nil"/>
              <w:bottom w:val="nil"/>
              <w:right w:val="nil"/>
            </w:tcBorders>
            <w:shd w:val="clear" w:color="auto" w:fill="auto"/>
            <w:noWrap/>
            <w:vAlign w:val="bottom"/>
            <w:hideMark/>
          </w:tcPr>
          <w:p w14:paraId="55A1C845" w14:textId="6CF5524C"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502" w:type="dxa"/>
            <w:tcBorders>
              <w:top w:val="nil"/>
              <w:left w:val="nil"/>
              <w:bottom w:val="nil"/>
              <w:right w:val="nil"/>
            </w:tcBorders>
            <w:shd w:val="clear" w:color="auto" w:fill="auto"/>
            <w:noWrap/>
            <w:vAlign w:val="bottom"/>
            <w:hideMark/>
          </w:tcPr>
          <w:p w14:paraId="3A8CEB1D"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0.025</w:t>
            </w:r>
          </w:p>
        </w:tc>
        <w:tc>
          <w:tcPr>
            <w:tcW w:w="960" w:type="dxa"/>
            <w:tcBorders>
              <w:top w:val="nil"/>
              <w:left w:val="nil"/>
              <w:bottom w:val="nil"/>
              <w:right w:val="nil"/>
            </w:tcBorders>
            <w:shd w:val="clear" w:color="auto" w:fill="auto"/>
            <w:noWrap/>
            <w:vAlign w:val="bottom"/>
            <w:hideMark/>
          </w:tcPr>
          <w:p w14:paraId="4B248E87"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0.139</w:t>
            </w:r>
          </w:p>
        </w:tc>
        <w:tc>
          <w:tcPr>
            <w:tcW w:w="960" w:type="dxa"/>
            <w:tcBorders>
              <w:top w:val="nil"/>
              <w:left w:val="nil"/>
              <w:bottom w:val="nil"/>
              <w:right w:val="nil"/>
            </w:tcBorders>
            <w:shd w:val="clear" w:color="auto" w:fill="auto"/>
            <w:noWrap/>
            <w:vAlign w:val="bottom"/>
            <w:hideMark/>
          </w:tcPr>
          <w:p w14:paraId="547CA676"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0.14</w:t>
            </w:r>
          </w:p>
        </w:tc>
        <w:tc>
          <w:tcPr>
            <w:tcW w:w="960" w:type="dxa"/>
            <w:tcBorders>
              <w:top w:val="nil"/>
              <w:left w:val="nil"/>
              <w:bottom w:val="nil"/>
              <w:right w:val="nil"/>
            </w:tcBorders>
            <w:shd w:val="clear" w:color="auto" w:fill="auto"/>
            <w:noWrap/>
            <w:vAlign w:val="bottom"/>
            <w:hideMark/>
          </w:tcPr>
          <w:p w14:paraId="4D0AD967"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5.63</w:t>
            </w:r>
          </w:p>
        </w:tc>
        <w:tc>
          <w:tcPr>
            <w:tcW w:w="960" w:type="dxa"/>
            <w:tcBorders>
              <w:top w:val="nil"/>
              <w:left w:val="nil"/>
              <w:bottom w:val="nil"/>
              <w:right w:val="nil"/>
            </w:tcBorders>
            <w:shd w:val="clear" w:color="auto" w:fill="auto"/>
            <w:noWrap/>
            <w:vAlign w:val="bottom"/>
            <w:hideMark/>
          </w:tcPr>
          <w:p w14:paraId="34432AC5"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3.74</w:t>
            </w:r>
          </w:p>
        </w:tc>
        <w:tc>
          <w:tcPr>
            <w:tcW w:w="960" w:type="dxa"/>
            <w:tcBorders>
              <w:top w:val="nil"/>
              <w:left w:val="nil"/>
              <w:bottom w:val="nil"/>
              <w:right w:val="nil"/>
            </w:tcBorders>
            <w:shd w:val="clear" w:color="auto" w:fill="auto"/>
            <w:noWrap/>
            <w:vAlign w:val="bottom"/>
            <w:hideMark/>
          </w:tcPr>
          <w:p w14:paraId="0FCCA60E" w14:textId="0881EBF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w:t>
            </w:r>
            <w:r w:rsidR="00830EE6">
              <w:rPr>
                <w:rFonts w:ascii="Calibri" w:hAnsi="Calibri" w:cs="Calibri"/>
                <w:color w:val="000000"/>
                <w:sz w:val="22"/>
                <w:szCs w:val="22"/>
                <w:lang w:val="en-AU" w:eastAsia="en-AU"/>
              </w:rPr>
              <w:t>.000</w:t>
            </w:r>
          </w:p>
        </w:tc>
      </w:tr>
      <w:tr w:rsidR="004003F9" w:rsidRPr="004003F9" w14:paraId="4A5EEFBF" w14:textId="77777777" w:rsidTr="00830EE6">
        <w:trPr>
          <w:trHeight w:val="290"/>
        </w:trPr>
        <w:tc>
          <w:tcPr>
            <w:tcW w:w="1418" w:type="dxa"/>
            <w:tcBorders>
              <w:top w:val="nil"/>
              <w:left w:val="nil"/>
              <w:bottom w:val="nil"/>
              <w:right w:val="nil"/>
            </w:tcBorders>
            <w:shd w:val="clear" w:color="auto" w:fill="auto"/>
            <w:noWrap/>
            <w:vAlign w:val="bottom"/>
            <w:hideMark/>
          </w:tcPr>
          <w:p w14:paraId="7A4EB4BF" w14:textId="67A2702C"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502" w:type="dxa"/>
            <w:tcBorders>
              <w:top w:val="nil"/>
              <w:left w:val="nil"/>
              <w:bottom w:val="nil"/>
              <w:right w:val="nil"/>
            </w:tcBorders>
            <w:shd w:val="clear" w:color="auto" w:fill="auto"/>
            <w:noWrap/>
            <w:vAlign w:val="bottom"/>
            <w:hideMark/>
          </w:tcPr>
          <w:p w14:paraId="38790F34"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0.027</w:t>
            </w:r>
          </w:p>
        </w:tc>
        <w:tc>
          <w:tcPr>
            <w:tcW w:w="960" w:type="dxa"/>
            <w:tcBorders>
              <w:top w:val="nil"/>
              <w:left w:val="nil"/>
              <w:bottom w:val="nil"/>
              <w:right w:val="nil"/>
            </w:tcBorders>
            <w:shd w:val="clear" w:color="auto" w:fill="auto"/>
            <w:noWrap/>
            <w:vAlign w:val="bottom"/>
            <w:hideMark/>
          </w:tcPr>
          <w:p w14:paraId="174915A2"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0.196</w:t>
            </w:r>
          </w:p>
        </w:tc>
        <w:tc>
          <w:tcPr>
            <w:tcW w:w="960" w:type="dxa"/>
            <w:tcBorders>
              <w:top w:val="nil"/>
              <w:left w:val="nil"/>
              <w:bottom w:val="nil"/>
              <w:right w:val="nil"/>
            </w:tcBorders>
            <w:shd w:val="clear" w:color="auto" w:fill="auto"/>
            <w:noWrap/>
            <w:vAlign w:val="bottom"/>
            <w:hideMark/>
          </w:tcPr>
          <w:p w14:paraId="69CFB639"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0.2</w:t>
            </w:r>
          </w:p>
        </w:tc>
        <w:tc>
          <w:tcPr>
            <w:tcW w:w="960" w:type="dxa"/>
            <w:tcBorders>
              <w:top w:val="nil"/>
              <w:left w:val="nil"/>
              <w:bottom w:val="nil"/>
              <w:right w:val="nil"/>
            </w:tcBorders>
            <w:shd w:val="clear" w:color="auto" w:fill="auto"/>
            <w:noWrap/>
            <w:vAlign w:val="bottom"/>
            <w:hideMark/>
          </w:tcPr>
          <w:p w14:paraId="608EA8C2"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8.51</w:t>
            </w:r>
          </w:p>
        </w:tc>
        <w:tc>
          <w:tcPr>
            <w:tcW w:w="960" w:type="dxa"/>
            <w:tcBorders>
              <w:top w:val="nil"/>
              <w:left w:val="nil"/>
              <w:bottom w:val="nil"/>
              <w:right w:val="nil"/>
            </w:tcBorders>
            <w:shd w:val="clear" w:color="auto" w:fill="auto"/>
            <w:noWrap/>
            <w:vAlign w:val="bottom"/>
            <w:hideMark/>
          </w:tcPr>
          <w:p w14:paraId="5BED0493"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3.37</w:t>
            </w:r>
          </w:p>
        </w:tc>
        <w:tc>
          <w:tcPr>
            <w:tcW w:w="960" w:type="dxa"/>
            <w:tcBorders>
              <w:top w:val="nil"/>
              <w:left w:val="nil"/>
              <w:bottom w:val="nil"/>
              <w:right w:val="nil"/>
            </w:tcBorders>
            <w:shd w:val="clear" w:color="auto" w:fill="auto"/>
            <w:noWrap/>
            <w:vAlign w:val="bottom"/>
            <w:hideMark/>
          </w:tcPr>
          <w:p w14:paraId="2ED55D09" w14:textId="5352F02C" w:rsidR="004003F9" w:rsidRPr="004003F9" w:rsidRDefault="00830EE6"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w:t>
            </w:r>
            <w:r>
              <w:rPr>
                <w:rFonts w:ascii="Calibri" w:hAnsi="Calibri" w:cs="Calibri"/>
                <w:color w:val="000000"/>
                <w:sz w:val="22"/>
                <w:szCs w:val="22"/>
                <w:lang w:val="en-AU" w:eastAsia="en-AU"/>
              </w:rPr>
              <w:t>.000</w:t>
            </w:r>
          </w:p>
        </w:tc>
      </w:tr>
      <w:tr w:rsidR="004003F9" w:rsidRPr="004003F9" w14:paraId="268E66DC" w14:textId="77777777" w:rsidTr="00830EE6">
        <w:trPr>
          <w:trHeight w:val="290"/>
        </w:trPr>
        <w:tc>
          <w:tcPr>
            <w:tcW w:w="1418" w:type="dxa"/>
            <w:tcBorders>
              <w:top w:val="nil"/>
              <w:left w:val="nil"/>
              <w:bottom w:val="nil"/>
              <w:right w:val="nil"/>
            </w:tcBorders>
            <w:shd w:val="clear" w:color="auto" w:fill="auto"/>
            <w:noWrap/>
            <w:vAlign w:val="bottom"/>
            <w:hideMark/>
          </w:tcPr>
          <w:p w14:paraId="3720452F" w14:textId="32FF6200"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502" w:type="dxa"/>
            <w:tcBorders>
              <w:top w:val="nil"/>
              <w:left w:val="nil"/>
              <w:bottom w:val="nil"/>
              <w:right w:val="nil"/>
            </w:tcBorders>
            <w:shd w:val="clear" w:color="auto" w:fill="auto"/>
            <w:noWrap/>
            <w:vAlign w:val="bottom"/>
            <w:hideMark/>
          </w:tcPr>
          <w:p w14:paraId="6C0AEAE5"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0.005</w:t>
            </w:r>
          </w:p>
        </w:tc>
        <w:tc>
          <w:tcPr>
            <w:tcW w:w="960" w:type="dxa"/>
            <w:tcBorders>
              <w:top w:val="nil"/>
              <w:left w:val="nil"/>
              <w:bottom w:val="nil"/>
              <w:right w:val="nil"/>
            </w:tcBorders>
            <w:shd w:val="clear" w:color="auto" w:fill="auto"/>
            <w:noWrap/>
            <w:vAlign w:val="bottom"/>
            <w:hideMark/>
          </w:tcPr>
          <w:p w14:paraId="79E256B0"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0.038</w:t>
            </w:r>
          </w:p>
        </w:tc>
        <w:tc>
          <w:tcPr>
            <w:tcW w:w="960" w:type="dxa"/>
            <w:tcBorders>
              <w:top w:val="nil"/>
              <w:left w:val="nil"/>
              <w:bottom w:val="nil"/>
              <w:right w:val="nil"/>
            </w:tcBorders>
            <w:shd w:val="clear" w:color="auto" w:fill="auto"/>
            <w:noWrap/>
            <w:vAlign w:val="bottom"/>
            <w:hideMark/>
          </w:tcPr>
          <w:p w14:paraId="7B2495BF"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0.04</w:t>
            </w:r>
          </w:p>
        </w:tc>
        <w:tc>
          <w:tcPr>
            <w:tcW w:w="960" w:type="dxa"/>
            <w:tcBorders>
              <w:top w:val="nil"/>
              <w:left w:val="nil"/>
              <w:bottom w:val="nil"/>
              <w:right w:val="nil"/>
            </w:tcBorders>
            <w:shd w:val="clear" w:color="auto" w:fill="auto"/>
            <w:noWrap/>
            <w:vAlign w:val="bottom"/>
            <w:hideMark/>
          </w:tcPr>
          <w:p w14:paraId="4591AB4F"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1.37</w:t>
            </w:r>
          </w:p>
        </w:tc>
        <w:tc>
          <w:tcPr>
            <w:tcW w:w="960" w:type="dxa"/>
            <w:tcBorders>
              <w:top w:val="nil"/>
              <w:left w:val="nil"/>
              <w:bottom w:val="nil"/>
              <w:right w:val="nil"/>
            </w:tcBorders>
            <w:shd w:val="clear" w:color="auto" w:fill="auto"/>
            <w:noWrap/>
            <w:vAlign w:val="bottom"/>
            <w:hideMark/>
          </w:tcPr>
          <w:p w14:paraId="0065D756"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1.44</w:t>
            </w:r>
          </w:p>
        </w:tc>
        <w:tc>
          <w:tcPr>
            <w:tcW w:w="960" w:type="dxa"/>
            <w:tcBorders>
              <w:top w:val="nil"/>
              <w:left w:val="nil"/>
              <w:bottom w:val="nil"/>
              <w:right w:val="nil"/>
            </w:tcBorders>
            <w:shd w:val="clear" w:color="auto" w:fill="auto"/>
            <w:noWrap/>
            <w:vAlign w:val="bottom"/>
            <w:hideMark/>
          </w:tcPr>
          <w:p w14:paraId="5E02A55A"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0.077</w:t>
            </w:r>
          </w:p>
        </w:tc>
      </w:tr>
      <w:tr w:rsidR="004003F9" w:rsidRPr="004003F9" w14:paraId="42F34250" w14:textId="77777777" w:rsidTr="00830EE6">
        <w:trPr>
          <w:trHeight w:val="290"/>
        </w:trPr>
        <w:tc>
          <w:tcPr>
            <w:tcW w:w="1418" w:type="dxa"/>
            <w:tcBorders>
              <w:top w:val="nil"/>
              <w:left w:val="nil"/>
              <w:bottom w:val="nil"/>
              <w:right w:val="nil"/>
            </w:tcBorders>
            <w:shd w:val="clear" w:color="auto" w:fill="auto"/>
            <w:noWrap/>
            <w:vAlign w:val="bottom"/>
            <w:hideMark/>
          </w:tcPr>
          <w:p w14:paraId="400CBCC5" w14:textId="0AEEB0A7"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502" w:type="dxa"/>
            <w:tcBorders>
              <w:top w:val="nil"/>
              <w:left w:val="nil"/>
              <w:bottom w:val="nil"/>
              <w:right w:val="nil"/>
            </w:tcBorders>
            <w:shd w:val="clear" w:color="auto" w:fill="auto"/>
            <w:noWrap/>
            <w:vAlign w:val="bottom"/>
            <w:hideMark/>
          </w:tcPr>
          <w:p w14:paraId="43B2A9E8"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0.021</w:t>
            </w:r>
          </w:p>
        </w:tc>
        <w:tc>
          <w:tcPr>
            <w:tcW w:w="960" w:type="dxa"/>
            <w:tcBorders>
              <w:top w:val="nil"/>
              <w:left w:val="nil"/>
              <w:bottom w:val="nil"/>
              <w:right w:val="nil"/>
            </w:tcBorders>
            <w:shd w:val="clear" w:color="auto" w:fill="auto"/>
            <w:noWrap/>
            <w:vAlign w:val="bottom"/>
            <w:hideMark/>
          </w:tcPr>
          <w:p w14:paraId="382D090A"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0.184</w:t>
            </w:r>
          </w:p>
        </w:tc>
        <w:tc>
          <w:tcPr>
            <w:tcW w:w="960" w:type="dxa"/>
            <w:tcBorders>
              <w:top w:val="nil"/>
              <w:left w:val="nil"/>
              <w:bottom w:val="nil"/>
              <w:right w:val="nil"/>
            </w:tcBorders>
            <w:shd w:val="clear" w:color="auto" w:fill="auto"/>
            <w:noWrap/>
            <w:vAlign w:val="bottom"/>
            <w:hideMark/>
          </w:tcPr>
          <w:p w14:paraId="32C0A3B8"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0.18</w:t>
            </w:r>
          </w:p>
        </w:tc>
        <w:tc>
          <w:tcPr>
            <w:tcW w:w="960" w:type="dxa"/>
            <w:tcBorders>
              <w:top w:val="nil"/>
              <w:left w:val="nil"/>
              <w:bottom w:val="nil"/>
              <w:right w:val="nil"/>
            </w:tcBorders>
            <w:shd w:val="clear" w:color="auto" w:fill="auto"/>
            <w:noWrap/>
            <w:vAlign w:val="bottom"/>
            <w:hideMark/>
          </w:tcPr>
          <w:p w14:paraId="23559094"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7.9</w:t>
            </w:r>
          </w:p>
        </w:tc>
        <w:tc>
          <w:tcPr>
            <w:tcW w:w="960" w:type="dxa"/>
            <w:tcBorders>
              <w:top w:val="nil"/>
              <w:left w:val="nil"/>
              <w:bottom w:val="nil"/>
              <w:right w:val="nil"/>
            </w:tcBorders>
            <w:shd w:val="clear" w:color="auto" w:fill="auto"/>
            <w:noWrap/>
            <w:vAlign w:val="bottom"/>
            <w:hideMark/>
          </w:tcPr>
          <w:p w14:paraId="2498433A"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4.14</w:t>
            </w:r>
          </w:p>
        </w:tc>
        <w:tc>
          <w:tcPr>
            <w:tcW w:w="960" w:type="dxa"/>
            <w:tcBorders>
              <w:top w:val="nil"/>
              <w:left w:val="nil"/>
              <w:bottom w:val="nil"/>
              <w:right w:val="nil"/>
            </w:tcBorders>
            <w:shd w:val="clear" w:color="auto" w:fill="auto"/>
            <w:noWrap/>
            <w:vAlign w:val="bottom"/>
            <w:hideMark/>
          </w:tcPr>
          <w:p w14:paraId="0057CA29" w14:textId="0C5C414D" w:rsidR="004003F9" w:rsidRPr="004003F9" w:rsidRDefault="00830EE6"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w:t>
            </w:r>
            <w:r>
              <w:rPr>
                <w:rFonts w:ascii="Calibri" w:hAnsi="Calibri" w:cs="Calibri"/>
                <w:color w:val="000000"/>
                <w:sz w:val="22"/>
                <w:szCs w:val="22"/>
                <w:lang w:val="en-AU" w:eastAsia="en-AU"/>
              </w:rPr>
              <w:t>.000</w:t>
            </w:r>
          </w:p>
        </w:tc>
      </w:tr>
      <w:tr w:rsidR="004003F9" w:rsidRPr="004003F9" w14:paraId="7450E665" w14:textId="77777777" w:rsidTr="00830EE6">
        <w:trPr>
          <w:trHeight w:val="290"/>
        </w:trPr>
        <w:tc>
          <w:tcPr>
            <w:tcW w:w="1418" w:type="dxa"/>
            <w:tcBorders>
              <w:top w:val="nil"/>
              <w:left w:val="nil"/>
              <w:bottom w:val="nil"/>
              <w:right w:val="nil"/>
            </w:tcBorders>
            <w:shd w:val="clear" w:color="auto" w:fill="D9D9D9" w:themeFill="background1" w:themeFillShade="D9"/>
            <w:noWrap/>
            <w:vAlign w:val="bottom"/>
            <w:hideMark/>
          </w:tcPr>
          <w:p w14:paraId="0943D27B" w14:textId="77777777" w:rsidR="004003F9" w:rsidRPr="004003F9" w:rsidRDefault="004003F9" w:rsidP="004003F9">
            <w:pPr>
              <w:suppressAutoHyphens w:val="0"/>
              <w:jc w:val="right"/>
              <w:rPr>
                <w:rFonts w:ascii="Calibri" w:hAnsi="Calibri" w:cs="Calibri"/>
                <w:color w:val="000000"/>
                <w:sz w:val="22"/>
                <w:szCs w:val="22"/>
                <w:lang w:val="en-AU" w:eastAsia="en-AU"/>
              </w:rPr>
            </w:pPr>
          </w:p>
        </w:tc>
        <w:tc>
          <w:tcPr>
            <w:tcW w:w="502" w:type="dxa"/>
            <w:tcBorders>
              <w:top w:val="nil"/>
              <w:left w:val="nil"/>
              <w:bottom w:val="nil"/>
              <w:right w:val="nil"/>
            </w:tcBorders>
            <w:shd w:val="clear" w:color="auto" w:fill="D9D9D9" w:themeFill="background1" w:themeFillShade="D9"/>
            <w:noWrap/>
            <w:vAlign w:val="bottom"/>
          </w:tcPr>
          <w:p w14:paraId="09EE6B44" w14:textId="23F8F0CB" w:rsidR="004003F9" w:rsidRPr="004003F9" w:rsidRDefault="004003F9" w:rsidP="004003F9">
            <w:pPr>
              <w:suppressAutoHyphens w:val="0"/>
              <w:rPr>
                <w:rFonts w:ascii="Calibri" w:hAnsi="Calibri" w:cs="Calibri"/>
                <w:color w:val="000000"/>
                <w:sz w:val="22"/>
                <w:szCs w:val="22"/>
                <w:lang w:val="en-AU" w:eastAsia="en-AU"/>
              </w:rPr>
            </w:pPr>
          </w:p>
        </w:tc>
        <w:tc>
          <w:tcPr>
            <w:tcW w:w="960" w:type="dxa"/>
            <w:tcBorders>
              <w:top w:val="nil"/>
              <w:left w:val="nil"/>
              <w:bottom w:val="nil"/>
              <w:right w:val="nil"/>
            </w:tcBorders>
            <w:shd w:val="clear" w:color="auto" w:fill="D9D9D9" w:themeFill="background1" w:themeFillShade="D9"/>
            <w:noWrap/>
            <w:vAlign w:val="bottom"/>
          </w:tcPr>
          <w:p w14:paraId="1A95B41F" w14:textId="37A3DA42" w:rsidR="004003F9" w:rsidRPr="004003F9" w:rsidRDefault="004003F9" w:rsidP="004003F9">
            <w:pPr>
              <w:suppressAutoHyphens w:val="0"/>
              <w:rPr>
                <w:rFonts w:ascii="Calibri" w:hAnsi="Calibri" w:cs="Calibri"/>
                <w:color w:val="000000"/>
                <w:sz w:val="22"/>
                <w:szCs w:val="22"/>
                <w:lang w:val="en-AU" w:eastAsia="en-AU"/>
              </w:rPr>
            </w:pPr>
          </w:p>
        </w:tc>
        <w:tc>
          <w:tcPr>
            <w:tcW w:w="960" w:type="dxa"/>
            <w:tcBorders>
              <w:top w:val="nil"/>
              <w:left w:val="nil"/>
              <w:bottom w:val="nil"/>
              <w:right w:val="nil"/>
            </w:tcBorders>
            <w:shd w:val="clear" w:color="auto" w:fill="D9D9D9" w:themeFill="background1" w:themeFillShade="D9"/>
            <w:noWrap/>
            <w:vAlign w:val="bottom"/>
          </w:tcPr>
          <w:p w14:paraId="7C2BC760" w14:textId="0AD77150" w:rsidR="004003F9" w:rsidRPr="004003F9" w:rsidRDefault="004003F9" w:rsidP="004003F9">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L</w:t>
            </w:r>
            <w:r w:rsidR="00830EE6">
              <w:rPr>
                <w:rFonts w:ascii="Calibri" w:hAnsi="Calibri" w:cs="Calibri"/>
                <w:color w:val="000000"/>
                <w:sz w:val="22"/>
                <w:szCs w:val="22"/>
                <w:lang w:val="en-AU" w:eastAsia="en-AU"/>
              </w:rPr>
              <w:t>M</w:t>
            </w:r>
          </w:p>
        </w:tc>
        <w:tc>
          <w:tcPr>
            <w:tcW w:w="960" w:type="dxa"/>
            <w:tcBorders>
              <w:top w:val="nil"/>
              <w:left w:val="nil"/>
              <w:bottom w:val="nil"/>
              <w:right w:val="nil"/>
            </w:tcBorders>
            <w:shd w:val="clear" w:color="auto" w:fill="D9D9D9" w:themeFill="background1" w:themeFillShade="D9"/>
            <w:noWrap/>
            <w:vAlign w:val="bottom"/>
          </w:tcPr>
          <w:p w14:paraId="368C9DF8" w14:textId="619AC0E9" w:rsidR="004003F9" w:rsidRPr="004003F9" w:rsidRDefault="004003F9" w:rsidP="004003F9">
            <w:pPr>
              <w:suppressAutoHyphens w:val="0"/>
              <w:rPr>
                <w:rFonts w:ascii="Calibri" w:hAnsi="Calibri" w:cs="Calibri"/>
                <w:color w:val="000000"/>
                <w:sz w:val="22"/>
                <w:szCs w:val="22"/>
                <w:lang w:val="en-AU" w:eastAsia="en-AU"/>
              </w:rPr>
            </w:pPr>
          </w:p>
        </w:tc>
        <w:tc>
          <w:tcPr>
            <w:tcW w:w="960" w:type="dxa"/>
            <w:tcBorders>
              <w:top w:val="nil"/>
              <w:left w:val="nil"/>
              <w:bottom w:val="nil"/>
              <w:right w:val="nil"/>
            </w:tcBorders>
            <w:shd w:val="clear" w:color="auto" w:fill="D9D9D9" w:themeFill="background1" w:themeFillShade="D9"/>
            <w:noWrap/>
            <w:vAlign w:val="bottom"/>
          </w:tcPr>
          <w:p w14:paraId="4B9502BE" w14:textId="66157E4A" w:rsidR="004003F9" w:rsidRPr="004003F9" w:rsidRDefault="004003F9" w:rsidP="004003F9">
            <w:pPr>
              <w:suppressAutoHyphens w:val="0"/>
              <w:rPr>
                <w:rFonts w:ascii="Calibri" w:hAnsi="Calibri" w:cs="Calibri"/>
                <w:color w:val="000000"/>
                <w:sz w:val="22"/>
                <w:szCs w:val="22"/>
                <w:lang w:val="en-AU" w:eastAsia="en-AU"/>
              </w:rPr>
            </w:pPr>
          </w:p>
        </w:tc>
        <w:tc>
          <w:tcPr>
            <w:tcW w:w="960" w:type="dxa"/>
            <w:tcBorders>
              <w:top w:val="nil"/>
              <w:left w:val="nil"/>
              <w:bottom w:val="nil"/>
              <w:right w:val="nil"/>
            </w:tcBorders>
            <w:shd w:val="clear" w:color="auto" w:fill="D9D9D9" w:themeFill="background1" w:themeFillShade="D9"/>
            <w:noWrap/>
            <w:vAlign w:val="bottom"/>
          </w:tcPr>
          <w:p w14:paraId="2E971016" w14:textId="3E733DC5" w:rsidR="004003F9" w:rsidRPr="004003F9" w:rsidRDefault="004003F9" w:rsidP="004003F9">
            <w:pPr>
              <w:suppressAutoHyphens w:val="0"/>
              <w:rPr>
                <w:rFonts w:ascii="Calibri" w:hAnsi="Calibri" w:cs="Calibri"/>
                <w:color w:val="000000"/>
                <w:sz w:val="22"/>
                <w:szCs w:val="22"/>
                <w:lang w:val="en-AU" w:eastAsia="en-AU"/>
              </w:rPr>
            </w:pPr>
          </w:p>
        </w:tc>
      </w:tr>
      <w:tr w:rsidR="004003F9" w:rsidRPr="004003F9" w14:paraId="0BAD2D08" w14:textId="77777777" w:rsidTr="00830EE6">
        <w:trPr>
          <w:trHeight w:val="290"/>
        </w:trPr>
        <w:tc>
          <w:tcPr>
            <w:tcW w:w="1418" w:type="dxa"/>
            <w:tcBorders>
              <w:top w:val="nil"/>
              <w:left w:val="nil"/>
              <w:bottom w:val="nil"/>
              <w:right w:val="nil"/>
            </w:tcBorders>
            <w:shd w:val="clear" w:color="auto" w:fill="auto"/>
            <w:noWrap/>
            <w:vAlign w:val="bottom"/>
            <w:hideMark/>
          </w:tcPr>
          <w:p w14:paraId="5EA398B1" w14:textId="70DF6D8E"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sidR="00830EE6">
              <w:rPr>
                <w:rFonts w:ascii="Calibri" w:hAnsi="Calibri" w:cs="Calibri"/>
                <w:color w:val="000000"/>
                <w:sz w:val="22"/>
                <w:szCs w:val="22"/>
                <w:lang w:val="en-AU" w:eastAsia="en-AU"/>
              </w:rPr>
              <w:t>ium</w:t>
            </w:r>
          </w:p>
        </w:tc>
        <w:tc>
          <w:tcPr>
            <w:tcW w:w="502" w:type="dxa"/>
            <w:tcBorders>
              <w:top w:val="nil"/>
              <w:left w:val="nil"/>
              <w:bottom w:val="nil"/>
              <w:right w:val="nil"/>
            </w:tcBorders>
            <w:shd w:val="clear" w:color="auto" w:fill="auto"/>
            <w:noWrap/>
            <w:vAlign w:val="bottom"/>
            <w:hideMark/>
          </w:tcPr>
          <w:p w14:paraId="45259CA3"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0.034</w:t>
            </w:r>
          </w:p>
        </w:tc>
        <w:tc>
          <w:tcPr>
            <w:tcW w:w="960" w:type="dxa"/>
            <w:tcBorders>
              <w:top w:val="nil"/>
              <w:left w:val="nil"/>
              <w:bottom w:val="nil"/>
              <w:right w:val="nil"/>
            </w:tcBorders>
            <w:shd w:val="clear" w:color="auto" w:fill="auto"/>
            <w:noWrap/>
            <w:vAlign w:val="bottom"/>
            <w:hideMark/>
          </w:tcPr>
          <w:p w14:paraId="4EF6E6FD"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0.15</w:t>
            </w:r>
          </w:p>
        </w:tc>
        <w:tc>
          <w:tcPr>
            <w:tcW w:w="960" w:type="dxa"/>
            <w:tcBorders>
              <w:top w:val="nil"/>
              <w:left w:val="nil"/>
              <w:bottom w:val="nil"/>
              <w:right w:val="nil"/>
            </w:tcBorders>
            <w:shd w:val="clear" w:color="auto" w:fill="auto"/>
            <w:noWrap/>
            <w:vAlign w:val="bottom"/>
            <w:hideMark/>
          </w:tcPr>
          <w:p w14:paraId="71086694"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0.15</w:t>
            </w:r>
          </w:p>
        </w:tc>
        <w:tc>
          <w:tcPr>
            <w:tcW w:w="960" w:type="dxa"/>
            <w:tcBorders>
              <w:top w:val="nil"/>
              <w:left w:val="nil"/>
              <w:bottom w:val="nil"/>
              <w:right w:val="nil"/>
            </w:tcBorders>
            <w:shd w:val="clear" w:color="auto" w:fill="auto"/>
            <w:noWrap/>
            <w:vAlign w:val="bottom"/>
            <w:hideMark/>
          </w:tcPr>
          <w:p w14:paraId="6A542078"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6.17</w:t>
            </w:r>
          </w:p>
        </w:tc>
        <w:tc>
          <w:tcPr>
            <w:tcW w:w="960" w:type="dxa"/>
            <w:tcBorders>
              <w:top w:val="nil"/>
              <w:left w:val="nil"/>
              <w:bottom w:val="nil"/>
              <w:right w:val="nil"/>
            </w:tcBorders>
            <w:shd w:val="clear" w:color="auto" w:fill="auto"/>
            <w:noWrap/>
            <w:vAlign w:val="bottom"/>
            <w:hideMark/>
          </w:tcPr>
          <w:p w14:paraId="386E7A3B"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3</w:t>
            </w:r>
          </w:p>
        </w:tc>
        <w:tc>
          <w:tcPr>
            <w:tcW w:w="960" w:type="dxa"/>
            <w:tcBorders>
              <w:top w:val="nil"/>
              <w:left w:val="nil"/>
              <w:bottom w:val="nil"/>
              <w:right w:val="nil"/>
            </w:tcBorders>
            <w:shd w:val="clear" w:color="auto" w:fill="auto"/>
            <w:noWrap/>
            <w:vAlign w:val="bottom"/>
            <w:hideMark/>
          </w:tcPr>
          <w:p w14:paraId="0153ECB9" w14:textId="5B635F94" w:rsidR="004003F9" w:rsidRPr="004003F9" w:rsidRDefault="00830EE6"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w:t>
            </w:r>
            <w:r>
              <w:rPr>
                <w:rFonts w:ascii="Calibri" w:hAnsi="Calibri" w:cs="Calibri"/>
                <w:color w:val="000000"/>
                <w:sz w:val="22"/>
                <w:szCs w:val="22"/>
                <w:lang w:val="en-AU" w:eastAsia="en-AU"/>
              </w:rPr>
              <w:t>.000</w:t>
            </w:r>
          </w:p>
        </w:tc>
      </w:tr>
      <w:tr w:rsidR="004003F9" w:rsidRPr="004003F9" w14:paraId="49BF72B8" w14:textId="77777777" w:rsidTr="00830EE6">
        <w:trPr>
          <w:trHeight w:val="290"/>
        </w:trPr>
        <w:tc>
          <w:tcPr>
            <w:tcW w:w="1418" w:type="dxa"/>
            <w:tcBorders>
              <w:top w:val="nil"/>
              <w:left w:val="nil"/>
              <w:bottom w:val="nil"/>
              <w:right w:val="nil"/>
            </w:tcBorders>
            <w:shd w:val="clear" w:color="auto" w:fill="auto"/>
            <w:noWrap/>
            <w:vAlign w:val="bottom"/>
            <w:hideMark/>
          </w:tcPr>
          <w:p w14:paraId="0DA54BC0" w14:textId="2C5470F5"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502" w:type="dxa"/>
            <w:tcBorders>
              <w:top w:val="nil"/>
              <w:left w:val="nil"/>
              <w:bottom w:val="nil"/>
              <w:right w:val="nil"/>
            </w:tcBorders>
            <w:shd w:val="clear" w:color="auto" w:fill="auto"/>
            <w:noWrap/>
            <w:vAlign w:val="bottom"/>
            <w:hideMark/>
          </w:tcPr>
          <w:p w14:paraId="1957BA70"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0.09</w:t>
            </w:r>
          </w:p>
        </w:tc>
        <w:tc>
          <w:tcPr>
            <w:tcW w:w="960" w:type="dxa"/>
            <w:tcBorders>
              <w:top w:val="nil"/>
              <w:left w:val="nil"/>
              <w:bottom w:val="nil"/>
              <w:right w:val="nil"/>
            </w:tcBorders>
            <w:shd w:val="clear" w:color="auto" w:fill="auto"/>
            <w:noWrap/>
            <w:vAlign w:val="bottom"/>
            <w:hideMark/>
          </w:tcPr>
          <w:p w14:paraId="559826ED"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0.239</w:t>
            </w:r>
          </w:p>
        </w:tc>
        <w:tc>
          <w:tcPr>
            <w:tcW w:w="960" w:type="dxa"/>
            <w:tcBorders>
              <w:top w:val="nil"/>
              <w:left w:val="nil"/>
              <w:bottom w:val="nil"/>
              <w:right w:val="nil"/>
            </w:tcBorders>
            <w:shd w:val="clear" w:color="auto" w:fill="auto"/>
            <w:noWrap/>
            <w:vAlign w:val="bottom"/>
            <w:hideMark/>
          </w:tcPr>
          <w:p w14:paraId="491A3830"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0.24</w:t>
            </w:r>
          </w:p>
        </w:tc>
        <w:tc>
          <w:tcPr>
            <w:tcW w:w="960" w:type="dxa"/>
            <w:tcBorders>
              <w:top w:val="nil"/>
              <w:left w:val="nil"/>
              <w:bottom w:val="nil"/>
              <w:right w:val="nil"/>
            </w:tcBorders>
            <w:shd w:val="clear" w:color="auto" w:fill="auto"/>
            <w:noWrap/>
            <w:vAlign w:val="bottom"/>
            <w:hideMark/>
          </w:tcPr>
          <w:p w14:paraId="0DEA62C1"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11.02</w:t>
            </w:r>
          </w:p>
        </w:tc>
        <w:tc>
          <w:tcPr>
            <w:tcW w:w="960" w:type="dxa"/>
            <w:tcBorders>
              <w:top w:val="nil"/>
              <w:left w:val="nil"/>
              <w:bottom w:val="nil"/>
              <w:right w:val="nil"/>
            </w:tcBorders>
            <w:shd w:val="clear" w:color="auto" w:fill="auto"/>
            <w:noWrap/>
            <w:vAlign w:val="bottom"/>
            <w:hideMark/>
          </w:tcPr>
          <w:p w14:paraId="73DB4D5E"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4.18</w:t>
            </w:r>
          </w:p>
        </w:tc>
        <w:tc>
          <w:tcPr>
            <w:tcW w:w="960" w:type="dxa"/>
            <w:tcBorders>
              <w:top w:val="nil"/>
              <w:left w:val="nil"/>
              <w:bottom w:val="nil"/>
              <w:right w:val="nil"/>
            </w:tcBorders>
            <w:shd w:val="clear" w:color="auto" w:fill="auto"/>
            <w:noWrap/>
            <w:vAlign w:val="bottom"/>
            <w:hideMark/>
          </w:tcPr>
          <w:p w14:paraId="3F340563" w14:textId="299D07A5" w:rsidR="004003F9" w:rsidRPr="004003F9" w:rsidRDefault="00830EE6"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w:t>
            </w:r>
            <w:r>
              <w:rPr>
                <w:rFonts w:ascii="Calibri" w:hAnsi="Calibri" w:cs="Calibri"/>
                <w:color w:val="000000"/>
                <w:sz w:val="22"/>
                <w:szCs w:val="22"/>
                <w:lang w:val="en-AU" w:eastAsia="en-AU"/>
              </w:rPr>
              <w:t>.000</w:t>
            </w:r>
          </w:p>
        </w:tc>
      </w:tr>
      <w:tr w:rsidR="004003F9" w:rsidRPr="004003F9" w14:paraId="3990B3DC" w14:textId="77777777" w:rsidTr="00830EE6">
        <w:trPr>
          <w:trHeight w:val="290"/>
        </w:trPr>
        <w:tc>
          <w:tcPr>
            <w:tcW w:w="1418" w:type="dxa"/>
            <w:tcBorders>
              <w:top w:val="nil"/>
              <w:left w:val="nil"/>
              <w:bottom w:val="nil"/>
              <w:right w:val="nil"/>
            </w:tcBorders>
            <w:shd w:val="clear" w:color="auto" w:fill="auto"/>
            <w:noWrap/>
            <w:vAlign w:val="bottom"/>
            <w:hideMark/>
          </w:tcPr>
          <w:p w14:paraId="50A0C8D2" w14:textId="0C84B067"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502" w:type="dxa"/>
            <w:tcBorders>
              <w:top w:val="nil"/>
              <w:left w:val="nil"/>
              <w:bottom w:val="nil"/>
              <w:right w:val="nil"/>
            </w:tcBorders>
            <w:shd w:val="clear" w:color="auto" w:fill="auto"/>
            <w:noWrap/>
            <w:vAlign w:val="bottom"/>
            <w:hideMark/>
          </w:tcPr>
          <w:p w14:paraId="4345012C"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w:t>
            </w:r>
          </w:p>
        </w:tc>
        <w:tc>
          <w:tcPr>
            <w:tcW w:w="960" w:type="dxa"/>
            <w:tcBorders>
              <w:top w:val="nil"/>
              <w:left w:val="nil"/>
              <w:bottom w:val="nil"/>
              <w:right w:val="nil"/>
            </w:tcBorders>
            <w:shd w:val="clear" w:color="auto" w:fill="auto"/>
            <w:noWrap/>
            <w:vAlign w:val="bottom"/>
            <w:hideMark/>
          </w:tcPr>
          <w:p w14:paraId="494AC981"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0.318</w:t>
            </w:r>
          </w:p>
        </w:tc>
        <w:tc>
          <w:tcPr>
            <w:tcW w:w="960" w:type="dxa"/>
            <w:tcBorders>
              <w:top w:val="nil"/>
              <w:left w:val="nil"/>
              <w:bottom w:val="nil"/>
              <w:right w:val="nil"/>
            </w:tcBorders>
            <w:shd w:val="clear" w:color="auto" w:fill="auto"/>
            <w:noWrap/>
            <w:vAlign w:val="bottom"/>
            <w:hideMark/>
          </w:tcPr>
          <w:p w14:paraId="55212F81"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0.32</w:t>
            </w:r>
          </w:p>
        </w:tc>
        <w:tc>
          <w:tcPr>
            <w:tcW w:w="960" w:type="dxa"/>
            <w:tcBorders>
              <w:top w:val="nil"/>
              <w:left w:val="nil"/>
              <w:bottom w:val="nil"/>
              <w:right w:val="nil"/>
            </w:tcBorders>
            <w:shd w:val="clear" w:color="auto" w:fill="auto"/>
            <w:noWrap/>
            <w:vAlign w:val="bottom"/>
            <w:hideMark/>
          </w:tcPr>
          <w:p w14:paraId="7528594D"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16.34</w:t>
            </w:r>
          </w:p>
        </w:tc>
        <w:tc>
          <w:tcPr>
            <w:tcW w:w="960" w:type="dxa"/>
            <w:tcBorders>
              <w:top w:val="nil"/>
              <w:left w:val="nil"/>
              <w:bottom w:val="nil"/>
              <w:right w:val="nil"/>
            </w:tcBorders>
            <w:shd w:val="clear" w:color="auto" w:fill="auto"/>
            <w:noWrap/>
            <w:vAlign w:val="bottom"/>
            <w:hideMark/>
          </w:tcPr>
          <w:p w14:paraId="27F6DF54"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3.45</w:t>
            </w:r>
          </w:p>
        </w:tc>
        <w:tc>
          <w:tcPr>
            <w:tcW w:w="960" w:type="dxa"/>
            <w:tcBorders>
              <w:top w:val="nil"/>
              <w:left w:val="nil"/>
              <w:bottom w:val="nil"/>
              <w:right w:val="nil"/>
            </w:tcBorders>
            <w:shd w:val="clear" w:color="auto" w:fill="auto"/>
            <w:noWrap/>
            <w:vAlign w:val="bottom"/>
            <w:hideMark/>
          </w:tcPr>
          <w:p w14:paraId="44E252D6" w14:textId="5D836290" w:rsidR="004003F9" w:rsidRPr="004003F9" w:rsidRDefault="00830EE6"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w:t>
            </w:r>
            <w:r>
              <w:rPr>
                <w:rFonts w:ascii="Calibri" w:hAnsi="Calibri" w:cs="Calibri"/>
                <w:color w:val="000000"/>
                <w:sz w:val="22"/>
                <w:szCs w:val="22"/>
                <w:lang w:val="en-AU" w:eastAsia="en-AU"/>
              </w:rPr>
              <w:t>.000</w:t>
            </w:r>
          </w:p>
        </w:tc>
      </w:tr>
      <w:tr w:rsidR="004003F9" w:rsidRPr="004003F9" w14:paraId="47838F98" w14:textId="77777777" w:rsidTr="00830EE6">
        <w:trPr>
          <w:trHeight w:val="290"/>
        </w:trPr>
        <w:tc>
          <w:tcPr>
            <w:tcW w:w="1418" w:type="dxa"/>
            <w:tcBorders>
              <w:top w:val="nil"/>
              <w:left w:val="nil"/>
              <w:right w:val="nil"/>
            </w:tcBorders>
            <w:shd w:val="clear" w:color="auto" w:fill="auto"/>
            <w:noWrap/>
            <w:vAlign w:val="bottom"/>
            <w:hideMark/>
          </w:tcPr>
          <w:p w14:paraId="7F50C9C6" w14:textId="3CBC9F6A"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502" w:type="dxa"/>
            <w:tcBorders>
              <w:top w:val="nil"/>
              <w:left w:val="nil"/>
              <w:right w:val="nil"/>
            </w:tcBorders>
            <w:shd w:val="clear" w:color="auto" w:fill="auto"/>
            <w:noWrap/>
            <w:vAlign w:val="bottom"/>
            <w:hideMark/>
          </w:tcPr>
          <w:p w14:paraId="59599C60"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0.028</w:t>
            </w:r>
          </w:p>
        </w:tc>
        <w:tc>
          <w:tcPr>
            <w:tcW w:w="960" w:type="dxa"/>
            <w:tcBorders>
              <w:top w:val="nil"/>
              <w:left w:val="nil"/>
              <w:right w:val="nil"/>
            </w:tcBorders>
            <w:shd w:val="clear" w:color="auto" w:fill="auto"/>
            <w:noWrap/>
            <w:vAlign w:val="bottom"/>
            <w:hideMark/>
          </w:tcPr>
          <w:p w14:paraId="5DD0FAFF"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0.111</w:t>
            </w:r>
          </w:p>
        </w:tc>
        <w:tc>
          <w:tcPr>
            <w:tcW w:w="960" w:type="dxa"/>
            <w:tcBorders>
              <w:top w:val="nil"/>
              <w:left w:val="nil"/>
              <w:right w:val="nil"/>
            </w:tcBorders>
            <w:shd w:val="clear" w:color="auto" w:fill="auto"/>
            <w:noWrap/>
            <w:vAlign w:val="bottom"/>
            <w:hideMark/>
          </w:tcPr>
          <w:p w14:paraId="3539E699"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0.11</w:t>
            </w:r>
          </w:p>
        </w:tc>
        <w:tc>
          <w:tcPr>
            <w:tcW w:w="960" w:type="dxa"/>
            <w:tcBorders>
              <w:top w:val="nil"/>
              <w:left w:val="nil"/>
              <w:right w:val="nil"/>
            </w:tcBorders>
            <w:shd w:val="clear" w:color="auto" w:fill="auto"/>
            <w:noWrap/>
            <w:vAlign w:val="bottom"/>
            <w:hideMark/>
          </w:tcPr>
          <w:p w14:paraId="09504CE2"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4.35</w:t>
            </w:r>
          </w:p>
        </w:tc>
        <w:tc>
          <w:tcPr>
            <w:tcW w:w="960" w:type="dxa"/>
            <w:tcBorders>
              <w:top w:val="nil"/>
              <w:left w:val="nil"/>
              <w:right w:val="nil"/>
            </w:tcBorders>
            <w:shd w:val="clear" w:color="auto" w:fill="auto"/>
            <w:noWrap/>
            <w:vAlign w:val="bottom"/>
            <w:hideMark/>
          </w:tcPr>
          <w:p w14:paraId="68A230A6"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2.92</w:t>
            </w:r>
          </w:p>
        </w:tc>
        <w:tc>
          <w:tcPr>
            <w:tcW w:w="960" w:type="dxa"/>
            <w:tcBorders>
              <w:top w:val="nil"/>
              <w:left w:val="nil"/>
              <w:right w:val="nil"/>
            </w:tcBorders>
            <w:shd w:val="clear" w:color="auto" w:fill="auto"/>
            <w:noWrap/>
            <w:vAlign w:val="bottom"/>
            <w:hideMark/>
          </w:tcPr>
          <w:p w14:paraId="31313323"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0.002</w:t>
            </w:r>
          </w:p>
        </w:tc>
      </w:tr>
      <w:tr w:rsidR="004003F9" w:rsidRPr="004003F9" w14:paraId="5066A3F5" w14:textId="77777777" w:rsidTr="00830EE6">
        <w:trPr>
          <w:trHeight w:val="290"/>
        </w:trPr>
        <w:tc>
          <w:tcPr>
            <w:tcW w:w="1418" w:type="dxa"/>
            <w:tcBorders>
              <w:top w:val="nil"/>
              <w:left w:val="nil"/>
              <w:bottom w:val="single" w:sz="4" w:space="0" w:color="auto"/>
              <w:right w:val="nil"/>
            </w:tcBorders>
            <w:shd w:val="clear" w:color="auto" w:fill="auto"/>
            <w:noWrap/>
            <w:vAlign w:val="bottom"/>
            <w:hideMark/>
          </w:tcPr>
          <w:p w14:paraId="1D2897CE" w14:textId="49E01729" w:rsidR="004003F9" w:rsidRPr="004003F9" w:rsidRDefault="004003F9" w:rsidP="004003F9">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502" w:type="dxa"/>
            <w:tcBorders>
              <w:top w:val="nil"/>
              <w:left w:val="nil"/>
              <w:bottom w:val="single" w:sz="4" w:space="0" w:color="auto"/>
              <w:right w:val="nil"/>
            </w:tcBorders>
            <w:shd w:val="clear" w:color="auto" w:fill="auto"/>
            <w:noWrap/>
            <w:vAlign w:val="bottom"/>
            <w:hideMark/>
          </w:tcPr>
          <w:p w14:paraId="39548EA8"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0.088</w:t>
            </w:r>
          </w:p>
        </w:tc>
        <w:tc>
          <w:tcPr>
            <w:tcW w:w="960" w:type="dxa"/>
            <w:tcBorders>
              <w:top w:val="nil"/>
              <w:left w:val="nil"/>
              <w:bottom w:val="single" w:sz="4" w:space="0" w:color="auto"/>
              <w:right w:val="nil"/>
            </w:tcBorders>
            <w:shd w:val="clear" w:color="auto" w:fill="auto"/>
            <w:noWrap/>
            <w:vAlign w:val="bottom"/>
            <w:hideMark/>
          </w:tcPr>
          <w:p w14:paraId="7BF18E2E"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0.428</w:t>
            </w:r>
          </w:p>
        </w:tc>
        <w:tc>
          <w:tcPr>
            <w:tcW w:w="960" w:type="dxa"/>
            <w:tcBorders>
              <w:top w:val="nil"/>
              <w:left w:val="nil"/>
              <w:bottom w:val="single" w:sz="4" w:space="0" w:color="auto"/>
              <w:right w:val="nil"/>
            </w:tcBorders>
            <w:shd w:val="clear" w:color="auto" w:fill="auto"/>
            <w:noWrap/>
            <w:vAlign w:val="bottom"/>
            <w:hideMark/>
          </w:tcPr>
          <w:p w14:paraId="7CE88207"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0.43</w:t>
            </w:r>
          </w:p>
        </w:tc>
        <w:tc>
          <w:tcPr>
            <w:tcW w:w="960" w:type="dxa"/>
            <w:tcBorders>
              <w:top w:val="nil"/>
              <w:left w:val="nil"/>
              <w:bottom w:val="single" w:sz="4" w:space="0" w:color="auto"/>
              <w:right w:val="nil"/>
            </w:tcBorders>
            <w:shd w:val="clear" w:color="auto" w:fill="auto"/>
            <w:noWrap/>
            <w:vAlign w:val="bottom"/>
            <w:hideMark/>
          </w:tcPr>
          <w:p w14:paraId="7ED1488A"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26.16</w:t>
            </w:r>
          </w:p>
        </w:tc>
        <w:tc>
          <w:tcPr>
            <w:tcW w:w="960" w:type="dxa"/>
            <w:tcBorders>
              <w:top w:val="nil"/>
              <w:left w:val="nil"/>
              <w:bottom w:val="single" w:sz="4" w:space="0" w:color="auto"/>
              <w:right w:val="nil"/>
            </w:tcBorders>
            <w:shd w:val="clear" w:color="auto" w:fill="auto"/>
            <w:noWrap/>
            <w:vAlign w:val="bottom"/>
            <w:hideMark/>
          </w:tcPr>
          <w:p w14:paraId="3DD8DC08" w14:textId="77777777" w:rsidR="004003F9" w:rsidRPr="004003F9" w:rsidRDefault="004003F9"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3.93</w:t>
            </w:r>
          </w:p>
        </w:tc>
        <w:tc>
          <w:tcPr>
            <w:tcW w:w="960" w:type="dxa"/>
            <w:tcBorders>
              <w:top w:val="nil"/>
              <w:left w:val="nil"/>
              <w:bottom w:val="single" w:sz="4" w:space="0" w:color="auto"/>
              <w:right w:val="nil"/>
            </w:tcBorders>
            <w:shd w:val="clear" w:color="auto" w:fill="auto"/>
            <w:noWrap/>
            <w:vAlign w:val="bottom"/>
            <w:hideMark/>
          </w:tcPr>
          <w:p w14:paraId="437DE929" w14:textId="1D30E8EB" w:rsidR="004003F9" w:rsidRPr="004003F9" w:rsidRDefault="00830EE6" w:rsidP="004003F9">
            <w:pPr>
              <w:suppressAutoHyphens w:val="0"/>
              <w:jc w:val="right"/>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0</w:t>
            </w:r>
            <w:r>
              <w:rPr>
                <w:rFonts w:ascii="Calibri" w:hAnsi="Calibri" w:cs="Calibri"/>
                <w:color w:val="000000"/>
                <w:sz w:val="22"/>
                <w:szCs w:val="22"/>
                <w:lang w:val="en-AU" w:eastAsia="en-AU"/>
              </w:rPr>
              <w:t>.000</w:t>
            </w:r>
          </w:p>
        </w:tc>
      </w:tr>
    </w:tbl>
    <w:p w14:paraId="55161640" w14:textId="77777777" w:rsidR="002343E1" w:rsidRDefault="002343E1" w:rsidP="00491B6E">
      <w:pPr>
        <w:spacing w:line="480" w:lineRule="auto"/>
      </w:pPr>
    </w:p>
    <w:p w14:paraId="754596AE" w14:textId="3121F9A7" w:rsidR="002343E1" w:rsidRDefault="00830EE6" w:rsidP="00830EE6">
      <w:r>
        <w:rPr>
          <w:b/>
          <w:bCs/>
        </w:rPr>
        <w:t xml:space="preserve">Table 2: </w:t>
      </w:r>
      <w:r>
        <w:t xml:space="preserve">phylogenetically adjusted generalized least squares analysis </w:t>
      </w:r>
      <w:r>
        <w:rPr>
          <w:i/>
          <w:iCs/>
        </w:rPr>
        <w:t xml:space="preserve">(PGLS) </w:t>
      </w:r>
      <w:r>
        <w:t xml:space="preserve">and conventional linear model (LM) of the association between shape and centroid size. </w:t>
      </w:r>
    </w:p>
    <w:p w14:paraId="36D6D46F" w14:textId="77777777" w:rsidR="00830EE6" w:rsidRPr="00830EE6" w:rsidRDefault="00830EE6" w:rsidP="00830EE6"/>
    <w:p w14:paraId="184AAB1A" w14:textId="442C5F02" w:rsidR="00263DD3" w:rsidRPr="00D678AA" w:rsidRDefault="00000000" w:rsidP="00491B6E">
      <w:pPr>
        <w:spacing w:line="480" w:lineRule="auto"/>
      </w:pPr>
      <w:r>
        <w:t xml:space="preserve">As expected, the full dataset had higher levels of integration (high PLS correlation coefficient) and lower modularity (CR coefficient closer to 1) than the shape residual dataset (Fig. </w:t>
      </w:r>
      <w:r w:rsidR="00AC1D7B">
        <w:t>4</w:t>
      </w:r>
      <w:r>
        <w:t>)</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and </w:t>
      </w:r>
      <w:r w:rsidR="00F74A54">
        <w:t xml:space="preserve"> and higher </w:t>
      </w:r>
      <w:r>
        <w:t xml:space="preserve">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(b,d) and shape residual (c,e)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470E8050" w14:textId="77777777" w:rsidR="00AC1D7B"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w:t>
      </w:r>
      <w:r w:rsidR="00AC1D7B">
        <w:t xml:space="preserve"> (Table 2, lower triangle)</w:t>
      </w:r>
      <w:r w:rsidR="009F559E">
        <w:t>. This strong association seems to capture the emphasis of the allometric pattern on concomitant rostral elongation with narrowing of the vault (</w:t>
      </w:r>
      <w:r w:rsidR="00AC1D7B">
        <w:t xml:space="preserve">refer to </w:t>
      </w:r>
      <w:r w:rsidR="009F559E">
        <w:t xml:space="preserve">Fig. </w:t>
      </w:r>
      <w:r w:rsidR="00AC1D7B">
        <w:t>3</w:t>
      </w:r>
      <w:r w:rsidR="009F559E">
        <w:t>).</w:t>
      </w:r>
      <w:r w:rsidR="00014915">
        <w:t xml:space="preserve"> Furthermore, the orbital region has high integration values relative to both rostrum and vault, consistent with our prediction that orbital size might also play a role in the evolution of allometric variation. Lastly, a strong association between the rostrum and the basicranium is notable and was not part of our predictions. </w:t>
      </w:r>
    </w:p>
    <w:p w14:paraId="3BB85A61" w14:textId="77777777" w:rsidR="00AC1D7B" w:rsidRDefault="00AC1D7B">
      <w:pPr>
        <w:spacing w:line="480" w:lineRule="auto"/>
      </w:pPr>
    </w:p>
    <w:p w14:paraId="7EE9EF1E" w14:textId="245DB896" w:rsidR="007F3B28" w:rsidRDefault="005B661F">
      <w:pPr>
        <w:spacing w:line="480" w:lineRule="auto"/>
      </w:pPr>
      <w:r>
        <w:t xml:space="preserve">Removal of size resulted in several </w:t>
      </w:r>
      <w:r w:rsidR="000B6A67">
        <w:t>changes</w:t>
      </w:r>
      <w:r>
        <w:t xml:space="preserve"> in </w:t>
      </w:r>
      <w:r w:rsidR="000B6A67">
        <w:t>r-pls values</w:t>
      </w:r>
      <w:r w:rsidR="00AC1D7B">
        <w:t xml:space="preserve"> (Table 2, upper triangle)</w:t>
      </w:r>
      <w:r>
        <w:t>,</w:t>
      </w:r>
      <w:r w:rsidR="003E4105">
        <w:t xml:space="preserve"> but not all of these related to reduced integration and only some were</w:t>
      </w:r>
      <w:r>
        <w:t xml:space="preserve"> detected as significant differences in integration strength (Table </w:t>
      </w:r>
      <w:r w:rsidR="00AC1D7B">
        <w:t>3</w:t>
      </w:r>
      <w:r>
        <w:t xml:space="preserve">).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732DA8F6" w14:textId="77777777" w:rsidR="007F3B28" w:rsidRDefault="007F3B28">
      <w:r>
        <w:br w:type="page"/>
      </w:r>
    </w:p>
    <w:p w14:paraId="28F12AB4" w14:textId="54123CB8" w:rsidR="00491B6E" w:rsidRDefault="007F3B28" w:rsidP="007F3B28">
      <w:r>
        <w:rPr>
          <w:b/>
          <w:bCs/>
        </w:rPr>
        <w:lastRenderedPageBreak/>
        <w:t xml:space="preserve">Table </w:t>
      </w:r>
      <w:r w:rsidR="00127236">
        <w:rPr>
          <w:b/>
          <w:bCs/>
        </w:rPr>
        <w:t>2</w:t>
      </w:r>
      <w:r>
        <w:rPr>
          <w:b/>
          <w:bCs/>
        </w:rPr>
        <w:t xml:space="preserve">: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For P-value tables, see </w:t>
      </w:r>
      <w:r w:rsidRPr="00AC1D7B">
        <w:rPr>
          <w:b/>
          <w:bCs/>
          <w:highlight w:val="yellow"/>
        </w:rPr>
        <w:t>Supplementary 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2E88304A" w14:textId="77777777" w:rsidR="007F3B28" w:rsidRDefault="007F3B28" w:rsidP="007F3B28"/>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491B6E" w:rsidRPr="00B4519F" w14:paraId="00039079" w14:textId="77777777" w:rsidTr="00E40BB6">
        <w:trPr>
          <w:trHeight w:val="290"/>
        </w:trPr>
        <w:tc>
          <w:tcPr>
            <w:tcW w:w="1418" w:type="dxa"/>
            <w:tcBorders>
              <w:bottom w:val="single" w:sz="4" w:space="0" w:color="BFBFBF" w:themeColor="background1" w:themeShade="BF"/>
            </w:tcBorders>
            <w:noWrap/>
            <w:hideMark/>
          </w:tcPr>
          <w:p w14:paraId="46FFF8D5" w14:textId="77777777" w:rsidR="00491B6E" w:rsidRPr="00B4519F" w:rsidRDefault="00491B6E" w:rsidP="00863A43">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64F9DB1E" w14:textId="732C11C2"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605802A3" w14:textId="5AB2657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2B6A00E8" w14:textId="2A24458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1CB18805" w14:textId="3A4241FF"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61BBE315" w14:textId="34BB1946"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B4519F" w:rsidRPr="00B4519F" w14:paraId="1C15BE18" w14:textId="77777777" w:rsidTr="00E40BB6">
        <w:trPr>
          <w:trHeight w:val="290"/>
        </w:trPr>
        <w:tc>
          <w:tcPr>
            <w:tcW w:w="1418" w:type="dxa"/>
            <w:tcBorders>
              <w:right w:val="single" w:sz="4" w:space="0" w:color="auto"/>
            </w:tcBorders>
            <w:noWrap/>
            <w:hideMark/>
          </w:tcPr>
          <w:p w14:paraId="23CA1E64" w14:textId="663E034D"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1BFCB12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48251021" w14:textId="067F304D"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50E893D9" w14:textId="6EBE80A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057CC381" w14:textId="35FF782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r w:rsidR="00A71B05" w:rsidRPr="00B4519F">
              <w:rPr>
                <w:rFonts w:asciiTheme="minorHAnsi" w:hAnsiTheme="minorHAnsi" w:cstheme="minorHAnsi"/>
                <w:sz w:val="22"/>
                <w:szCs w:val="22"/>
                <w:lang w:val="en-AU" w:eastAsia="en-AU"/>
              </w:rPr>
              <w:t>↓</w:t>
            </w:r>
          </w:p>
        </w:tc>
        <w:tc>
          <w:tcPr>
            <w:tcW w:w="1417" w:type="dxa"/>
            <w:tcBorders>
              <w:top w:val="single" w:sz="4" w:space="0" w:color="auto"/>
            </w:tcBorders>
            <w:noWrap/>
            <w:hideMark/>
          </w:tcPr>
          <w:p w14:paraId="1E64CCE9" w14:textId="6DA61A6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r w:rsidR="00A71B05" w:rsidRPr="00B4519F">
              <w:rPr>
                <w:rFonts w:asciiTheme="minorHAnsi" w:hAnsiTheme="minorHAnsi" w:cstheme="minorHAnsi"/>
                <w:sz w:val="22"/>
                <w:szCs w:val="22"/>
                <w:lang w:val="en-AU" w:eastAsia="en-AU"/>
              </w:rPr>
              <w:t>↑</w:t>
            </w:r>
          </w:p>
        </w:tc>
      </w:tr>
      <w:tr w:rsidR="00491B6E" w:rsidRPr="00B4519F" w14:paraId="6CE6CFDF" w14:textId="77777777" w:rsidTr="00E40BB6">
        <w:trPr>
          <w:trHeight w:val="290"/>
        </w:trPr>
        <w:tc>
          <w:tcPr>
            <w:tcW w:w="1418" w:type="dxa"/>
            <w:tcBorders>
              <w:right w:val="single" w:sz="4" w:space="0" w:color="auto"/>
            </w:tcBorders>
            <w:noWrap/>
            <w:hideMark/>
          </w:tcPr>
          <w:p w14:paraId="092A6215" w14:textId="5FA6B7F4"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3A017E6B"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65BB0F3"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6A05190" w14:textId="55C9270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w:t>
            </w:r>
            <w:r w:rsidR="00A71B05" w:rsidRPr="00B4519F">
              <w:rPr>
                <w:rFonts w:asciiTheme="minorHAnsi" w:hAnsiTheme="minorHAnsi" w:cstheme="minorHAnsi"/>
                <w:sz w:val="22"/>
                <w:szCs w:val="22"/>
                <w:lang w:val="en-AU" w:eastAsia="en-AU"/>
              </w:rPr>
              <w:t xml:space="preserve"> ↓</w:t>
            </w:r>
          </w:p>
        </w:tc>
        <w:tc>
          <w:tcPr>
            <w:tcW w:w="1134" w:type="dxa"/>
            <w:noWrap/>
            <w:hideMark/>
          </w:tcPr>
          <w:p w14:paraId="2F65E1BF" w14:textId="6987F66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r w:rsidR="00A71B05" w:rsidRPr="00B4519F">
              <w:rPr>
                <w:rFonts w:asciiTheme="minorHAnsi" w:hAnsiTheme="minorHAnsi" w:cstheme="minorHAnsi"/>
                <w:sz w:val="22"/>
                <w:szCs w:val="22"/>
                <w:lang w:val="en-AU" w:eastAsia="en-AU"/>
              </w:rPr>
              <w:t>↑</w:t>
            </w:r>
          </w:p>
        </w:tc>
        <w:tc>
          <w:tcPr>
            <w:tcW w:w="1417" w:type="dxa"/>
            <w:noWrap/>
            <w:hideMark/>
          </w:tcPr>
          <w:p w14:paraId="72922D75" w14:textId="050CF27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r w:rsidR="00A71B05" w:rsidRPr="00B4519F">
              <w:rPr>
                <w:rFonts w:asciiTheme="minorHAnsi" w:hAnsiTheme="minorHAnsi" w:cstheme="minorHAnsi"/>
                <w:sz w:val="22"/>
                <w:szCs w:val="22"/>
                <w:lang w:val="en-AU" w:eastAsia="en-AU"/>
              </w:rPr>
              <w:t>↓</w:t>
            </w:r>
          </w:p>
        </w:tc>
      </w:tr>
      <w:tr w:rsidR="00B4519F" w:rsidRPr="00B4519F" w14:paraId="6190A2FC" w14:textId="77777777" w:rsidTr="00E40BB6">
        <w:trPr>
          <w:trHeight w:val="290"/>
        </w:trPr>
        <w:tc>
          <w:tcPr>
            <w:tcW w:w="1418" w:type="dxa"/>
            <w:tcBorders>
              <w:right w:val="single" w:sz="4" w:space="0" w:color="auto"/>
            </w:tcBorders>
            <w:noWrap/>
            <w:hideMark/>
          </w:tcPr>
          <w:p w14:paraId="6DC18D47" w14:textId="0D9545E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3555D2F5"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88AC5B7" w14:textId="40A9B1EA"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w:t>
            </w:r>
            <w:r w:rsidR="00CA4AD8" w:rsidRPr="00B4519F">
              <w:rPr>
                <w:rFonts w:asciiTheme="minorHAnsi" w:hAnsiTheme="minorHAnsi" w:cstheme="minorHAnsi"/>
                <w:sz w:val="22"/>
                <w:szCs w:val="22"/>
                <w:lang w:val="en-AU" w:eastAsia="en-AU"/>
              </w:rPr>
              <w:t>0</w:t>
            </w:r>
          </w:p>
        </w:tc>
        <w:tc>
          <w:tcPr>
            <w:tcW w:w="1134" w:type="dxa"/>
            <w:shd w:val="clear" w:color="auto" w:fill="D0CECE" w:themeFill="background2" w:themeFillShade="E6"/>
            <w:noWrap/>
            <w:hideMark/>
          </w:tcPr>
          <w:p w14:paraId="3ECFC69C"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4403334D" w14:textId="34AC8C52"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r w:rsidR="00A71B05" w:rsidRPr="00B4519F">
              <w:rPr>
                <w:rFonts w:asciiTheme="minorHAnsi" w:hAnsiTheme="minorHAnsi" w:cstheme="minorHAnsi"/>
                <w:sz w:val="22"/>
                <w:szCs w:val="22"/>
                <w:lang w:val="en-AU" w:eastAsia="en-AU"/>
              </w:rPr>
              <w:t>↓</w:t>
            </w:r>
          </w:p>
        </w:tc>
        <w:tc>
          <w:tcPr>
            <w:tcW w:w="1417" w:type="dxa"/>
            <w:noWrap/>
            <w:hideMark/>
          </w:tcPr>
          <w:p w14:paraId="49D3E8A3" w14:textId="77CC988E"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r w:rsidR="00A71B05" w:rsidRPr="00B4519F">
              <w:rPr>
                <w:rFonts w:asciiTheme="minorHAnsi" w:hAnsiTheme="minorHAnsi" w:cstheme="minorHAnsi"/>
                <w:sz w:val="22"/>
                <w:szCs w:val="22"/>
                <w:lang w:val="en-AU" w:eastAsia="en-AU"/>
              </w:rPr>
              <w:t>↓</w:t>
            </w:r>
          </w:p>
        </w:tc>
      </w:tr>
      <w:tr w:rsidR="00491B6E" w:rsidRPr="00B4519F" w14:paraId="3A3AE91A" w14:textId="77777777" w:rsidTr="00E40BB6">
        <w:trPr>
          <w:trHeight w:val="290"/>
        </w:trPr>
        <w:tc>
          <w:tcPr>
            <w:tcW w:w="1418" w:type="dxa"/>
            <w:tcBorders>
              <w:right w:val="single" w:sz="4" w:space="0" w:color="auto"/>
            </w:tcBorders>
            <w:noWrap/>
            <w:hideMark/>
          </w:tcPr>
          <w:p w14:paraId="04C97B5C" w14:textId="5F9B132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408E3BC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2B984CD0"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0CC78349"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5D043214"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050209B4" w14:textId="76861D78"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r w:rsidR="00A71B05" w:rsidRPr="00B4519F">
              <w:rPr>
                <w:rFonts w:asciiTheme="minorHAnsi" w:hAnsiTheme="minorHAnsi" w:cstheme="minorHAnsi"/>
                <w:sz w:val="22"/>
                <w:szCs w:val="22"/>
                <w:lang w:val="en-AU" w:eastAsia="en-AU"/>
              </w:rPr>
              <w:t>↓</w:t>
            </w:r>
          </w:p>
        </w:tc>
      </w:tr>
      <w:tr w:rsidR="00B4519F" w:rsidRPr="00B4519F" w14:paraId="7F740E0A" w14:textId="77777777" w:rsidTr="00E40BB6">
        <w:trPr>
          <w:trHeight w:val="290"/>
        </w:trPr>
        <w:tc>
          <w:tcPr>
            <w:tcW w:w="1418" w:type="dxa"/>
            <w:tcBorders>
              <w:right w:val="single" w:sz="4" w:space="0" w:color="auto"/>
            </w:tcBorders>
            <w:noWrap/>
            <w:hideMark/>
          </w:tcPr>
          <w:p w14:paraId="010D5275" w14:textId="54178C70"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7720F4F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4662BD37"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5501B461"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3D71DF6E"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549551E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224B90E4" w14:textId="77777777" w:rsidR="00491B6E" w:rsidRDefault="00491B6E" w:rsidP="00491B6E">
      <w:pPr>
        <w:rPr>
          <w:b/>
          <w:bCs/>
        </w:rPr>
      </w:pPr>
    </w:p>
    <w:p w14:paraId="1BF35676" w14:textId="44685A9D" w:rsidR="005B661F" w:rsidRDefault="007F3B28" w:rsidP="007F3B28">
      <w:r>
        <w:rPr>
          <w:b/>
          <w:bCs/>
        </w:rPr>
        <w:t xml:space="preserve">Table </w:t>
      </w:r>
      <w:r w:rsidR="00127236">
        <w:rPr>
          <w:b/>
          <w:bCs/>
        </w:rPr>
        <w:t>3</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255" w:type="dxa"/>
        <w:tblInd w:w="-147" w:type="dxa"/>
        <w:tblLook w:val="04A0" w:firstRow="1" w:lastRow="0" w:firstColumn="1" w:lastColumn="0" w:noHBand="0" w:noVBand="1"/>
      </w:tblPr>
      <w:tblGrid>
        <w:gridCol w:w="2274"/>
        <w:gridCol w:w="653"/>
        <w:gridCol w:w="1189"/>
        <w:gridCol w:w="1418"/>
        <w:gridCol w:w="721"/>
      </w:tblGrid>
      <w:tr w:rsidR="005B661F" w:rsidRPr="005B661F" w14:paraId="61CA3C28" w14:textId="77777777" w:rsidTr="00AC1D7B">
        <w:trPr>
          <w:trHeight w:val="290"/>
        </w:trPr>
        <w:tc>
          <w:tcPr>
            <w:tcW w:w="2274"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AC1D7B">
        <w:trPr>
          <w:trHeight w:val="290"/>
        </w:trPr>
        <w:tc>
          <w:tcPr>
            <w:tcW w:w="2274" w:type="dxa"/>
            <w:tcBorders>
              <w:top w:val="single" w:sz="4" w:space="0" w:color="auto"/>
            </w:tcBorders>
            <w:noWrap/>
            <w:hideMark/>
          </w:tcPr>
          <w:p w14:paraId="2672A9FE" w14:textId="40EC705E"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AC1D7B">
        <w:trPr>
          <w:trHeight w:val="290"/>
        </w:trPr>
        <w:tc>
          <w:tcPr>
            <w:tcW w:w="2274" w:type="dxa"/>
            <w:noWrap/>
            <w:hideMark/>
          </w:tcPr>
          <w:p w14:paraId="2947FB00" w14:textId="09C415DD"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AC1D7B">
        <w:trPr>
          <w:trHeight w:val="290"/>
        </w:trPr>
        <w:tc>
          <w:tcPr>
            <w:tcW w:w="2274" w:type="dxa"/>
            <w:noWrap/>
            <w:hideMark/>
          </w:tcPr>
          <w:p w14:paraId="61491186" w14:textId="63279F0B"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AC1D7B">
        <w:trPr>
          <w:trHeight w:val="290"/>
        </w:trPr>
        <w:tc>
          <w:tcPr>
            <w:tcW w:w="2274" w:type="dxa"/>
            <w:noWrap/>
            <w:hideMark/>
          </w:tcPr>
          <w:p w14:paraId="230DFAA4" w14:textId="447286B7" w:rsidR="005B661F" w:rsidRPr="005B661F" w:rsidRDefault="00AC1D7B" w:rsidP="005B661F">
            <w:pPr>
              <w:suppressAutoHyphens w:val="0"/>
              <w:rPr>
                <w:rFonts w:ascii="Calibri" w:hAnsi="Calibri" w:cs="Calibri"/>
                <w:b/>
                <w:bCs/>
                <w:color w:val="000000"/>
                <w:sz w:val="22"/>
                <w:szCs w:val="22"/>
                <w:lang w:val="en-AU" w:eastAsia="en-AU"/>
              </w:rPr>
            </w:pPr>
            <w:r>
              <w:rPr>
                <w:rFonts w:ascii="Calibri" w:hAnsi="Calibri" w:cs="Calibri"/>
                <w:b/>
                <w:bCs/>
                <w:color w:val="000000"/>
                <w:sz w:val="22"/>
                <w:szCs w:val="22"/>
                <w:lang w:val="en-AU" w:eastAsia="en-AU"/>
              </w:rPr>
              <w:t>basicranium</w:t>
            </w:r>
            <w:r w:rsidR="005B661F"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AC1D7B">
        <w:trPr>
          <w:trHeight w:val="290"/>
        </w:trPr>
        <w:tc>
          <w:tcPr>
            <w:tcW w:w="2274"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AC1D7B">
        <w:trPr>
          <w:trHeight w:val="290"/>
        </w:trPr>
        <w:tc>
          <w:tcPr>
            <w:tcW w:w="2274"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AC1D7B">
        <w:trPr>
          <w:trHeight w:val="290"/>
        </w:trPr>
        <w:tc>
          <w:tcPr>
            <w:tcW w:w="2274"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AC1D7B">
        <w:trPr>
          <w:trHeight w:val="290"/>
        </w:trPr>
        <w:tc>
          <w:tcPr>
            <w:tcW w:w="2274"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AC1D7B">
        <w:trPr>
          <w:trHeight w:val="290"/>
        </w:trPr>
        <w:tc>
          <w:tcPr>
            <w:tcW w:w="2274"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AC1D7B">
        <w:trPr>
          <w:trHeight w:val="290"/>
        </w:trPr>
        <w:tc>
          <w:tcPr>
            <w:tcW w:w="2274"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1EC7E325"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 xml:space="preserve">Table </w:t>
      </w:r>
      <w:r w:rsidR="00AC1D7B">
        <w:t>4</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w:t>
      </w:r>
      <w:r w:rsidR="00AC1D7B">
        <w:t>5</w:t>
      </w:r>
      <w:r w:rsidR="007F3B28">
        <w:t>)</w:t>
      </w:r>
      <w:r w:rsidR="00F637F6">
        <w:t xml:space="preserve">; while remaining nearly all significant (meaning that the distribution of species in PC morphospaces remains more similar than expected at random), all partition comparisons had lower Mantel r statistics after the removal of size, with </w:t>
      </w:r>
      <w:r w:rsidR="00F637F6">
        <w:lastRenderedPageBreak/>
        <w:t xml:space="preserve">exception of the rostrum/molar comparison which remained nearly unchanged in both the CR-based modularity assessment (Table </w:t>
      </w:r>
      <w:r w:rsidR="00AC1D7B">
        <w:t>4</w:t>
      </w:r>
      <w:r w:rsidR="00F637F6">
        <w:t>) and the Mantel tests</w:t>
      </w:r>
      <w:r w:rsidR="007F3B28">
        <w:t xml:space="preserve"> (Table </w:t>
      </w:r>
      <w:r w:rsidR="00AC1D7B">
        <w:t>5</w:t>
      </w:r>
      <w:r w:rsidR="007F3B28">
        <w:t>)</w:t>
      </w:r>
      <w:r w:rsidR="00F637F6">
        <w:t xml:space="preserve">. </w:t>
      </w:r>
    </w:p>
    <w:p w14:paraId="6100281D" w14:textId="67A2A762" w:rsidR="002173F8" w:rsidRDefault="007F3B28" w:rsidP="007F3B28">
      <w:r>
        <w:rPr>
          <w:b/>
          <w:bCs/>
        </w:rPr>
        <w:t xml:space="preserve">Table </w:t>
      </w:r>
      <w:r w:rsidR="00127236">
        <w:rPr>
          <w:b/>
          <w:bCs/>
        </w:rPr>
        <w:t>4</w:t>
      </w:r>
      <w:r>
        <w:rPr>
          <w:b/>
          <w:bCs/>
        </w:rPr>
        <w:t xml:space="preserve">: </w:t>
      </w:r>
      <w:r>
        <w:t>phylogenetically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173F8"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58EC839C"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0A32AF4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134" w:type="dxa"/>
            <w:tcBorders>
              <w:top w:val="single" w:sz="4" w:space="0" w:color="auto"/>
              <w:left w:val="nil"/>
              <w:bottom w:val="nil"/>
              <w:right w:val="nil"/>
            </w:tcBorders>
            <w:shd w:val="clear" w:color="auto" w:fill="auto"/>
            <w:noWrap/>
            <w:vAlign w:val="bottom"/>
            <w:hideMark/>
          </w:tcPr>
          <w:p w14:paraId="02664C4E" w14:textId="108FF18A"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single" w:sz="4" w:space="0" w:color="auto"/>
              <w:left w:val="nil"/>
              <w:bottom w:val="nil"/>
              <w:right w:val="nil"/>
            </w:tcBorders>
            <w:shd w:val="clear" w:color="auto" w:fill="auto"/>
            <w:noWrap/>
            <w:vAlign w:val="bottom"/>
            <w:hideMark/>
          </w:tcPr>
          <w:p w14:paraId="2989F181" w14:textId="7F370CD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417" w:type="dxa"/>
            <w:tcBorders>
              <w:top w:val="single" w:sz="4" w:space="0" w:color="auto"/>
              <w:left w:val="nil"/>
              <w:bottom w:val="nil"/>
              <w:right w:val="nil"/>
            </w:tcBorders>
            <w:shd w:val="clear" w:color="auto" w:fill="auto"/>
            <w:noWrap/>
            <w:vAlign w:val="bottom"/>
            <w:hideMark/>
          </w:tcPr>
          <w:p w14:paraId="2C0298F1" w14:textId="51B8AD7F" w:rsidR="002173F8" w:rsidRPr="0008082D" w:rsidRDefault="002173F8" w:rsidP="002173F8">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0.82</w:t>
            </w:r>
          </w:p>
        </w:tc>
      </w:tr>
      <w:tr w:rsidR="002173F8"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4572DFA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014" w:type="dxa"/>
            <w:tcBorders>
              <w:top w:val="nil"/>
              <w:left w:val="nil"/>
              <w:bottom w:val="nil"/>
              <w:right w:val="nil"/>
            </w:tcBorders>
            <w:shd w:val="clear" w:color="auto" w:fill="D0CECE" w:themeFill="background2" w:themeFillShade="E6"/>
            <w:noWrap/>
            <w:vAlign w:val="bottom"/>
            <w:hideMark/>
          </w:tcPr>
          <w:p w14:paraId="4992CBB0" w14:textId="6781F91F"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E5E3232" w:rsidR="002173F8" w:rsidRPr="0008082D" w:rsidRDefault="002173F8" w:rsidP="002173F8">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0.60</w:t>
            </w:r>
          </w:p>
        </w:tc>
        <w:tc>
          <w:tcPr>
            <w:tcW w:w="1134" w:type="dxa"/>
            <w:tcBorders>
              <w:top w:val="nil"/>
              <w:left w:val="nil"/>
              <w:bottom w:val="nil"/>
              <w:right w:val="nil"/>
            </w:tcBorders>
            <w:shd w:val="clear" w:color="auto" w:fill="auto"/>
            <w:noWrap/>
            <w:vAlign w:val="bottom"/>
            <w:hideMark/>
          </w:tcPr>
          <w:p w14:paraId="6223916E" w14:textId="12F3A4F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417" w:type="dxa"/>
            <w:tcBorders>
              <w:top w:val="nil"/>
              <w:left w:val="nil"/>
              <w:bottom w:val="nil"/>
              <w:right w:val="nil"/>
            </w:tcBorders>
            <w:shd w:val="clear" w:color="auto" w:fill="auto"/>
            <w:noWrap/>
            <w:vAlign w:val="bottom"/>
            <w:hideMark/>
          </w:tcPr>
          <w:p w14:paraId="098F2246" w14:textId="24B81D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r>
      <w:tr w:rsidR="002173F8"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6DF012C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0.50</w:t>
            </w:r>
          </w:p>
        </w:tc>
        <w:tc>
          <w:tcPr>
            <w:tcW w:w="1014" w:type="dxa"/>
            <w:tcBorders>
              <w:top w:val="nil"/>
              <w:left w:val="nil"/>
              <w:bottom w:val="nil"/>
              <w:right w:val="nil"/>
            </w:tcBorders>
            <w:shd w:val="clear" w:color="auto" w:fill="auto"/>
            <w:noWrap/>
            <w:vAlign w:val="bottom"/>
            <w:hideMark/>
          </w:tcPr>
          <w:p w14:paraId="50376A0A" w14:textId="629102DC"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D0CECE" w:themeFill="background2" w:themeFillShade="E6"/>
            <w:noWrap/>
            <w:vAlign w:val="bottom"/>
            <w:hideMark/>
          </w:tcPr>
          <w:p w14:paraId="78EBDD7E" w14:textId="190540A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6DFFB0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417" w:type="dxa"/>
            <w:tcBorders>
              <w:top w:val="nil"/>
              <w:left w:val="nil"/>
              <w:bottom w:val="nil"/>
              <w:right w:val="nil"/>
            </w:tcBorders>
            <w:shd w:val="clear" w:color="auto" w:fill="auto"/>
            <w:noWrap/>
            <w:vAlign w:val="bottom"/>
            <w:hideMark/>
          </w:tcPr>
          <w:p w14:paraId="25C05F01" w14:textId="7DCBA54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r>
      <w:tr w:rsidR="002173F8"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30EF65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014" w:type="dxa"/>
            <w:tcBorders>
              <w:top w:val="nil"/>
              <w:left w:val="nil"/>
              <w:bottom w:val="nil"/>
              <w:right w:val="nil"/>
            </w:tcBorders>
            <w:shd w:val="clear" w:color="auto" w:fill="auto"/>
            <w:noWrap/>
            <w:vAlign w:val="bottom"/>
            <w:hideMark/>
          </w:tcPr>
          <w:p w14:paraId="10DBE29B" w14:textId="1869623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auto"/>
            <w:noWrap/>
            <w:vAlign w:val="bottom"/>
            <w:hideMark/>
          </w:tcPr>
          <w:p w14:paraId="5E910529" w14:textId="3A6032C6"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D0CECE" w:themeFill="background2" w:themeFillShade="E6"/>
            <w:noWrap/>
            <w:vAlign w:val="bottom"/>
            <w:hideMark/>
          </w:tcPr>
          <w:p w14:paraId="7C7FE037" w14:textId="3267B7A9"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6202457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r>
      <w:tr w:rsidR="002173F8"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42DF45FB"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0.73</w:t>
            </w:r>
          </w:p>
        </w:tc>
        <w:tc>
          <w:tcPr>
            <w:tcW w:w="1014" w:type="dxa"/>
            <w:tcBorders>
              <w:top w:val="nil"/>
              <w:left w:val="nil"/>
              <w:bottom w:val="nil"/>
              <w:right w:val="nil"/>
            </w:tcBorders>
            <w:shd w:val="clear" w:color="auto" w:fill="auto"/>
            <w:noWrap/>
            <w:vAlign w:val="bottom"/>
            <w:hideMark/>
          </w:tcPr>
          <w:p w14:paraId="287F75F3" w14:textId="4BCF856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c>
          <w:tcPr>
            <w:tcW w:w="1134" w:type="dxa"/>
            <w:tcBorders>
              <w:top w:val="nil"/>
              <w:left w:val="nil"/>
              <w:bottom w:val="nil"/>
              <w:right w:val="nil"/>
            </w:tcBorders>
            <w:shd w:val="clear" w:color="auto" w:fill="auto"/>
            <w:noWrap/>
            <w:vAlign w:val="bottom"/>
            <w:hideMark/>
          </w:tcPr>
          <w:p w14:paraId="3CDCC232" w14:textId="2C511B00"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c>
          <w:tcPr>
            <w:tcW w:w="1134" w:type="dxa"/>
            <w:tcBorders>
              <w:top w:val="nil"/>
              <w:left w:val="nil"/>
              <w:bottom w:val="nil"/>
              <w:right w:val="nil"/>
            </w:tcBorders>
            <w:shd w:val="clear" w:color="auto" w:fill="auto"/>
            <w:noWrap/>
            <w:vAlign w:val="bottom"/>
            <w:hideMark/>
          </w:tcPr>
          <w:p w14:paraId="7C12C69C" w14:textId="2643ED7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c>
          <w:tcPr>
            <w:tcW w:w="1417" w:type="dxa"/>
            <w:tcBorders>
              <w:top w:val="nil"/>
              <w:left w:val="nil"/>
              <w:bottom w:val="nil"/>
              <w:right w:val="nil"/>
            </w:tcBorders>
            <w:shd w:val="clear" w:color="auto" w:fill="D0CECE" w:themeFill="background2" w:themeFillShade="E6"/>
            <w:noWrap/>
            <w:vAlign w:val="bottom"/>
            <w:hideMark/>
          </w:tcPr>
          <w:p w14:paraId="775A55B1" w14:textId="4A0EBD5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2AF27E2C" w:rsidR="008922AE" w:rsidRDefault="00000000" w:rsidP="00D37864">
      <w:pPr>
        <w:spacing w:after="200"/>
        <w:rPr>
          <w:b/>
          <w:bCs/>
        </w:rPr>
      </w:pPr>
      <w:bookmarkStart w:id="18" w:name="_heading=h.1ksv4uv"/>
      <w:bookmarkEnd w:id="18"/>
      <w:r>
        <w:rPr>
          <w:b/>
          <w:color w:val="000000"/>
        </w:rPr>
        <w:t xml:space="preserve">Table </w:t>
      </w:r>
      <w:r w:rsidR="00127236">
        <w:rPr>
          <w:b/>
          <w:color w:val="000000"/>
        </w:rPr>
        <w:t>5</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165FB2D4" w14:textId="77777777" w:rsidR="008922AE" w:rsidRDefault="008922AE">
      <w:pPr>
        <w:spacing w:line="480" w:lineRule="auto"/>
        <w:rPr>
          <w:b/>
        </w:rPr>
      </w:pPr>
    </w:p>
    <w:p w14:paraId="1BDD33D7" w14:textId="64F3F4F6" w:rsidR="008922AE" w:rsidRDefault="00000000" w:rsidP="00D37864">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053EAD22" w14:textId="6C478D29" w:rsidR="00BB4074" w:rsidRDefault="00000000">
      <w:pPr>
        <w:spacing w:line="480" w:lineRule="auto"/>
      </w:pPr>
      <w:r>
        <w:t xml:space="preserve">In this study, </w:t>
      </w:r>
      <w:r w:rsidR="005D171E">
        <w:t xml:space="preserve">we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in the clade, with its own signatures of shape divergence, ordinated variation, and significant levels of integration.</w:t>
      </w:r>
    </w:p>
    <w:p w14:paraId="52510919" w14:textId="77777777" w:rsidR="001A1274" w:rsidRDefault="00117A04" w:rsidP="00E622ED">
      <w:pPr>
        <w:spacing w:line="480" w:lineRule="auto"/>
      </w:pPr>
      <w:r>
        <w:t xml:space="preserve">Allometry in mammalian crania, and the associated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 </w:instrTex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EN.CITE.DATA </w:instrText>
      </w:r>
      <w:r>
        <w:fldChar w:fldCharType="end"/>
      </w:r>
      <w:r>
        <w:fldChar w:fldCharType="separate"/>
      </w:r>
      <w:r>
        <w:rPr>
          <w:noProof/>
        </w:rPr>
        <w:t>(Cox</w:t>
      </w:r>
      <w:r w:rsidRPr="004550BE">
        <w:rPr>
          <w:i/>
          <w:noProof/>
        </w:rPr>
        <w:t xml:space="preserve"> et al.</w:t>
      </w:r>
      <w:r>
        <w:rPr>
          <w:noProof/>
        </w:rPr>
        <w:t>, 2012; Druzinsky, 2015; Ginot</w:t>
      </w:r>
      <w:r w:rsidRPr="004550BE">
        <w:rPr>
          <w:i/>
          <w:noProof/>
        </w:rPr>
        <w:t xml:space="preserve"> et al.</w:t>
      </w:r>
      <w:r>
        <w:rPr>
          <w:noProof/>
        </w:rPr>
        <w:t>, 2018; Lessa &amp; Patton, 1989; Marcy</w:t>
      </w:r>
      <w:r w:rsidRPr="004550BE">
        <w:rPr>
          <w:i/>
          <w:noProof/>
        </w:rPr>
        <w:t xml:space="preserve"> et al.</w:t>
      </w:r>
      <w:r>
        <w:rPr>
          <w:noProof/>
        </w:rPr>
        <w:t>, 2020; Marcy</w:t>
      </w:r>
      <w:r w:rsidRPr="004550BE">
        <w:rPr>
          <w:i/>
          <w:noProof/>
        </w:rPr>
        <w:t xml:space="preserve"> et al.</w:t>
      </w:r>
      <w:r>
        <w:rPr>
          <w:noProof/>
        </w:rPr>
        <w:t>, 2016)</w:t>
      </w:r>
      <w:r>
        <w:fldChar w:fldCharType="end"/>
      </w:r>
      <w:r>
        <w:t xml:space="preserve">. The greater likelihood of an Ornstein-Uhlenbeck </w:t>
      </w:r>
      <w:r w:rsidR="001A1274">
        <w:t xml:space="preserve">(OU) </w:t>
      </w:r>
      <w:r>
        <w:t xml:space="preserve">pattern of limited diversification around a local optimum </w:t>
      </w:r>
      <w:r>
        <w:fldChar w:fldCharType="begin"/>
      </w:r>
      <w:r>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Pr>
          <w:noProof/>
        </w:rPr>
        <w:t>(Harmon</w:t>
      </w:r>
      <w:r w:rsidRPr="004550BE">
        <w:rPr>
          <w:i/>
          <w:noProof/>
        </w:rPr>
        <w:t xml:space="preserve"> et al.</w:t>
      </w:r>
      <w:r>
        <w:rPr>
          <w:noProof/>
        </w:rPr>
        <w:t>, 2010)</w:t>
      </w:r>
      <w:r>
        <w:fldChar w:fldCharType="end"/>
      </w:r>
      <w:r>
        <w:t xml:space="preserve"> reinforces this impression, particularly because </w:t>
      </w:r>
      <w:r w:rsidR="00AC1D7B">
        <w:t xml:space="preserve">size itself </w:t>
      </w:r>
      <w:r w:rsidR="00E622ED">
        <w:t xml:space="preserve">most likely evolves according to BM. </w:t>
      </w:r>
      <w:r>
        <w:t xml:space="preserve">However, allometric variation appears to be only one manifestation of the overarching impact </w:t>
      </w:r>
      <w:r w:rsidR="001A1274">
        <w:t>of</w:t>
      </w:r>
      <w:r>
        <w:t xml:space="preserve"> biomechanical adaptation seems on the rodent cranium because the residual dataset is also retrieved as evolving according to OU. </w:t>
      </w:r>
    </w:p>
    <w:p w14:paraId="0490A6C5" w14:textId="77777777" w:rsidR="001A1274" w:rsidRDefault="001A1274" w:rsidP="00E622ED">
      <w:pPr>
        <w:spacing w:line="480" w:lineRule="auto"/>
      </w:pPr>
    </w:p>
    <w:p w14:paraId="5BE129DB" w14:textId="6786B782" w:rsidR="00D37864" w:rsidRDefault="001A1274" w:rsidP="00E622ED">
      <w:pPr>
        <w:spacing w:line="480" w:lineRule="auto"/>
      </w:pPr>
      <w:r>
        <w:t>The hypothesis of</w:t>
      </w:r>
      <w:r w:rsidR="00E622ED">
        <w:t xml:space="preserve"> </w:t>
      </w:r>
      <w:r>
        <w:t xml:space="preserve">stabilizing selection on rodent cranial shape is further supported </w:t>
      </w:r>
      <w:r w:rsidR="00FA2890">
        <w:t xml:space="preserve">a plateau of </w:t>
      </w:r>
      <w:r w:rsidR="00556C57">
        <w:t xml:space="preserve">morphological </w:t>
      </w:r>
      <w:r w:rsidR="00FA2890">
        <w:t xml:space="preserve">divergences beyond ~ 2 million years of </w:t>
      </w:r>
      <w:r w:rsidR="00556C57">
        <w:t xml:space="preserve">pairwise </w:t>
      </w:r>
      <w:r w:rsidR="00FA2890">
        <w:t>divergence</w:t>
      </w:r>
      <w:r w:rsidR="00556C57">
        <w:t xml:space="preserve"> times,</w:t>
      </w:r>
      <w:r>
        <w:t xml:space="preserve"> </w:t>
      </w:r>
      <w:r w:rsidR="00FA2890">
        <w:t>with several “spikes” of morphological divergence where</w:t>
      </w:r>
      <w:r>
        <w:t xml:space="preserve"> a</w:t>
      </w:r>
      <w:r w:rsidR="00E622ED">
        <w:t xml:space="preserve"> substantial change in either size or cranial function evolve</w:t>
      </w:r>
      <w:r w:rsidR="00556C57">
        <w:t>d</w:t>
      </w:r>
      <w:r w:rsidR="00117A04">
        <w:t xml:space="preserve">. </w:t>
      </w:r>
      <w:r w:rsidR="00E622ED">
        <w:t xml:space="preserve">In the full shape dataset, this </w:t>
      </w:r>
      <w:r w:rsidR="00FA2890">
        <w:t>corresponds to</w:t>
      </w:r>
      <w:r w:rsidR="00E622ED">
        <w:t xml:space="preserve"> the </w:t>
      </w:r>
      <w:r w:rsidR="00FA2890">
        <w:t xml:space="preserve">evolution of </w:t>
      </w:r>
      <w:r w:rsidR="00E622ED">
        <w:t xml:space="preserve">unique– but </w:t>
      </w:r>
      <w:r w:rsidR="00E622ED">
        <w:lastRenderedPageBreak/>
        <w:t xml:space="preserve">allometrically expected - shapes of the </w:t>
      </w:r>
      <w:r w:rsidR="003B404E">
        <w:t>large-bodied frugivores</w:t>
      </w:r>
      <w:r w:rsidR="00E622ED">
        <w:t xml:space="preserve">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w:t>
      </w:r>
      <w:r w:rsidR="00FA2890">
        <w:t>Changes of lesser magnitude (which are nevertheless visually</w:t>
      </w:r>
      <w:r w:rsidR="00556C57">
        <w:t xml:space="preserve"> clear</w:t>
      </w:r>
      <w:r w:rsidR="00FA2890">
        <w:t>) are then revealed by the allometry-free data, where</w:t>
      </w:r>
      <w:r w:rsidR="003B404E">
        <w:t xml:space="preserve"> divergence</w:t>
      </w:r>
      <w:r w:rsidR="00E622ED">
        <w:t>s</w:t>
      </w:r>
      <w:r w:rsidR="003B404E">
        <w:t xml:space="preserve"> </w:t>
      </w:r>
      <w:r w:rsidR="00E622ED">
        <w:t>are greatest where the dietary shift to carnivory select</w:t>
      </w:r>
      <w:r w:rsidR="00556C57">
        <w:t>ed</w:t>
      </w:r>
      <w:r w:rsidR="00E622ED">
        <w:t xml:space="preserve"> for a fundamentally different masticatory action </w:t>
      </w:r>
      <w:r w:rsidR="00E622ED">
        <w:fldChar w:fldCharType="begin"/>
      </w:r>
      <w:r w:rsidR="00E622ED">
        <w:instrText xml:space="preserve"> ADDIN EN.CITE &lt;EndNote&gt;&lt;Cite&gt;&lt;Author&gt;Freeman&lt;/Author&gt;&lt;Year&gt;2008&lt;/Year&gt;&lt;RecNum&gt;64&lt;/RecNum&gt;&lt;DisplayText&gt;(Freeman &amp;amp; Lemen, 2008; Satoh &amp;amp; Iwaku, 2006)&lt;/DisplayText&gt;&lt;record&gt;&lt;rec-number&gt;64&lt;/rec-number&gt;&lt;foreign-keys&gt;&lt;key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Cite&gt;&lt;Author&gt;Satoh&lt;/Author&gt;&lt;Year&gt;2006&lt;/Year&gt;&lt;RecNum&gt;65&lt;/RecNum&gt;&lt;record&gt;&lt;rec-number&gt;65&lt;/rec-number&gt;&lt;foreign-keys&gt;&lt;key app="EN" db-id="p9vfsf2vj2tvwjevww9pzwfazxfv5txvw5ap" timestamp="1712290124"&gt;65&lt;/key&gt;&lt;/foreign-keys&gt;&lt;ref-type name="Journal Article"&gt;17&lt;/ref-type&gt;&lt;contributors&gt;&lt;authors&gt;&lt;author&gt;Satoh, Kazuhiko&lt;/author&gt;&lt;author&gt;Iwaku, Fumihiko&lt;/author&gt;&lt;/authors&gt;&lt;/contributors&gt;&lt;titles&gt;&lt;title&gt;Jaw muscle functional anatomy in northern grasshopper mouse, Onychomys leucogaster, a carnivorous murid&lt;/title&gt;&lt;secondary-title&gt;Journal of Morphology&lt;/secondary-title&gt;&lt;/titles&gt;&lt;periodical&gt;&lt;full-title&gt;Journal of Morphology&lt;/full-title&gt;&lt;/periodical&gt;&lt;pages&gt;987-999&lt;/pages&gt;&lt;volume&gt;267&lt;/volume&gt;&lt;number&gt;8&lt;/number&gt;&lt;dates&gt;&lt;year&gt;2006&lt;/year&gt;&lt;/dates&gt;&lt;isbn&gt;0362-2525&lt;/isbn&gt;&lt;urls&gt;&lt;related-urls&gt;&lt;url&gt;https://onlinelibrary.wiley.com/doi/abs/10.1002/jmor.10443&lt;/url&gt;&lt;/related-urls&gt;&lt;/urls&gt;&lt;electronic-resource-num&gt;https://doi.org/10.1002/jmor.10443&lt;/electronic-resource-num&gt;&lt;/record&gt;&lt;/Cite&gt;&lt;/EndNote&gt;</w:instrText>
      </w:r>
      <w:r w:rsidR="00E622ED">
        <w:fldChar w:fldCharType="separate"/>
      </w:r>
      <w:r w:rsidR="00E622ED">
        <w:rPr>
          <w:noProof/>
        </w:rPr>
        <w:t>(Freeman &amp; Lemen, 2008; Satoh &amp; Iwaku, 2006)</w:t>
      </w:r>
      <w:r w:rsidR="00E622ED">
        <w:fldChar w:fldCharType="end"/>
      </w:r>
      <w:r w:rsidR="00117A04">
        <w:t>, and where the</w:t>
      </w:r>
      <w:r w:rsidR="003B404E">
        <w:t xml:space="preserve"> hopping </w:t>
      </w:r>
      <w:r w:rsidR="003B404E">
        <w:rPr>
          <w:i/>
        </w:rPr>
        <w:t>Notomys</w:t>
      </w:r>
      <w:r w:rsidR="003B404E">
        <w:t xml:space="preserve"> </w:t>
      </w:r>
      <w:r w:rsidR="00117A04">
        <w:t>display a</w:t>
      </w:r>
      <w:r w:rsidR="003B404E">
        <w:t xml:space="preserve"> change in the genus-level allometric multidimensional intercept</w:t>
      </w:r>
      <w:r w:rsidR="00AF057B">
        <w:t xml:space="preserve"> (</w:t>
      </w:r>
      <w:r w:rsidR="00117A04">
        <w:t>discussed further below)</w:t>
      </w:r>
      <w:r w:rsidR="003B404E">
        <w:t xml:space="preserve">. </w:t>
      </w:r>
    </w:p>
    <w:p w14:paraId="4C445303" w14:textId="126FAC53" w:rsidR="00017363" w:rsidRDefault="009637AC" w:rsidP="00684B6D">
      <w:pPr>
        <w:spacing w:line="480" w:lineRule="auto"/>
        <w:ind w:firstLine="720"/>
      </w:pPr>
      <w:r>
        <w:t>The OU-patterned evolution of shape in allometric and allometry-free contexts is also reflected in the fact that the</w:t>
      </w:r>
      <w:r w:rsidR="005D171E">
        <w:t xml:space="preserve"> cranium and all but one pair of modules within the cranium remain significantly </w:t>
      </w:r>
      <w:r w:rsidR="00D7787B">
        <w:t>and sometimes</w:t>
      </w:r>
      <w:r w:rsidR="003E13B3">
        <w:t xml:space="preserve"> slightly</w:t>
      </w:r>
      <w:r w:rsidR="00D7787B">
        <w:t xml:space="preserve"> more </w:t>
      </w:r>
      <w:r w:rsidR="005D171E">
        <w:t>integrated</w:t>
      </w:r>
      <w:r w:rsidR="00366596">
        <w:t xml:space="preserve"> </w:t>
      </w:r>
      <w:r w:rsidR="00D7787B">
        <w:t>after removal of allometry</w:t>
      </w:r>
      <w:r w:rsidR="00FE5C11">
        <w:t>, confirming our expectation that allometric patterns are just one manifestation</w:t>
      </w:r>
      <w:r>
        <w:t xml:space="preserve"> of cranial adaptation and do</w:t>
      </w:r>
      <w:r w:rsidR="00556C57">
        <w:t xml:space="preserve"> not represent a singular constraining process</w:t>
      </w:r>
      <w:r w:rsidR="00FE5C11">
        <w:t>.</w:t>
      </w:r>
      <w:r w:rsidR="00366596">
        <w:t xml:space="preserve"> </w:t>
      </w:r>
      <w:r w:rsidR="00017363">
        <w:t>The extremely high integration between the rostrum and the cranial vault</w:t>
      </w:r>
      <w:r w:rsidR="003E13B3">
        <w:t xml:space="preserve"> </w:t>
      </w:r>
      <w:r w:rsidR="00017363">
        <w:t xml:space="preserve">in the full dataset </w:t>
      </w:r>
      <w:r w:rsidR="00FC4A4E">
        <w:t xml:space="preserve">– together with their </w:t>
      </w:r>
      <w:r w:rsidR="00017363">
        <w:t xml:space="preserve"> predicted by CREA, </w:t>
      </w:r>
      <w:r w:rsidR="003E13B3">
        <w:t>and</w:t>
      </w:r>
      <w:r w:rsidR="00017363">
        <w:t xml:space="preserve"> notable because it </w:t>
      </w:r>
      <w:r w:rsidR="003E13B3">
        <w:t>supports the hypothesis of Mitchell et al. (2024) that CREA is a mosaic arising from different mechanisms: bite force allometry affecting the rostral area and</w:t>
      </w:r>
      <w:r w:rsidR="00017363">
        <w:t xml:space="preserve"> hypo-allometry of the brain</w:t>
      </w:r>
      <w:r w:rsidR="003E13B3">
        <w:t xml:space="preserve"> affecting the cranial vault. Consistent with CREA patterns being driven mostly by allometry, the integration between the vault and the rostrum also drops most dramatically after the removal of size</w:t>
      </w:r>
      <w:r w:rsidR="00FC4A4E">
        <w:t xml:space="preserve">. However, the significant integration remaining between all but one module further confirms that covariation is not </w:t>
      </w:r>
    </w:p>
    <w:p w14:paraId="3A75B570" w14:textId="77777777" w:rsidR="00017363" w:rsidRDefault="00017363" w:rsidP="00684B6D">
      <w:pPr>
        <w:spacing w:line="480" w:lineRule="auto"/>
        <w:ind w:firstLine="720"/>
      </w:pPr>
    </w:p>
    <w:p w14:paraId="52D389D1" w14:textId="77777777" w:rsidR="00017363" w:rsidRPr="00017363" w:rsidRDefault="00017363" w:rsidP="00684B6D">
      <w:pPr>
        <w:spacing w:line="480" w:lineRule="auto"/>
        <w:ind w:firstLine="720"/>
      </w:pPr>
    </w:p>
    <w:p w14:paraId="4B1B4CCA" w14:textId="35CB1DD5" w:rsidR="005D171E" w:rsidRDefault="00366596" w:rsidP="00684B6D">
      <w:pPr>
        <w:spacing w:line="480" w:lineRule="auto"/>
        <w:ind w:firstLine="720"/>
      </w:pPr>
      <w:r>
        <w:t>A caveat here is that all cases where integration is significantly different between the full and the residual dataset include comparisons with the cranial vault,</w:t>
      </w:r>
      <w:r w:rsidR="00D7787B">
        <w:t xml:space="preserve"> </w:t>
      </w:r>
      <w:r w:rsidR="00FA7D66">
        <w:t>which could be an effect of the vault having the</w:t>
      </w:r>
      <w:r w:rsidR="00D7787B">
        <w:t xml:space="preserve"> largest number of landmarks</w:t>
      </w:r>
      <w:r>
        <w:t>; however</w:t>
      </w:r>
      <w:r w:rsidR="00D7787B">
        <w:t>, variation in the vault</w:t>
      </w:r>
      <w:r>
        <w:t xml:space="preserve"> is a feature of </w:t>
      </w:r>
      <w:r>
        <w:lastRenderedPageBreak/>
        <w:t>the first two PCs in the residual dataset (see below), suggesting that the</w:t>
      </w:r>
      <w:r w:rsidR="00F40A98">
        <w:t>se significance</w:t>
      </w:r>
      <w:r w:rsidR="00A253B7">
        <w:t>s</w:t>
      </w:r>
      <w:r>
        <w:t xml:space="preserve"> </w:t>
      </w:r>
      <w:r w:rsidR="00F40A98">
        <w:t>accurately reflect</w:t>
      </w:r>
      <w:r>
        <w:t xml:space="preserve"> </w:t>
      </w:r>
      <w:r w:rsidR="00FA7D66">
        <w:t xml:space="preserve">the residual </w:t>
      </w:r>
      <w:r>
        <w:t>variation</w:t>
      </w:r>
      <w:r w:rsidR="00A253B7">
        <w:t xml:space="preserve">. This </w:t>
      </w:r>
      <w:r w:rsidR="00FE5C11">
        <w:t>is</w:t>
      </w:r>
      <w:r w:rsidR="00A253B7">
        <w:t xml:space="preserve"> particularly the case for the increased strength of integration between the vault and the basicranium, which features in the heatmap visualisations of both residual PC1 and PC2 and is discussed further below. </w:t>
      </w:r>
    </w:p>
    <w:p w14:paraId="7DAC2B49" w14:textId="393EE2B7" w:rsidR="000E15A6" w:rsidRDefault="00FE5C11" w:rsidP="00684B6D">
      <w:pPr>
        <w:spacing w:line="480" w:lineRule="auto"/>
        <w:ind w:firstLine="720"/>
      </w:pPr>
      <w:r>
        <w:t xml:space="preserve">The Australian muroids in our sample display relatively few dietary specialisations, </w:t>
      </w:r>
      <w:r w:rsidR="00EB0E80">
        <w:t xml:space="preserve">which prevented statistical analyses of their influence on cranial variation. However, </w:t>
      </w:r>
      <w:r>
        <w:t>a focus on the distribution of these species</w:t>
      </w:r>
      <w:r w:rsidR="00556C57">
        <w:t>’ cranial shape</w:t>
      </w:r>
      <w:r>
        <w:t xml:space="preserve"> in the full and residual shape morphospaces is consistent with known hypotheses of mammalian cranial </w:t>
      </w:r>
      <w:r w:rsidR="00EB0E80">
        <w:t>biomechanics</w:t>
      </w:r>
      <w:r>
        <w:t xml:space="preserve">. </w:t>
      </w:r>
      <w:r w:rsidR="00EE1CC5">
        <w:t>Residual PC1 emphasizes</w:t>
      </w:r>
      <w:r w:rsidR="000E15A6">
        <w:t xml:space="preserve"> the angle at which the rostrum and incisors are situated relative to the remainder of the cranium</w:t>
      </w:r>
      <w:r w:rsidR="00380507">
        <w:t>. This</w:t>
      </w:r>
      <w:r w:rsidR="000E15A6">
        <w:t xml:space="preserve"> </w:t>
      </w:r>
      <w:r w:rsidR="00A21F2A">
        <w:t>will result</w:t>
      </w:r>
      <w:r w:rsidR="000E15A6">
        <w:t xml:space="preserve"> in a change</w:t>
      </w:r>
      <w:r w:rsidR="001F08AE">
        <w:t>d</w:t>
      </w:r>
      <w:r w:rsidR="000E15A6">
        <w:t xml:space="preserve"> </w:t>
      </w:r>
      <w:r w:rsidR="00A21F2A">
        <w:t>gape and leverage of incisor biting</w:t>
      </w:r>
      <w:r w:rsidR="00380507">
        <w:t xml:space="preserve">, an effect known </w:t>
      </w:r>
      <w:r w:rsidR="00866A5E">
        <w:t>to change gape and bite force in</w:t>
      </w:r>
      <w:r w:rsidR="00E92636">
        <w:t xml:space="preserve"> </w:t>
      </w:r>
      <w:r w:rsidR="00380507">
        <w:t>lower jaw of rodents</w:t>
      </w:r>
      <w:r w:rsidR="00866A5E">
        <w:t xml:space="preserve"> </w:t>
      </w:r>
      <w:r w:rsidR="00866A5E">
        <w:fldChar w:fldCharType="begin"/>
      </w:r>
      <w:r w:rsidR="00866A5E">
        <w:instrText xml:space="preserve"> ADDIN EN.CITE &lt;EndNote&gt;&lt;Cite&gt;&lt;Author&gt;Freeman&lt;/Author&gt;&lt;Year&gt;2008&lt;/Year&gt;&lt;RecNum&gt;64&lt;/RecNum&gt;&lt;DisplayText&gt;(Freeman &amp;amp; Lemen, 2008)&lt;/DisplayText&gt;&lt;record&gt;&lt;rec-number&gt;64&lt;/rec-number&gt;&lt;foreign-keys&gt;&lt;key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EndNote&gt;</w:instrText>
      </w:r>
      <w:r w:rsidR="00866A5E">
        <w:fldChar w:fldCharType="separate"/>
      </w:r>
      <w:r w:rsidR="00866A5E">
        <w:rPr>
          <w:noProof/>
        </w:rPr>
        <w:t>(Freeman &amp; Lemen, 2008)</w:t>
      </w:r>
      <w:r w:rsidR="00866A5E">
        <w:fldChar w:fldCharType="end"/>
      </w:r>
      <w:r w:rsidR="00A21F2A">
        <w:t>. The carnivorous species, whose crania are least adapted to the extensive gnawing action typical of other rodents, have the straightest rostra</w:t>
      </w:r>
      <w:r w:rsidR="00380507">
        <w:t xml:space="preserve"> resulting in </w:t>
      </w:r>
      <w:r w:rsidR="00A21F2A">
        <w:t xml:space="preserve">widest gape, which is consistent with the </w:t>
      </w:r>
      <w:r w:rsidR="008B4CD1">
        <w:t xml:space="preserve">benefits of larger gapes </w:t>
      </w:r>
      <w:r w:rsidR="00E92636">
        <w:t>in carnivorous rodents</w:t>
      </w:r>
      <w:r w:rsidR="008B4CD1">
        <w:t xml:space="preserve"> </w:t>
      </w:r>
      <w:r w:rsidR="008B4CD1">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 </w:instrText>
      </w:r>
      <w:r w:rsidR="00E9263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EN.CITE.DATA </w:instrText>
      </w:r>
      <w:r w:rsidR="00E92636">
        <w:fldChar w:fldCharType="end"/>
      </w:r>
      <w:r w:rsidR="008B4CD1">
        <w:fldChar w:fldCharType="separate"/>
      </w:r>
      <w:r w:rsidR="00E92636">
        <w:rPr>
          <w:noProof/>
        </w:rPr>
        <w:t>(Hennekam</w:t>
      </w:r>
      <w:r w:rsidR="00E92636" w:rsidRPr="00E92636">
        <w:rPr>
          <w:i/>
          <w:noProof/>
        </w:rPr>
        <w:t xml:space="preserve"> et al.</w:t>
      </w:r>
      <w:r w:rsidR="00E92636">
        <w:rPr>
          <w:noProof/>
        </w:rPr>
        <w:t>, 2020; Satoh &amp; Iwaku, 2006; Williams</w:t>
      </w:r>
      <w:r w:rsidR="00E92636" w:rsidRPr="00E92636">
        <w:rPr>
          <w:i/>
          <w:noProof/>
        </w:rPr>
        <w:t xml:space="preserve"> et al.</w:t>
      </w:r>
      <w:r w:rsidR="00E92636">
        <w:rPr>
          <w:noProof/>
        </w:rPr>
        <w:t>, 2009)</w:t>
      </w:r>
      <w:r w:rsidR="008B4CD1">
        <w:fldChar w:fldCharType="end"/>
      </w:r>
      <w:r w:rsidR="00A21F2A">
        <w:t xml:space="preserve">. By contrast, the specialized </w:t>
      </w:r>
      <w:r w:rsidR="00EB0E80">
        <w:t xml:space="preserve">grass-feeding </w:t>
      </w:r>
      <w:r w:rsidR="00EB0E80">
        <w:rPr>
          <w:i/>
          <w:iCs/>
        </w:rPr>
        <w:t>Mastacomys</w:t>
      </w:r>
      <w:r w:rsidR="00A21F2A">
        <w:t xml:space="preserve"> </w:t>
      </w:r>
      <w:r w:rsidR="00EB0E80">
        <w:t xml:space="preserve">and granivore </w:t>
      </w:r>
      <w:r w:rsidR="00EB0E80">
        <w:rPr>
          <w:i/>
          <w:iCs/>
        </w:rPr>
        <w:t xml:space="preserve">Conilurus penicillatus </w:t>
      </w:r>
      <w:r w:rsidR="00EB0E80">
        <w:t xml:space="preserve">score </w:t>
      </w:r>
      <w:r w:rsidR="00A21F2A">
        <w:t>low on both the residual PC1 and 2, reflecting curved anterior rostra and</w:t>
      </w:r>
      <w:r w:rsidR="00323F8B">
        <w:t xml:space="preserve"> overall</w:t>
      </w:r>
      <w:r>
        <w:t xml:space="preserve"> smaller cranial </w:t>
      </w:r>
      <w:r w:rsidR="00323F8B">
        <w:t>vaults</w:t>
      </w:r>
      <w:r w:rsidR="00A21F2A">
        <w:t xml:space="preserve">. This </w:t>
      </w:r>
      <w:r w:rsidR="00EB0E80">
        <w:t>is consistent with finds of</w:t>
      </w:r>
      <w:r w:rsidR="00A21F2A">
        <w:t xml:space="preserve"> the wider skulls and dorsally shifted temporalis muscles that increase the mechanical advantage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323F8B">
        <w:t xml:space="preserve"> and leads to more robust cranial dimensions</w:t>
      </w:r>
      <w:r>
        <w:t xml:space="preserve"> in this species </w:t>
      </w:r>
      <w:r>
        <w:fldChar w:fldCharType="begin"/>
      </w:r>
      <w:r>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&amp; Ford, 2007)</w:t>
      </w:r>
      <w:r>
        <w:fldChar w:fldCharType="end"/>
      </w:r>
      <w:r>
        <w:t xml:space="preserve"> and other folivores</w:t>
      </w:r>
      <w:r w:rsidR="00323F8B">
        <w:t xml:space="preserve"> </w:t>
      </w:r>
      <w:r w:rsidR="00323F8B">
        <w:fldChar w:fldCharType="begin"/>
      </w:r>
      <w:r>
        <w:instrText xml:space="preserve"> ADDIN EN.CITE &lt;EndNote&gt;&lt;Cite&gt;&lt;Author&gt;Barbero&lt;/Author&gt;&lt;Year&gt;2023&lt;/Year&gt;&lt;RecNum&gt;68&lt;/RecNum&gt;&lt;DisplayText&gt;(Barbero&lt;style face="italic"&gt; et al.&lt;/style&gt;, 2023)&lt;/DisplayText&gt;&lt;record&gt;&lt;rec-number&gt;68&lt;/rec-number&gt;&lt;foreign-keys&gt;&lt;key app="EN" db-id="p9vfsf2vj2tvwjevww9pzwfazxfv5txvw5ap" timestamp="1712292421"&gt;68&lt;/key&gt;&lt;/foreign-keys&gt;&lt;ref-type name="Journal Article"&gt;17&lt;/ref-type&gt;&lt;contributors&gt;&lt;authors&gt;&lt;author&gt;Barbero, Sofía&lt;/author&gt;&lt;author&gt;Teta, Pablo&lt;/author&gt;&lt;author&gt;Cassini, Guillermo Hernán&lt;/author&gt;&lt;/authors&gt;&lt;/contributors&gt;&lt;titles&gt;&lt;title&gt;An ecomorphological approach to the relationship between craniomandibular morphology and diet in sigmodontine rodents from central-eastern Argentina&lt;/title&gt;&lt;secondary-title&gt;Zoology&lt;/secondary-title&gt;&lt;/titles&gt;&lt;periodical&gt;&lt;full-title&gt;Zoology&lt;/full-title&gt;&lt;/periodical&gt;&lt;pages&gt;126066&lt;/pages&gt;&lt;volume&gt;156&lt;/volume&gt;&lt;keywords&gt;&lt;keyword&gt;Ecomorphology&lt;/keyword&gt;&lt;keyword&gt;Trophic ecology&lt;/keyword&gt;&lt;keyword&gt;Form-function&lt;/keyword&gt;&lt;keyword&gt;Pampas&lt;/keyword&gt;&lt;keyword&gt;South America&lt;/keyword&gt;&lt;/keywords&gt;&lt;dates&gt;&lt;year&gt;2023&lt;/year&gt;&lt;pub-dates&gt;&lt;date&gt;2023/02/01/&lt;/date&gt;&lt;/pub-dates&gt;&lt;/dates&gt;&lt;isbn&gt;0944-2006&lt;/isbn&gt;&lt;urls&gt;&lt;related-urls&gt;&lt;url&gt;https://www.sciencedirect.com/science/article/pii/S0944200622000678&lt;/url&gt;&lt;/related-urls&gt;&lt;/urls&gt;&lt;electronic-resource-num&gt;https://doi.org/10.1016/j.zool.2022.126066&lt;/electronic-resource-num&gt;&lt;/record&gt;&lt;/Cite&gt;&lt;/EndNote&gt;</w:instrText>
      </w:r>
      <w:r w:rsidR="00323F8B">
        <w:fldChar w:fldCharType="separate"/>
      </w:r>
      <w:r>
        <w:rPr>
          <w:noProof/>
        </w:rPr>
        <w:t>(Barbero</w:t>
      </w:r>
      <w:r w:rsidRPr="00FE5C11">
        <w:rPr>
          <w:i/>
          <w:noProof/>
        </w:rPr>
        <w:t xml:space="preserve"> et al.</w:t>
      </w:r>
      <w:r>
        <w:rPr>
          <w:noProof/>
        </w:rPr>
        <w:t>, 2023)</w:t>
      </w:r>
      <w:r w:rsidR="00323F8B">
        <w:fldChar w:fldCharType="end"/>
      </w:r>
      <w:r w:rsidR="00A21F2A">
        <w:t>.</w:t>
      </w:r>
      <w:r w:rsidR="001F08AE" w:rsidRPr="001F08AE">
        <w:t xml:space="preserve"> </w:t>
      </w:r>
      <w:r w:rsidR="001F08AE">
        <w:t xml:space="preserve">Similarly, cranial morphology is expected to be determined by the toughest 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xml:space="preserve">, so that frequent consumption of hard seeds and insects by the </w:t>
      </w:r>
      <w:r w:rsidR="001F08AE">
        <w:lastRenderedPageBreak/>
        <w:t>desert-living hopping generalist</w:t>
      </w:r>
      <w:r w:rsidR="00EB0E80">
        <w:t xml:space="preserve">s </w:t>
      </w:r>
      <w:r w:rsidR="00EB0E80">
        <w:rPr>
          <w:i/>
          <w:iCs/>
        </w:rPr>
        <w:t xml:space="preserve">Notomys </w:t>
      </w:r>
      <w:r w:rsidR="00EB0E80">
        <w:t xml:space="preserve">and </w:t>
      </w:r>
      <w:r w:rsidR="00EB0E80">
        <w:rPr>
          <w:i/>
          <w:iCs/>
        </w:rPr>
        <w:t>Conilurus</w:t>
      </w:r>
      <w:r w:rsidR="001F08AE">
        <w:t xml:space="preserve">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cranial dimensions than expected for their size.</w:t>
      </w:r>
    </w:p>
    <w:p w14:paraId="329BCC41" w14:textId="2E144CC5" w:rsidR="002E42C0" w:rsidRDefault="00A21F2A" w:rsidP="007F6BB1">
      <w:pPr>
        <w:spacing w:line="480" w:lineRule="auto"/>
        <w:ind w:firstLine="720"/>
      </w:pPr>
      <w:r>
        <w:t>Another</w:t>
      </w:r>
      <w:r w:rsidR="007F6BB1">
        <w:t>, potentially non-biomechanical</w:t>
      </w:r>
      <w:r>
        <w:t xml:space="preserve"> effect emerging from the ordination of shape residuals is a tendency of the </w:t>
      </w:r>
      <w:r w:rsidR="00B86823">
        <w:t xml:space="preserve">dorsal </w:t>
      </w:r>
      <w:r>
        <w:t xml:space="preserve">cranial </w:t>
      </w:r>
      <w:r w:rsidR="00B86823">
        <w:t>v</w:t>
      </w:r>
      <w:r>
        <w:t>ault to expand</w:t>
      </w:r>
      <w:r w:rsidR="00323F8B">
        <w:t xml:space="preserve"> dorsally</w:t>
      </w:r>
      <w:r>
        <w:t xml:space="preserve"> together with </w:t>
      </w:r>
      <w:r w:rsidR="00323F8B">
        <w:t>a ventral</w:t>
      </w:r>
      <w:r>
        <w:t xml:space="preserve"> expansion of th</w:t>
      </w:r>
      <w:r w:rsidR="00B86823">
        <w:t>e basicranium on PC2, resulting in</w:t>
      </w:r>
      <w:r>
        <w:t xml:space="preserve"> </w:t>
      </w:r>
      <w:r w:rsidR="00537CA3">
        <w:t>overall</w:t>
      </w:r>
      <w:r>
        <w:t xml:space="preserve"> braincase expansion</w:t>
      </w:r>
      <w:r w:rsidR="00B86823">
        <w:t xml:space="preserve">. </w:t>
      </w:r>
      <w:r w:rsidR="00537CA3">
        <w:t xml:space="preserve">This may be related to changes in the </w:t>
      </w:r>
      <w:r w:rsidR="00323F8B">
        <w:t>proportions</w:t>
      </w:r>
      <w:r w:rsidR="00537CA3">
        <w:t xml:space="preserve"> between cranium</w:t>
      </w:r>
      <w:r w:rsidR="00323F8B">
        <w:t xml:space="preserve"> </w:t>
      </w:r>
      <w:r w:rsidR="00537CA3">
        <w:t xml:space="preserve">and brain size, either through increase </w:t>
      </w:r>
      <w:r w:rsidR="00537CA3" w:rsidRPr="00323F8B">
        <w:t>or</w:t>
      </w:r>
      <w:r w:rsidR="00537CA3">
        <w:t xml:space="preserve"> decrease in encephalization </w:t>
      </w:r>
      <w:r w:rsidR="00537CA3">
        <w:fldChar w:fldCharType="begin"/>
      </w:r>
      <w:r w:rsidR="00537CA3">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537CA3">
        <w:fldChar w:fldCharType="separate"/>
      </w:r>
      <w:r w:rsidR="00537CA3">
        <w:rPr>
          <w:noProof/>
        </w:rPr>
        <w:t>(Smaers</w:t>
      </w:r>
      <w:r w:rsidR="00537CA3" w:rsidRPr="004550BE">
        <w:rPr>
          <w:i/>
          <w:noProof/>
        </w:rPr>
        <w:t xml:space="preserve"> et al.</w:t>
      </w:r>
      <w:r w:rsidR="00537CA3">
        <w:rPr>
          <w:noProof/>
        </w:rPr>
        <w:t>, 2021)</w:t>
      </w:r>
      <w:r w:rsidR="00537CA3">
        <w:fldChar w:fldCharType="end"/>
      </w:r>
      <w:r w:rsidR="00537CA3">
        <w:t xml:space="preserve"> or a different distribution of brain tissue within the braincase </w:t>
      </w:r>
      <w:r w:rsidR="00537CA3">
        <w:fldChar w:fldCharType="begin"/>
      </w:r>
      <w:r w:rsidR="00537CA3">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537CA3">
        <w:fldChar w:fldCharType="separate"/>
      </w:r>
      <w:r w:rsidR="00537CA3">
        <w:rPr>
          <w:noProof/>
        </w:rPr>
        <w:t>(Weisbecker</w:t>
      </w:r>
      <w:r w:rsidR="00537CA3" w:rsidRPr="004550BE">
        <w:rPr>
          <w:i/>
          <w:noProof/>
        </w:rPr>
        <w:t xml:space="preserve"> et al.</w:t>
      </w:r>
      <w:r w:rsidR="00537CA3">
        <w:rPr>
          <w:noProof/>
        </w:rPr>
        <w:t>, 2021)</w:t>
      </w:r>
      <w:r w:rsidR="00537CA3">
        <w:fldChar w:fldCharType="end"/>
      </w:r>
      <w:r w:rsidR="00537CA3">
        <w:t>.</w:t>
      </w:r>
      <w:r w:rsidR="00323F8B">
        <w:t xml:space="preserve"> The genera where this effect is most obvious – </w:t>
      </w:r>
      <w:r w:rsidR="00323F8B">
        <w:rPr>
          <w:i/>
          <w:iCs/>
        </w:rPr>
        <w:t xml:space="preserve">Mastacomys </w:t>
      </w:r>
      <w:r w:rsidR="00323F8B">
        <w:t xml:space="preserve">(with a relatively small braincase) and </w:t>
      </w:r>
      <w:r w:rsidR="00323F8B">
        <w:rPr>
          <w:i/>
          <w:iCs/>
        </w:rPr>
        <w:t xml:space="preserve">Notomys </w:t>
      </w:r>
      <w:r w:rsidR="00323F8B">
        <w:t xml:space="preserve">(with a relatively large braincase) indeed have large residuals, despite having </w:t>
      </w:r>
      <w:r w:rsidR="002E42C0">
        <w:t>slopes of static allometry that are not significantly different from the common slope</w:t>
      </w:r>
      <w:r w:rsidR="00323F8B">
        <w:t xml:space="preserve"> </w:t>
      </w:r>
      <w:r w:rsidR="002E42C0">
        <w:fldChar w:fldCharType="begin"/>
      </w:r>
      <w:r w:rsidR="002E42C0">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2E42C0">
        <w:fldChar w:fldCharType="separate"/>
      </w:r>
      <w:r w:rsidR="002E42C0">
        <w:rPr>
          <w:noProof/>
        </w:rPr>
        <w:t>(Marcy</w:t>
      </w:r>
      <w:r w:rsidR="002E42C0" w:rsidRPr="002E42C0">
        <w:rPr>
          <w:i/>
          <w:noProof/>
        </w:rPr>
        <w:t xml:space="preserve"> et al.</w:t>
      </w:r>
      <w:r w:rsidR="002E42C0">
        <w:rPr>
          <w:noProof/>
        </w:rPr>
        <w:t>, 2020)</w:t>
      </w:r>
      <w:r w:rsidR="002E42C0">
        <w:fldChar w:fldCharType="end"/>
      </w:r>
      <w:r w:rsidR="002E42C0">
        <w:t xml:space="preserve">.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 </w:t>
      </w:r>
      <w:r w:rsidR="002E42C0">
        <w:fldChar w:fldCharType="begin"/>
      </w:r>
      <w:r w:rsidR="007F6BB1">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E42C0">
        <w:fldChar w:fldCharType="separate"/>
      </w:r>
      <w:r w:rsidR="007F6BB1">
        <w:rPr>
          <w:noProof/>
        </w:rPr>
        <w:t>(represented by the intercept differences of the allomeric slope; Mitchell</w:t>
      </w:r>
      <w:r w:rsidR="007F6BB1" w:rsidRPr="007F6BB1">
        <w:rPr>
          <w:i/>
          <w:noProof/>
        </w:rPr>
        <w:t xml:space="preserve"> et al.</w:t>
      </w:r>
      <w:r w:rsidR="007F6BB1">
        <w:rPr>
          <w:noProof/>
        </w:rPr>
        <w:t>, 2024)</w:t>
      </w:r>
      <w:r w:rsidR="002E42C0">
        <w:fldChar w:fldCharType="end"/>
      </w:r>
    </w:p>
    <w:p w14:paraId="4D8F6D67" w14:textId="60F4974E" w:rsidR="008922AE" w:rsidRDefault="00EB0E80" w:rsidP="002E42C0">
      <w:pPr>
        <w:spacing w:line="480" w:lineRule="auto"/>
        <w:ind w:firstLine="720"/>
      </w:pPr>
      <w:r>
        <w:t>TIE IN WITH HOW STATS ARE PROBABLY USELESS ANYWAY 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rsidR="00000000">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stabilizing </w:t>
      </w:r>
      <w:r>
        <w:lastRenderedPageBreak/>
        <w:t xml:space="preserve">selection on mastication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r>
        <w:rPr>
          <w:i/>
        </w:rPr>
        <w:t>Notomys</w:t>
      </w:r>
      <w:r>
        <w:t xml:space="preserve"> species do not lie on the common allometric line, but this separation is because of their basicranium</w:t>
      </w:r>
      <w:r w:rsidR="002E42C0">
        <w:t xml:space="preserve"> and vault shape,</w:t>
      </w:r>
      <w:r>
        <w:t xml:space="preserve"> not their facial tilt. The inclusion of a facial tilt in </w:t>
      </w:r>
      <w:r>
        <w:rPr>
          <w:i/>
        </w:rPr>
        <w:t>Conilurus</w:t>
      </w:r>
      <w:r>
        <w:t xml:space="preserve"> and </w:t>
      </w:r>
      <w:r>
        <w:rPr>
          <w:i/>
        </w:rPr>
        <w:t>Notomys</w:t>
      </w:r>
      <w:r>
        <w:t xml:space="preserve"> within the common allometric pattern therefore </w:t>
      </w:r>
      <w:r w:rsidR="00317F8E">
        <w:t xml:space="preserve">confirms the hypothesis that CREA – patters related to specific parts of the cranium, without representing a constraint on the entire skull. </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354F54E0" w:rsidR="008922AE" w:rsidRDefault="009637AC">
      <w:pPr>
        <w:spacing w:line="480" w:lineRule="auto"/>
      </w:pPr>
      <w:r>
        <w:t xml:space="preserve">This agrees with the observation that rodents occupy a highly distinct, slowly-evolving area in the morphospace of placental crania </w:t>
      </w:r>
      <w:r>
        <w:fldChar w:fldCharType="begin"/>
      </w:r>
      <w:r>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Pr>
          <w:noProof/>
        </w:rPr>
        <w:t>(Goswami</w:t>
      </w:r>
      <w:r w:rsidRPr="004550BE">
        <w:rPr>
          <w:i/>
          <w:noProof/>
        </w:rPr>
        <w:t xml:space="preserve"> et al.</w:t>
      </w:r>
      <w:r>
        <w:rPr>
          <w:noProof/>
        </w:rPr>
        <w:t>, 2022)</w:t>
      </w:r>
      <w:r>
        <w:fldChar w:fldCharType="end"/>
      </w:r>
      <w:r>
        <w:t xml:space="preserve">, and highlights the importance of interpreting allometric patterns in the context of other variation, even when allometry explains the majority of shape variation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4550BE">
        <w:rPr>
          <w:i/>
          <w:noProof/>
        </w:rPr>
        <w:t xml:space="preserve"> et al.</w:t>
      </w:r>
      <w:r>
        <w:rPr>
          <w:noProof/>
        </w:rPr>
        <w:t>, 2024)</w:t>
      </w:r>
      <w:r>
        <w:fldChar w:fldCharType="end"/>
      </w:r>
      <w:r>
        <w:t xml:space="preserve">. </w:t>
      </w: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rPr>
          <w:bCs/>
        </w:rPr>
        <w:lastRenderedPageBreak/>
        <w:t>(</w:t>
      </w:r>
      <w:r>
        <w:t xml:space="preserve">for example, hystricomorphs) or where extreme dietary shifts occur, such as in worm-specialists like </w:t>
      </w:r>
      <w:r>
        <w:rPr>
          <w:i/>
          <w:iCs/>
        </w:rPr>
        <w:t>Paucidentomys</w:t>
      </w:r>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00FA92DA" w14:textId="603E0DF7" w:rsidR="009637AC" w:rsidRPr="009637AC" w:rsidRDefault="00751EC7" w:rsidP="009637AC">
      <w:pPr>
        <w:pStyle w:val="EndNoteBibliography"/>
        <w:ind w:left="720" w:hanging="720"/>
        <w:rPr>
          <w:noProof/>
        </w:rPr>
      </w:pPr>
      <w:r>
        <w:fldChar w:fldCharType="begin"/>
      </w:r>
      <w:r>
        <w:instrText xml:space="preserve"> ADDIN EN.REFLIST </w:instrText>
      </w:r>
      <w:r>
        <w:fldChar w:fldCharType="separate"/>
      </w:r>
      <w:r w:rsidR="009637AC" w:rsidRPr="009637AC">
        <w:rPr>
          <w:noProof/>
        </w:rPr>
        <w:t xml:space="preserve">Adams, D. C. (2016). Evaluating modularity in morphometric data: challenges with the RV coefficient and a new test measure. </w:t>
      </w:r>
      <w:r w:rsidR="009637AC" w:rsidRPr="009637AC">
        <w:rPr>
          <w:i/>
          <w:noProof/>
        </w:rPr>
        <w:t>Methods in Ecology and Evolution, 7</w:t>
      </w:r>
      <w:r w:rsidR="009637AC" w:rsidRPr="009637AC">
        <w:rPr>
          <w:noProof/>
        </w:rPr>
        <w:t>(5), 565-572. doi:</w:t>
      </w:r>
      <w:hyperlink r:id="rId14" w:history="1">
        <w:r w:rsidR="009637AC" w:rsidRPr="009637AC">
          <w:rPr>
            <w:rStyle w:val="Hyperlink"/>
            <w:noProof/>
          </w:rPr>
          <w:t>https://doi.org/10.1111/2041-210X.12511</w:t>
        </w:r>
      </w:hyperlink>
    </w:p>
    <w:p w14:paraId="0389331E" w14:textId="77777777" w:rsidR="009637AC" w:rsidRPr="009637AC" w:rsidRDefault="009637AC" w:rsidP="009637AC">
      <w:pPr>
        <w:pStyle w:val="EndNoteBibliography"/>
        <w:ind w:left="720" w:hanging="720"/>
        <w:rPr>
          <w:noProof/>
        </w:rPr>
      </w:pPr>
      <w:r w:rsidRPr="009637AC">
        <w:rPr>
          <w:noProof/>
        </w:rPr>
        <w:t xml:space="preserve">Adams, D. C., &amp; Collyer, M. L. (2016). On the comparison of the strength of morphological integration across morphometric datasets. </w:t>
      </w:r>
      <w:r w:rsidRPr="009637AC">
        <w:rPr>
          <w:i/>
          <w:noProof/>
        </w:rPr>
        <w:t>Evolution, 70</w:t>
      </w:r>
      <w:r w:rsidRPr="009637AC">
        <w:rPr>
          <w:noProof/>
        </w:rPr>
        <w:t xml:space="preserve">(11), 2623-2631. </w:t>
      </w:r>
    </w:p>
    <w:p w14:paraId="55A45533" w14:textId="3A55C8A0" w:rsidR="009637AC" w:rsidRPr="009637AC" w:rsidRDefault="009637AC" w:rsidP="009637AC">
      <w:pPr>
        <w:pStyle w:val="EndNoteBibliography"/>
        <w:ind w:left="720" w:hanging="720"/>
        <w:rPr>
          <w:noProof/>
        </w:rPr>
      </w:pPr>
      <w:r w:rsidRPr="009637AC">
        <w:rPr>
          <w:noProof/>
        </w:rPr>
        <w:t xml:space="preserve">Adams, D. C., &amp; Collyer, M. L. (2019). Comparing the strength of modular signal, and evaluating alternative modular hypotheses, using covariance ratio effect sizes with morphometric data. </w:t>
      </w:r>
      <w:r w:rsidRPr="009637AC">
        <w:rPr>
          <w:i/>
          <w:noProof/>
        </w:rPr>
        <w:t>Evolution, 73</w:t>
      </w:r>
      <w:r w:rsidRPr="009637AC">
        <w:rPr>
          <w:noProof/>
        </w:rPr>
        <w:t>(12), 2352-2367. doi:</w:t>
      </w:r>
      <w:hyperlink r:id="rId15" w:history="1">
        <w:r w:rsidRPr="009637AC">
          <w:rPr>
            <w:rStyle w:val="Hyperlink"/>
            <w:noProof/>
          </w:rPr>
          <w:t>https://doi.org/10.1111/evo.13867</w:t>
        </w:r>
      </w:hyperlink>
    </w:p>
    <w:p w14:paraId="3F024A65" w14:textId="22501953" w:rsidR="009637AC" w:rsidRPr="009637AC" w:rsidRDefault="009637AC" w:rsidP="009637AC">
      <w:pPr>
        <w:pStyle w:val="EndNoteBibliography"/>
        <w:ind w:left="720" w:hanging="720"/>
        <w:rPr>
          <w:noProof/>
        </w:rPr>
      </w:pPr>
      <w:r w:rsidRPr="009637AC">
        <w:rPr>
          <w:noProof/>
        </w:rPr>
        <w:t xml:space="preserve">Adams, D. C., Collyer, M. L., Kaliontzopoulou, A., &amp; Baken, E. K. (2022). Geomorph: Software for geometric morphometric analyses. </w:t>
      </w:r>
      <w:r w:rsidRPr="009637AC">
        <w:rPr>
          <w:i/>
          <w:noProof/>
        </w:rPr>
        <w:t xml:space="preserve">R package version 4.0.4. </w:t>
      </w:r>
      <w:hyperlink r:id="rId16" w:history="1">
        <w:r w:rsidRPr="009637AC">
          <w:rPr>
            <w:rStyle w:val="Hyperlink"/>
            <w:i/>
            <w:noProof/>
          </w:rPr>
          <w:t>https://cran.r-project.org/package=geomorph</w:t>
        </w:r>
      </w:hyperlink>
      <w:r w:rsidRPr="009637AC">
        <w:rPr>
          <w:noProof/>
        </w:rPr>
        <w:t xml:space="preserve">. </w:t>
      </w:r>
    </w:p>
    <w:p w14:paraId="00431417" w14:textId="01CE7CF0" w:rsidR="009637AC" w:rsidRPr="009637AC" w:rsidRDefault="009637AC" w:rsidP="009637AC">
      <w:pPr>
        <w:pStyle w:val="EndNoteBibliography"/>
        <w:ind w:left="720" w:hanging="720"/>
        <w:rPr>
          <w:noProof/>
        </w:rPr>
      </w:pPr>
      <w:r w:rsidRPr="009637AC">
        <w:rPr>
          <w:noProof/>
        </w:rPr>
        <w:t xml:space="preserve">Adams, D. C., &amp; Felice, R. N. (2014). Assessing trait covariation and morphological integration on phylogenies using evolutionary covariance matrices. </w:t>
      </w:r>
      <w:r w:rsidRPr="009637AC">
        <w:rPr>
          <w:i/>
          <w:noProof/>
        </w:rPr>
        <w:t>PLOS ONE, 9</w:t>
      </w:r>
      <w:r w:rsidRPr="009637AC">
        <w:rPr>
          <w:noProof/>
        </w:rPr>
        <w:t>(4), e94335. doi:</w:t>
      </w:r>
      <w:hyperlink r:id="rId17" w:history="1">
        <w:r w:rsidRPr="009637AC">
          <w:rPr>
            <w:rStyle w:val="Hyperlink"/>
            <w:noProof/>
          </w:rPr>
          <w:t>https://doi.org/10.1371/journal.pone.0094335</w:t>
        </w:r>
      </w:hyperlink>
    </w:p>
    <w:p w14:paraId="3F0DD18A" w14:textId="77777777" w:rsidR="009637AC" w:rsidRPr="009637AC" w:rsidRDefault="009637AC" w:rsidP="009637AC">
      <w:pPr>
        <w:pStyle w:val="EndNoteBibliography"/>
        <w:ind w:left="720" w:hanging="720"/>
        <w:rPr>
          <w:noProof/>
        </w:rPr>
      </w:pPr>
      <w:r w:rsidRPr="009637AC">
        <w:rPr>
          <w:noProof/>
        </w:rPr>
        <w:t xml:space="preserve">Aplin, K. P., &amp; Ford, F. (2014). Murine rodents: late but highly successful invaders. In H. H. T. Prins &amp; I. J. Gordon (Eds.), </w:t>
      </w:r>
      <w:r w:rsidRPr="009637AC">
        <w:rPr>
          <w:i/>
          <w:noProof/>
        </w:rPr>
        <w:t>Invasion Biology and Ecological Theory: Insights from a Continent in Transformation</w:t>
      </w:r>
      <w:r w:rsidRPr="009637AC">
        <w:rPr>
          <w:noProof/>
        </w:rPr>
        <w:t xml:space="preserve"> (pp. 196-240). Cambridge: Cambridge University Press.</w:t>
      </w:r>
    </w:p>
    <w:p w14:paraId="490FCE5F" w14:textId="7C1A9CD2" w:rsidR="009637AC" w:rsidRPr="009637AC" w:rsidRDefault="009637AC" w:rsidP="009637AC">
      <w:pPr>
        <w:pStyle w:val="EndNoteBibliography"/>
        <w:ind w:left="720" w:hanging="720"/>
        <w:rPr>
          <w:noProof/>
        </w:rPr>
      </w:pPr>
      <w:r w:rsidRPr="009637AC">
        <w:rPr>
          <w:noProof/>
        </w:rPr>
        <w:t xml:space="preserve">Baken, E. K., Collyer, M. L., Kaliontzopoulou, A., &amp; Adams, D. C. (2021). geomorph v4.0 and gmShiny: enhanced analytics and a new graphical interface for a comprehensive morphometric experience. </w:t>
      </w:r>
      <w:r w:rsidRPr="009637AC">
        <w:rPr>
          <w:i/>
          <w:noProof/>
        </w:rPr>
        <w:t>Methods in Ecology and Evolution, 12</w:t>
      </w:r>
      <w:r w:rsidRPr="009637AC">
        <w:rPr>
          <w:noProof/>
        </w:rPr>
        <w:t>, 2355-2363. doi:</w:t>
      </w:r>
      <w:hyperlink r:id="rId18" w:history="1">
        <w:r w:rsidRPr="009637AC">
          <w:rPr>
            <w:rStyle w:val="Hyperlink"/>
            <w:noProof/>
          </w:rPr>
          <w:t>https://doi.org/10.1111/2041-210X.13723</w:t>
        </w:r>
      </w:hyperlink>
    </w:p>
    <w:p w14:paraId="69F6ED8F" w14:textId="3A331651" w:rsidR="009637AC" w:rsidRPr="009637AC" w:rsidRDefault="009637AC" w:rsidP="009637AC">
      <w:pPr>
        <w:pStyle w:val="EndNoteBibliography"/>
        <w:ind w:left="720" w:hanging="720"/>
        <w:rPr>
          <w:noProof/>
        </w:rPr>
      </w:pPr>
      <w:r w:rsidRPr="009637AC">
        <w:rPr>
          <w:noProof/>
        </w:rPr>
        <w:t xml:space="preserve">Barbero, S., Teta, P., &amp; Cassini, G. H. (2023). An ecomorphological approach to the relationship between craniomandibular morphology and diet in sigmodontine rodents from central-eastern Argentina. </w:t>
      </w:r>
      <w:r w:rsidRPr="009637AC">
        <w:rPr>
          <w:i/>
          <w:noProof/>
        </w:rPr>
        <w:t>Zoology, 156</w:t>
      </w:r>
      <w:r w:rsidRPr="009637AC">
        <w:rPr>
          <w:noProof/>
        </w:rPr>
        <w:t>, 126066. doi:</w:t>
      </w:r>
      <w:hyperlink r:id="rId19" w:history="1">
        <w:r w:rsidRPr="009637AC">
          <w:rPr>
            <w:rStyle w:val="Hyperlink"/>
            <w:noProof/>
          </w:rPr>
          <w:t>https://doi.org/10.1016/j.zool.2022.126066</w:t>
        </w:r>
      </w:hyperlink>
    </w:p>
    <w:p w14:paraId="2BE3640B" w14:textId="77777777" w:rsidR="009637AC" w:rsidRPr="009637AC" w:rsidRDefault="009637AC" w:rsidP="009637AC">
      <w:pPr>
        <w:pStyle w:val="EndNoteBibliography"/>
        <w:ind w:left="720" w:hanging="720"/>
        <w:rPr>
          <w:noProof/>
        </w:rPr>
      </w:pPr>
      <w:r w:rsidRPr="009637AC">
        <w:rPr>
          <w:noProof/>
        </w:rPr>
        <w:t xml:space="preserve">Bonferroni, C. (1936). Teoria statistica delle classi e calcolo delle probabilita. </w:t>
      </w:r>
      <w:r w:rsidRPr="009637AC">
        <w:rPr>
          <w:i/>
          <w:noProof/>
        </w:rPr>
        <w:t>Pubblicazioni del R Istituto Superiore di Scienze Economiche e Commericiali di Firenze, 8</w:t>
      </w:r>
      <w:r w:rsidRPr="009637AC">
        <w:rPr>
          <w:noProof/>
        </w:rPr>
        <w:t xml:space="preserve">, 3-62. </w:t>
      </w:r>
    </w:p>
    <w:p w14:paraId="06A321B2" w14:textId="4D70F964" w:rsidR="009637AC" w:rsidRPr="009637AC" w:rsidRDefault="009637AC" w:rsidP="009637AC">
      <w:pPr>
        <w:pStyle w:val="EndNoteBibliography"/>
        <w:ind w:left="720" w:hanging="720"/>
        <w:rPr>
          <w:noProof/>
        </w:rPr>
      </w:pPr>
      <w:r w:rsidRPr="009637AC">
        <w:rPr>
          <w:noProof/>
        </w:rPr>
        <w:t xml:space="preserve">Bookstein, F. L. (2015). Integration, disintegration, and self-similarity: characterizing the scales of shape variation in landmark data. </w:t>
      </w:r>
      <w:r w:rsidRPr="009637AC">
        <w:rPr>
          <w:i/>
          <w:noProof/>
        </w:rPr>
        <w:t>Evolutionary Biology, 42</w:t>
      </w:r>
      <w:r w:rsidRPr="009637AC">
        <w:rPr>
          <w:noProof/>
        </w:rPr>
        <w:t>(4), 395-426. doi:</w:t>
      </w:r>
      <w:hyperlink r:id="rId20" w:history="1">
        <w:r w:rsidRPr="009637AC">
          <w:rPr>
            <w:rStyle w:val="Hyperlink"/>
            <w:noProof/>
          </w:rPr>
          <w:t>https://doi.org/10.1007/s11692-015-9317-8</w:t>
        </w:r>
      </w:hyperlink>
    </w:p>
    <w:p w14:paraId="7035EBFD" w14:textId="77777777" w:rsidR="009637AC" w:rsidRPr="009637AC" w:rsidRDefault="009637AC" w:rsidP="009637AC">
      <w:pPr>
        <w:pStyle w:val="EndNoteBibliography"/>
        <w:ind w:left="720" w:hanging="720"/>
        <w:rPr>
          <w:noProof/>
        </w:rPr>
      </w:pPr>
      <w:r w:rsidRPr="009637AC">
        <w:rPr>
          <w:noProof/>
        </w:rPr>
        <w:t xml:space="preserve">Breed, B., &amp; Ford, F. (2007). </w:t>
      </w:r>
      <w:r w:rsidRPr="009637AC">
        <w:rPr>
          <w:i/>
          <w:noProof/>
        </w:rPr>
        <w:t>Native Mice and Rats</w:t>
      </w:r>
      <w:r w:rsidRPr="009637AC">
        <w:rPr>
          <w:noProof/>
        </w:rPr>
        <w:t>.</w:t>
      </w:r>
    </w:p>
    <w:p w14:paraId="2FF5C18B" w14:textId="32CDAB86" w:rsidR="009637AC" w:rsidRPr="009637AC" w:rsidRDefault="009637AC" w:rsidP="009637AC">
      <w:pPr>
        <w:pStyle w:val="EndNoteBibliography"/>
        <w:ind w:left="720" w:hanging="720"/>
        <w:rPr>
          <w:noProof/>
        </w:rPr>
      </w:pPr>
      <w:r w:rsidRPr="009637AC">
        <w:rPr>
          <w:noProof/>
        </w:rPr>
        <w:t xml:space="preserve">Bright, J. A., Marugán-Lobón, J., Cobb, S. N., &amp; Rayfield, E. J. (2016). The shapes of bird beaks are highly controlled by nondietary factors. </w:t>
      </w:r>
      <w:r w:rsidRPr="009637AC">
        <w:rPr>
          <w:i/>
          <w:noProof/>
        </w:rPr>
        <w:t>Proceedings of the National Academy of Sciences, 113</w:t>
      </w:r>
      <w:r w:rsidRPr="009637AC">
        <w:rPr>
          <w:noProof/>
        </w:rPr>
        <w:t>(19), 5352-5357. doi:</w:t>
      </w:r>
      <w:hyperlink r:id="rId21" w:history="1">
        <w:r w:rsidRPr="009637AC">
          <w:rPr>
            <w:rStyle w:val="Hyperlink"/>
            <w:noProof/>
          </w:rPr>
          <w:t>https://doi.org/10.1073/pnas.1602683113</w:t>
        </w:r>
      </w:hyperlink>
    </w:p>
    <w:p w14:paraId="0D08AF01" w14:textId="77777777" w:rsidR="009637AC" w:rsidRPr="009637AC" w:rsidRDefault="009637AC" w:rsidP="009637AC">
      <w:pPr>
        <w:pStyle w:val="EndNoteBibliography"/>
        <w:ind w:left="720" w:hanging="720"/>
        <w:rPr>
          <w:noProof/>
        </w:rPr>
      </w:pPr>
      <w:r w:rsidRPr="009637AC">
        <w:rPr>
          <w:noProof/>
        </w:rPr>
        <w:t xml:space="preserve">Burnham, K. P., &amp; Anderson, D. R. (2002). </w:t>
      </w:r>
      <w:r w:rsidRPr="009637AC">
        <w:rPr>
          <w:i/>
          <w:noProof/>
        </w:rPr>
        <w:t>Model Selection and Multi-Model Inference</w:t>
      </w:r>
      <w:r w:rsidRPr="009637AC">
        <w:rPr>
          <w:noProof/>
        </w:rPr>
        <w:t>. New York: Springer.</w:t>
      </w:r>
    </w:p>
    <w:p w14:paraId="6749FE40" w14:textId="77777777" w:rsidR="009637AC" w:rsidRPr="009637AC" w:rsidRDefault="009637AC" w:rsidP="009637AC">
      <w:pPr>
        <w:pStyle w:val="EndNoteBibliography"/>
        <w:ind w:left="720" w:hanging="720"/>
        <w:rPr>
          <w:noProof/>
        </w:rPr>
      </w:pPr>
      <w:r w:rsidRPr="009637AC">
        <w:rPr>
          <w:noProof/>
        </w:rPr>
        <w:t xml:space="preserve">Calaby, J., &amp; Wimbush, D. (1964). Observations on the broad-toothed rat, Mastacomys fuscus Thomas. </w:t>
      </w:r>
      <w:r w:rsidRPr="009637AC">
        <w:rPr>
          <w:i/>
          <w:noProof/>
        </w:rPr>
        <w:t>CSIRO Wildlife Research, 9</w:t>
      </w:r>
      <w:r w:rsidRPr="009637AC">
        <w:rPr>
          <w:noProof/>
        </w:rPr>
        <w:t xml:space="preserve">(2), 123-133. </w:t>
      </w:r>
    </w:p>
    <w:p w14:paraId="0720BAF1" w14:textId="62EB7E54" w:rsidR="009637AC" w:rsidRPr="009637AC" w:rsidRDefault="009637AC" w:rsidP="009637AC">
      <w:pPr>
        <w:pStyle w:val="EndNoteBibliography"/>
        <w:ind w:left="720" w:hanging="720"/>
        <w:rPr>
          <w:noProof/>
        </w:rPr>
      </w:pPr>
      <w:r w:rsidRPr="009637AC">
        <w:rPr>
          <w:noProof/>
        </w:rPr>
        <w:t xml:space="preserve">Cardini, A. (2019). Craniofacial allometry is a rule in evolutionary radiations of placentals. </w:t>
      </w:r>
      <w:r w:rsidRPr="009637AC">
        <w:rPr>
          <w:i/>
          <w:noProof/>
        </w:rPr>
        <w:t>Evolutionary Biology, 46</w:t>
      </w:r>
      <w:r w:rsidRPr="009637AC">
        <w:rPr>
          <w:noProof/>
        </w:rPr>
        <w:t>(3), 239-248. doi:</w:t>
      </w:r>
      <w:hyperlink r:id="rId22" w:history="1">
        <w:r w:rsidRPr="009637AC">
          <w:rPr>
            <w:rStyle w:val="Hyperlink"/>
            <w:noProof/>
          </w:rPr>
          <w:t>https://doi.org/10.1007/s11692-019-09477-7</w:t>
        </w:r>
      </w:hyperlink>
    </w:p>
    <w:p w14:paraId="5FCB7F65" w14:textId="57C56CE4" w:rsidR="009637AC" w:rsidRPr="009637AC" w:rsidRDefault="009637AC" w:rsidP="009637AC">
      <w:pPr>
        <w:pStyle w:val="EndNoteBibliography"/>
        <w:ind w:left="720" w:hanging="720"/>
        <w:rPr>
          <w:noProof/>
        </w:rPr>
      </w:pPr>
      <w:r w:rsidRPr="009637AC">
        <w:rPr>
          <w:noProof/>
        </w:rPr>
        <w:t xml:space="preserve">Cardini, A., Polly, D., Dawson, R., &amp; Milne, N. (2015). Why the long face? Kangaroos and wallabies follow the same ‘rule’ of cranial evolutionary allometry (CREA) as placentals. </w:t>
      </w:r>
      <w:r w:rsidRPr="009637AC">
        <w:rPr>
          <w:i/>
          <w:noProof/>
        </w:rPr>
        <w:t>Evolutionary Biology, 42</w:t>
      </w:r>
      <w:r w:rsidRPr="009637AC">
        <w:rPr>
          <w:noProof/>
        </w:rPr>
        <w:t>(2), 169-176. doi:</w:t>
      </w:r>
      <w:hyperlink r:id="rId23" w:history="1">
        <w:r w:rsidRPr="009637AC">
          <w:rPr>
            <w:rStyle w:val="Hyperlink"/>
            <w:noProof/>
          </w:rPr>
          <w:t>https://doi.org/10.1007/s11692-015-9308-9</w:t>
        </w:r>
      </w:hyperlink>
    </w:p>
    <w:p w14:paraId="72A14CC3" w14:textId="26E68B38" w:rsidR="009637AC" w:rsidRPr="009637AC" w:rsidRDefault="009637AC" w:rsidP="009637AC">
      <w:pPr>
        <w:pStyle w:val="EndNoteBibliography"/>
        <w:ind w:left="720" w:hanging="720"/>
        <w:rPr>
          <w:noProof/>
        </w:rPr>
      </w:pPr>
      <w:r w:rsidRPr="009637AC">
        <w:rPr>
          <w:noProof/>
        </w:rPr>
        <w:lastRenderedPageBreak/>
        <w:t xml:space="preserve">Cavanaugh, J. E., &amp; Neath, A. A. (2019). The Akaike information criterion: Background, derivation, properties, application, interpretation, and refinements. </w:t>
      </w:r>
      <w:r w:rsidRPr="009637AC">
        <w:rPr>
          <w:i/>
          <w:noProof/>
        </w:rPr>
        <w:t>WIREs Computational Statistics, 11</w:t>
      </w:r>
      <w:r w:rsidRPr="009637AC">
        <w:rPr>
          <w:noProof/>
        </w:rPr>
        <w:t>(3), e1460. doi:</w:t>
      </w:r>
      <w:hyperlink r:id="rId24" w:history="1">
        <w:r w:rsidRPr="009637AC">
          <w:rPr>
            <w:rStyle w:val="Hyperlink"/>
            <w:noProof/>
          </w:rPr>
          <w:t>https://doi.org/10.1002/wics.1460</w:t>
        </w:r>
      </w:hyperlink>
    </w:p>
    <w:p w14:paraId="14D4A2E1" w14:textId="77777777" w:rsidR="009637AC" w:rsidRPr="009637AC" w:rsidRDefault="009637AC" w:rsidP="009637AC">
      <w:pPr>
        <w:pStyle w:val="EndNoteBibliography"/>
        <w:ind w:left="720" w:hanging="720"/>
        <w:rPr>
          <w:noProof/>
        </w:rPr>
      </w:pPr>
      <w:r w:rsidRPr="009637AC">
        <w:rPr>
          <w:noProof/>
        </w:rPr>
        <w:t xml:space="preserve">Clavel, J., Escarguel, G., &amp; Merceron, G. (2015). mvMORPH: an R package for fitting multivariate evolutionary models to morphometric data. </w:t>
      </w:r>
      <w:r w:rsidRPr="009637AC">
        <w:rPr>
          <w:i/>
          <w:noProof/>
        </w:rPr>
        <w:t>Methods in Ecology and Evolution, 6</w:t>
      </w:r>
      <w:r w:rsidRPr="009637AC">
        <w:rPr>
          <w:noProof/>
        </w:rPr>
        <w:t xml:space="preserve">(11), 1311-1319. </w:t>
      </w:r>
    </w:p>
    <w:p w14:paraId="18084A88" w14:textId="19D0BDF6" w:rsidR="009637AC" w:rsidRPr="009637AC" w:rsidRDefault="009637AC" w:rsidP="009637AC">
      <w:pPr>
        <w:pStyle w:val="EndNoteBibliography"/>
        <w:ind w:left="720" w:hanging="720"/>
        <w:rPr>
          <w:noProof/>
        </w:rPr>
      </w:pPr>
      <w:r w:rsidRPr="009637AC">
        <w:rPr>
          <w:noProof/>
        </w:rPr>
        <w:t xml:space="preserve">Collyer, M. L., &amp; Adams, D. C. (2018). RRPP: An R package for fitting linear models to high‐dimensional data using residual randomization. </w:t>
      </w:r>
      <w:r w:rsidRPr="009637AC">
        <w:rPr>
          <w:i/>
          <w:noProof/>
        </w:rPr>
        <w:t>Methods in Ecology and Evolution, 9</w:t>
      </w:r>
      <w:r w:rsidRPr="009637AC">
        <w:rPr>
          <w:noProof/>
        </w:rPr>
        <w:t>, 1772-1779. doi:</w:t>
      </w:r>
      <w:hyperlink r:id="rId25" w:history="1">
        <w:r w:rsidRPr="009637AC">
          <w:rPr>
            <w:rStyle w:val="Hyperlink"/>
            <w:noProof/>
          </w:rPr>
          <w:t>https://doi.org/10.1111/2041-210X.13029</w:t>
        </w:r>
      </w:hyperlink>
    </w:p>
    <w:p w14:paraId="606F159C" w14:textId="7E61DB4F" w:rsidR="009637AC" w:rsidRPr="009637AC" w:rsidRDefault="009637AC" w:rsidP="009637AC">
      <w:pPr>
        <w:pStyle w:val="EndNoteBibliography"/>
        <w:ind w:left="720" w:hanging="720"/>
        <w:rPr>
          <w:noProof/>
        </w:rPr>
      </w:pPr>
      <w:r w:rsidRPr="009637AC">
        <w:rPr>
          <w:noProof/>
        </w:rPr>
        <w:t xml:space="preserve">Collyer, M. L., &amp; Adams, D. C. (2019). RRPP: Linear Model Evaluation with Randomized Residuals in a Permutation Procedure. </w:t>
      </w:r>
      <w:hyperlink r:id="rId26" w:history="1">
        <w:r w:rsidRPr="009637AC">
          <w:rPr>
            <w:rStyle w:val="Hyperlink"/>
            <w:i/>
            <w:noProof/>
          </w:rPr>
          <w:t>https://CRAN.R-project.org/package=RRPP</w:t>
        </w:r>
      </w:hyperlink>
      <w:r w:rsidRPr="009637AC">
        <w:rPr>
          <w:noProof/>
        </w:rPr>
        <w:t xml:space="preserve">. </w:t>
      </w:r>
    </w:p>
    <w:p w14:paraId="419A48D7" w14:textId="77777777" w:rsidR="009637AC" w:rsidRPr="009637AC" w:rsidRDefault="009637AC" w:rsidP="009637AC">
      <w:pPr>
        <w:pStyle w:val="EndNoteBibliography"/>
        <w:ind w:left="720" w:hanging="720"/>
        <w:rPr>
          <w:noProof/>
        </w:rPr>
      </w:pPr>
      <w:r w:rsidRPr="009637AC">
        <w:rPr>
          <w:noProof/>
        </w:rPr>
        <w:t xml:space="preserve">Cooper, N., Thomas, G. H., Venditti, C., Meade, A., &amp; Freckleton, R. P. (2016). A cautionary note on the use of Ornstein Uhlenbeck models in macroevolutionary studies. </w:t>
      </w:r>
      <w:r w:rsidRPr="009637AC">
        <w:rPr>
          <w:i/>
          <w:noProof/>
        </w:rPr>
        <w:t>Biological Journal of the Linnean Society, 118</w:t>
      </w:r>
      <w:r w:rsidRPr="009637AC">
        <w:rPr>
          <w:noProof/>
        </w:rPr>
        <w:t xml:space="preserve">(1), 64-77. </w:t>
      </w:r>
    </w:p>
    <w:p w14:paraId="4E0FF730" w14:textId="4FD448FB" w:rsidR="009637AC" w:rsidRPr="009637AC" w:rsidRDefault="009637AC" w:rsidP="009637AC">
      <w:pPr>
        <w:pStyle w:val="EndNoteBibliography"/>
        <w:ind w:left="720" w:hanging="720"/>
        <w:rPr>
          <w:noProof/>
        </w:rPr>
      </w:pPr>
      <w:r w:rsidRPr="009637AC">
        <w:rPr>
          <w:noProof/>
        </w:rPr>
        <w:t xml:space="preserve">Cox, P. G., Rayfield, E. J., Fagan, M. J., Herrel, A., Pataky, T. C., &amp; Jeffery, N. (2012). Functional evolution of the feeding system in rodents. </w:t>
      </w:r>
      <w:r w:rsidRPr="009637AC">
        <w:rPr>
          <w:i/>
          <w:noProof/>
        </w:rPr>
        <w:t>PLOS ONE, 7</w:t>
      </w:r>
      <w:r w:rsidRPr="009637AC">
        <w:rPr>
          <w:noProof/>
        </w:rPr>
        <w:t>(4), e36299. doi:</w:t>
      </w:r>
      <w:hyperlink r:id="rId27" w:history="1">
        <w:r w:rsidRPr="009637AC">
          <w:rPr>
            <w:rStyle w:val="Hyperlink"/>
            <w:noProof/>
          </w:rPr>
          <w:t>https://doi.org/10.1371/journal.pone.0036299</w:t>
        </w:r>
      </w:hyperlink>
    </w:p>
    <w:p w14:paraId="348B2C9E" w14:textId="77777777" w:rsidR="009637AC" w:rsidRPr="009637AC" w:rsidRDefault="009637AC" w:rsidP="009637AC">
      <w:pPr>
        <w:pStyle w:val="EndNoteBibliography"/>
        <w:ind w:left="720" w:hanging="720"/>
        <w:rPr>
          <w:noProof/>
        </w:rPr>
      </w:pPr>
      <w:r w:rsidRPr="009637AC">
        <w:rPr>
          <w:noProof/>
        </w:rPr>
        <w:t xml:space="preserve">Druzinsky, R. E. (2015). The oral apparatus of rodents: variations on the theme of a gnawing machine. In L. Hautier &amp; P. G. Cox (Eds.), </w:t>
      </w:r>
      <w:r w:rsidRPr="009637AC">
        <w:rPr>
          <w:i/>
          <w:noProof/>
        </w:rPr>
        <w:t>Evolution of the Rodents: Advances in Phylogeny, Functional Morphology and Development</w:t>
      </w:r>
      <w:r w:rsidRPr="009637AC">
        <w:rPr>
          <w:noProof/>
        </w:rPr>
        <w:t xml:space="preserve"> (Vol. 5, pp. 323-349). Cambridge: Cambridge University Press.</w:t>
      </w:r>
    </w:p>
    <w:p w14:paraId="2A22EEB9" w14:textId="28FD561E" w:rsidR="009637AC" w:rsidRPr="009637AC" w:rsidRDefault="009637AC" w:rsidP="009637AC">
      <w:pPr>
        <w:pStyle w:val="EndNoteBibliography"/>
        <w:ind w:left="720" w:hanging="720"/>
        <w:rPr>
          <w:noProof/>
        </w:rPr>
      </w:pPr>
      <w:r w:rsidRPr="009637AC">
        <w:rPr>
          <w:noProof/>
        </w:rPr>
        <w:t xml:space="preserve">Esselstyn, J. A., Achmadi, A. S., &amp; Rowe, K. C. (2012). Evolutionary novelty in a rat with no molars. </w:t>
      </w:r>
      <w:r w:rsidRPr="009637AC">
        <w:rPr>
          <w:i/>
          <w:noProof/>
        </w:rPr>
        <w:t>Biology Letters, 8</w:t>
      </w:r>
      <w:r w:rsidRPr="009637AC">
        <w:rPr>
          <w:noProof/>
        </w:rPr>
        <w:t>(6), 990-993. doi:</w:t>
      </w:r>
      <w:hyperlink r:id="rId28" w:history="1">
        <w:r w:rsidRPr="009637AC">
          <w:rPr>
            <w:rStyle w:val="Hyperlink"/>
            <w:noProof/>
          </w:rPr>
          <w:t>https://doi.org/10.1098/rsbl.2012.0574</w:t>
        </w:r>
      </w:hyperlink>
    </w:p>
    <w:p w14:paraId="4212EC04" w14:textId="0DE50940" w:rsidR="009637AC" w:rsidRPr="009637AC" w:rsidRDefault="009637AC" w:rsidP="009637AC">
      <w:pPr>
        <w:pStyle w:val="EndNoteBibliography"/>
        <w:ind w:left="720" w:hanging="720"/>
        <w:rPr>
          <w:noProof/>
        </w:rPr>
      </w:pPr>
      <w:r w:rsidRPr="009637AC">
        <w:rPr>
          <w:noProof/>
        </w:rPr>
        <w:t xml:space="preserve">Evans, K. M., Waltz, B., Tagliacollo, V., Chakrabarty, P., &amp; Albert, J. S. (2017). Why the short face? Developmental disintegration of the neurocranium drives convergent evolution in neotropical electric fishes. </w:t>
      </w:r>
      <w:r w:rsidRPr="009637AC">
        <w:rPr>
          <w:i/>
          <w:noProof/>
        </w:rPr>
        <w:t>Ecology and Evolution, 7</w:t>
      </w:r>
      <w:r w:rsidRPr="009637AC">
        <w:rPr>
          <w:noProof/>
        </w:rPr>
        <w:t>(6), 1783-1801. doi:</w:t>
      </w:r>
      <w:hyperlink r:id="rId29" w:history="1">
        <w:r w:rsidRPr="009637AC">
          <w:rPr>
            <w:rStyle w:val="Hyperlink"/>
            <w:noProof/>
          </w:rPr>
          <w:t>https://doi.org/10.1002/ece3.2704</w:t>
        </w:r>
      </w:hyperlink>
    </w:p>
    <w:p w14:paraId="6B8F3EFE" w14:textId="147CBBDD" w:rsidR="009637AC" w:rsidRPr="009637AC" w:rsidRDefault="009637AC" w:rsidP="009637AC">
      <w:pPr>
        <w:pStyle w:val="EndNoteBibliography"/>
        <w:ind w:left="720" w:hanging="720"/>
        <w:rPr>
          <w:noProof/>
        </w:rPr>
      </w:pPr>
      <w:r w:rsidRPr="009637AC">
        <w:rPr>
          <w:noProof/>
        </w:rPr>
        <w:t xml:space="preserve">Figueirido, B., Tseng, Z. J., Serrano-Alarcón, F. J., Martín-Serra, A., &amp; Pastor, J. F. (2014). Three-dimensional computer simulations of feeding behaviour in red and giant pandas relate skull biomechanics with dietary niche partitioning. </w:t>
      </w:r>
      <w:r w:rsidRPr="009637AC">
        <w:rPr>
          <w:i/>
          <w:noProof/>
        </w:rPr>
        <w:t>Biology Letters, 10</w:t>
      </w:r>
      <w:r w:rsidRPr="009637AC">
        <w:rPr>
          <w:noProof/>
        </w:rPr>
        <w:t>(4), 20140196. doi:</w:t>
      </w:r>
      <w:hyperlink r:id="rId30" w:history="1">
        <w:r w:rsidRPr="009637AC">
          <w:rPr>
            <w:rStyle w:val="Hyperlink"/>
            <w:noProof/>
          </w:rPr>
          <w:t>https://doi.org/10.1098/rsbl.2014.0196</w:t>
        </w:r>
      </w:hyperlink>
    </w:p>
    <w:p w14:paraId="060D664C" w14:textId="58BD314B" w:rsidR="009637AC" w:rsidRPr="009637AC" w:rsidRDefault="009637AC" w:rsidP="009637AC">
      <w:pPr>
        <w:pStyle w:val="EndNoteBibliography"/>
        <w:ind w:left="720" w:hanging="720"/>
        <w:rPr>
          <w:noProof/>
        </w:rPr>
      </w:pPr>
      <w:r w:rsidRPr="009637AC">
        <w:rPr>
          <w:noProof/>
        </w:rPr>
        <w:t xml:space="preserve">Freeman, P. W., &amp; Lemen, C. A. (2008). A simple morphological predictor of bite force in rodents. </w:t>
      </w:r>
      <w:r w:rsidRPr="009637AC">
        <w:rPr>
          <w:i/>
          <w:noProof/>
        </w:rPr>
        <w:t>Journal of Zoology, 275</w:t>
      </w:r>
      <w:r w:rsidRPr="009637AC">
        <w:rPr>
          <w:noProof/>
        </w:rPr>
        <w:t>(4), 418-422. doi:</w:t>
      </w:r>
      <w:hyperlink r:id="rId31" w:history="1">
        <w:r w:rsidRPr="009637AC">
          <w:rPr>
            <w:rStyle w:val="Hyperlink"/>
            <w:noProof/>
          </w:rPr>
          <w:t>https://doi.org/10.1111/j.1469-7998.2008.00459.x</w:t>
        </w:r>
      </w:hyperlink>
    </w:p>
    <w:p w14:paraId="1E806DCE" w14:textId="256F9979" w:rsidR="009637AC" w:rsidRPr="009637AC" w:rsidRDefault="009637AC" w:rsidP="009637AC">
      <w:pPr>
        <w:pStyle w:val="EndNoteBibliography"/>
        <w:ind w:left="720" w:hanging="720"/>
        <w:rPr>
          <w:noProof/>
        </w:rPr>
      </w:pPr>
      <w:r w:rsidRPr="009637AC">
        <w:rPr>
          <w:noProof/>
        </w:rPr>
        <w:t xml:space="preserve">Ginot, S., Claude, J., &amp; Hautier, L. (2018). One skull to rule them all? Descriptive and comparative anatomy of the masticatory apparatus in five mouse species. </w:t>
      </w:r>
      <w:r w:rsidRPr="009637AC">
        <w:rPr>
          <w:i/>
          <w:noProof/>
        </w:rPr>
        <w:t>Journal of Morphology, 279</w:t>
      </w:r>
      <w:r w:rsidRPr="009637AC">
        <w:rPr>
          <w:noProof/>
        </w:rPr>
        <w:t>(9), 1234-1255. doi:</w:t>
      </w:r>
      <w:hyperlink r:id="rId32" w:history="1">
        <w:r w:rsidRPr="009637AC">
          <w:rPr>
            <w:rStyle w:val="Hyperlink"/>
            <w:noProof/>
          </w:rPr>
          <w:t>https://doi.org/10.1002/jmor.20845</w:t>
        </w:r>
      </w:hyperlink>
    </w:p>
    <w:p w14:paraId="305AE0EF" w14:textId="280A6706" w:rsidR="009637AC" w:rsidRPr="009637AC" w:rsidRDefault="009637AC" w:rsidP="009637AC">
      <w:pPr>
        <w:pStyle w:val="EndNoteBibliography"/>
        <w:ind w:left="720" w:hanging="720"/>
        <w:rPr>
          <w:noProof/>
        </w:rPr>
      </w:pPr>
      <w:r w:rsidRPr="009637AC">
        <w:rPr>
          <w:noProof/>
        </w:rPr>
        <w:t xml:space="preserve">Goswami, A. (2006). Cranial modularity shifts during mammalian evolution. </w:t>
      </w:r>
      <w:r w:rsidRPr="009637AC">
        <w:rPr>
          <w:i/>
          <w:noProof/>
        </w:rPr>
        <w:t>The American Naturalist, 168</w:t>
      </w:r>
      <w:r w:rsidRPr="009637AC">
        <w:rPr>
          <w:noProof/>
        </w:rPr>
        <w:t>(2), 270-280. doi:</w:t>
      </w:r>
      <w:hyperlink r:id="rId33" w:history="1">
        <w:r w:rsidRPr="009637AC">
          <w:rPr>
            <w:rStyle w:val="Hyperlink"/>
            <w:noProof/>
          </w:rPr>
          <w:t>https://doi.org/10.1086/505758</w:t>
        </w:r>
      </w:hyperlink>
    </w:p>
    <w:p w14:paraId="353F4479" w14:textId="7EFD5052" w:rsidR="009637AC" w:rsidRPr="009637AC" w:rsidRDefault="009637AC" w:rsidP="009637AC">
      <w:pPr>
        <w:pStyle w:val="EndNoteBibliography"/>
        <w:ind w:left="720" w:hanging="720"/>
        <w:rPr>
          <w:noProof/>
        </w:rPr>
      </w:pPr>
      <w:r w:rsidRPr="009637AC">
        <w:rPr>
          <w:noProof/>
        </w:rPr>
        <w:t xml:space="preserve">Goswami, A., Noirault, E., Coombs, E. J., Clavel, J., Fabre, A.-C., Halliday, T. J. D., Churchill, M., Curtis, A., Watanabe, A., Simmons, N. B., Beatty, B. L., Geisler, J. H., Fox, D. L., &amp; Felice, R. N. (2022). Attenuated evolution of mammals through the Cenozoic. </w:t>
      </w:r>
      <w:r w:rsidRPr="009637AC">
        <w:rPr>
          <w:i/>
          <w:noProof/>
        </w:rPr>
        <w:t>Science, 378</w:t>
      </w:r>
      <w:r w:rsidRPr="009637AC">
        <w:rPr>
          <w:noProof/>
        </w:rPr>
        <w:t>(6618), 377-383. doi:</w:t>
      </w:r>
      <w:hyperlink r:id="rId34" w:history="1">
        <w:r w:rsidRPr="009637AC">
          <w:rPr>
            <w:rStyle w:val="Hyperlink"/>
            <w:noProof/>
          </w:rPr>
          <w:t>https://doi.org/10.1126/science.abm7525</w:t>
        </w:r>
      </w:hyperlink>
    </w:p>
    <w:p w14:paraId="08CC09A1" w14:textId="77777777" w:rsidR="009637AC" w:rsidRPr="009637AC" w:rsidRDefault="009637AC" w:rsidP="009637AC">
      <w:pPr>
        <w:pStyle w:val="EndNoteBibliography"/>
        <w:ind w:left="720" w:hanging="720"/>
        <w:rPr>
          <w:noProof/>
        </w:rPr>
      </w:pPr>
      <w:r w:rsidRPr="009637AC">
        <w:rPr>
          <w:noProof/>
        </w:rPr>
        <w:t xml:space="preserve">Green, K., Davis, N., &amp; Robinson, W. (2014). Diet of the Broad-toothed Rat Mastacomys fuscus (Rodentia:Muridae) in the alpine zone of the Snowy Mountains, Australia. </w:t>
      </w:r>
      <w:r w:rsidRPr="009637AC">
        <w:rPr>
          <w:i/>
          <w:noProof/>
        </w:rPr>
        <w:t>Australian Zoologist, 37</w:t>
      </w:r>
      <w:r w:rsidRPr="009637AC">
        <w:rPr>
          <w:noProof/>
        </w:rPr>
        <w:t>(2), 225-233. doi:10.7882/az.2014.023</w:t>
      </w:r>
    </w:p>
    <w:p w14:paraId="5FCCA4A9" w14:textId="6050EEEC" w:rsidR="009637AC" w:rsidRPr="009637AC" w:rsidRDefault="009637AC" w:rsidP="009637AC">
      <w:pPr>
        <w:pStyle w:val="EndNoteBibliography"/>
        <w:ind w:left="720" w:hanging="720"/>
        <w:rPr>
          <w:noProof/>
        </w:rPr>
      </w:pPr>
      <w:r w:rsidRPr="009637AC">
        <w:rPr>
          <w:noProof/>
        </w:rPr>
        <w:lastRenderedPageBreak/>
        <w:t xml:space="preserve">Guillerme, T., &amp; Weisbecker, V. (2019). LandvR: Tools for measuring landmark position variation. </w:t>
      </w:r>
      <w:r w:rsidRPr="009637AC">
        <w:rPr>
          <w:i/>
          <w:noProof/>
        </w:rPr>
        <w:t>Zenodo</w:t>
      </w:r>
      <w:r w:rsidRPr="009637AC">
        <w:rPr>
          <w:noProof/>
        </w:rPr>
        <w:t>. doi:</w:t>
      </w:r>
      <w:hyperlink r:id="rId35" w:history="1">
        <w:r w:rsidRPr="009637AC">
          <w:rPr>
            <w:rStyle w:val="Hyperlink"/>
            <w:noProof/>
          </w:rPr>
          <w:t>https://doi.org/10.5281/zenodo.2620785</w:t>
        </w:r>
      </w:hyperlink>
    </w:p>
    <w:p w14:paraId="2F1C9228" w14:textId="4A06674D" w:rsidR="009637AC" w:rsidRPr="009637AC" w:rsidRDefault="009637AC" w:rsidP="009637AC">
      <w:pPr>
        <w:pStyle w:val="EndNoteBibliography"/>
        <w:ind w:left="720" w:hanging="720"/>
        <w:rPr>
          <w:noProof/>
        </w:rPr>
      </w:pPr>
      <w:r w:rsidRPr="009637AC">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9637AC">
        <w:rPr>
          <w:i/>
          <w:noProof/>
        </w:rPr>
        <w:t>Evolution, 64</w:t>
      </w:r>
      <w:r w:rsidRPr="009637AC">
        <w:rPr>
          <w:noProof/>
        </w:rPr>
        <w:t>(8), 2385-2396. doi:</w:t>
      </w:r>
      <w:hyperlink r:id="rId36" w:history="1">
        <w:r w:rsidRPr="009637AC">
          <w:rPr>
            <w:rStyle w:val="Hyperlink"/>
            <w:noProof/>
          </w:rPr>
          <w:t>https://doi.org/10.1111/j.1558-5646.2010.01025.x</w:t>
        </w:r>
      </w:hyperlink>
    </w:p>
    <w:p w14:paraId="388BA25E" w14:textId="67EAD12F" w:rsidR="009637AC" w:rsidRPr="009637AC" w:rsidRDefault="009637AC" w:rsidP="009637AC">
      <w:pPr>
        <w:pStyle w:val="EndNoteBibliography"/>
        <w:ind w:left="720" w:hanging="720"/>
        <w:rPr>
          <w:noProof/>
        </w:rPr>
      </w:pPr>
      <w:r w:rsidRPr="009637AC">
        <w:rPr>
          <w:noProof/>
        </w:rPr>
        <w:t xml:space="preserve">Hennekam, J. J., Benson, R. B. J., Herridge, V. L., Jeffery, N., Torres-Roig, E., Alcover, J. A., &amp; Cox, P. G. (2020). Morphological divergence in giant fossil dormice. </w:t>
      </w:r>
      <w:r w:rsidRPr="009637AC">
        <w:rPr>
          <w:i/>
          <w:noProof/>
        </w:rPr>
        <w:t>Proceedings of the Royal Society B: Biological Sciences, 287</w:t>
      </w:r>
      <w:r w:rsidRPr="009637AC">
        <w:rPr>
          <w:noProof/>
        </w:rPr>
        <w:t>(1938), 20202085. doi:</w:t>
      </w:r>
      <w:hyperlink r:id="rId37" w:history="1">
        <w:r w:rsidRPr="009637AC">
          <w:rPr>
            <w:rStyle w:val="Hyperlink"/>
            <w:noProof/>
          </w:rPr>
          <w:t>https://doi.org/10.1098/rspb.2020.2085</w:t>
        </w:r>
      </w:hyperlink>
    </w:p>
    <w:p w14:paraId="3D28D3ED" w14:textId="6FD2807F" w:rsidR="009637AC" w:rsidRPr="009637AC" w:rsidRDefault="009637AC" w:rsidP="009637AC">
      <w:pPr>
        <w:pStyle w:val="EndNoteBibliography"/>
        <w:ind w:left="720" w:hanging="720"/>
        <w:rPr>
          <w:noProof/>
        </w:rPr>
      </w:pPr>
      <w:r w:rsidRPr="009637AC">
        <w:rPr>
          <w:noProof/>
        </w:rPr>
        <w:t xml:space="preserve">Hetherington, A. J., Sherratt, E., Ruta, M., Wilkinson, M., Deline, B., &amp; Donoghue, P. C. J. (2015). Do cladistic and morphometric data capture common patterns of morphological disparity? </w:t>
      </w:r>
      <w:r w:rsidRPr="009637AC">
        <w:rPr>
          <w:i/>
          <w:noProof/>
        </w:rPr>
        <w:t>Palaeontology, 58</w:t>
      </w:r>
      <w:r w:rsidRPr="009637AC">
        <w:rPr>
          <w:noProof/>
        </w:rPr>
        <w:t>(3), 393-399. doi:</w:t>
      </w:r>
      <w:hyperlink r:id="rId38" w:history="1">
        <w:r w:rsidRPr="009637AC">
          <w:rPr>
            <w:rStyle w:val="Hyperlink"/>
            <w:noProof/>
          </w:rPr>
          <w:t>https://doi.org/10.1111/pala.12159</w:t>
        </w:r>
      </w:hyperlink>
    </w:p>
    <w:p w14:paraId="02F9004A" w14:textId="279BAB72" w:rsidR="009637AC" w:rsidRPr="009637AC" w:rsidRDefault="009637AC" w:rsidP="009637AC">
      <w:pPr>
        <w:pStyle w:val="EndNoteBibliography"/>
        <w:ind w:left="720" w:hanging="720"/>
        <w:rPr>
          <w:noProof/>
        </w:rPr>
      </w:pPr>
      <w:r w:rsidRPr="009637AC">
        <w:rPr>
          <w:noProof/>
        </w:rPr>
        <w:t xml:space="preserve">Kembel, S. W., Cowan, P. D., Helmus, M. R., Cornwell, W. K., Morlon, H., Ackerly, D. D., Blomberg, S. P., &amp; Webb, C. O. (2010). </w:t>
      </w:r>
      <w:r w:rsidRPr="009637AC">
        <w:rPr>
          <w:i/>
          <w:noProof/>
        </w:rPr>
        <w:t>Picante</w:t>
      </w:r>
      <w:r w:rsidRPr="009637AC">
        <w:rPr>
          <w:noProof/>
        </w:rPr>
        <w:t xml:space="preserve">: R tools for integrating phylogenies and ecology. </w:t>
      </w:r>
      <w:r w:rsidRPr="009637AC">
        <w:rPr>
          <w:i/>
          <w:noProof/>
        </w:rPr>
        <w:t>Bioinformatics, 26</w:t>
      </w:r>
      <w:r w:rsidRPr="009637AC">
        <w:rPr>
          <w:noProof/>
        </w:rPr>
        <w:t>(11), 1463-1464. doi:</w:t>
      </w:r>
      <w:hyperlink r:id="rId39" w:history="1">
        <w:r w:rsidRPr="009637AC">
          <w:rPr>
            <w:rStyle w:val="Hyperlink"/>
            <w:noProof/>
          </w:rPr>
          <w:t>https://doi.org/10.1093/bioinformatics/btq166</w:t>
        </w:r>
      </w:hyperlink>
    </w:p>
    <w:p w14:paraId="28D09BFD" w14:textId="4CBB043E" w:rsidR="009637AC" w:rsidRPr="009637AC" w:rsidRDefault="009637AC" w:rsidP="009637AC">
      <w:pPr>
        <w:pStyle w:val="EndNoteBibliography"/>
        <w:ind w:left="720" w:hanging="720"/>
        <w:rPr>
          <w:noProof/>
        </w:rPr>
      </w:pPr>
      <w:r w:rsidRPr="009637AC">
        <w:rPr>
          <w:noProof/>
        </w:rPr>
        <w:t xml:space="preserve">Klingenberg, C. P. (2009). Morphometric integration and modularity in configurations of landmarks: tools for evaluating a priori hypotheses. </w:t>
      </w:r>
      <w:r w:rsidRPr="009637AC">
        <w:rPr>
          <w:i/>
          <w:noProof/>
        </w:rPr>
        <w:t>Evolution &amp; Development, 11</w:t>
      </w:r>
      <w:r w:rsidRPr="009637AC">
        <w:rPr>
          <w:noProof/>
        </w:rPr>
        <w:t>(4), 405-421. doi:</w:t>
      </w:r>
      <w:hyperlink r:id="rId40" w:history="1">
        <w:r w:rsidRPr="009637AC">
          <w:rPr>
            <w:rStyle w:val="Hyperlink"/>
            <w:noProof/>
          </w:rPr>
          <w:t>https://doi.org/10.1111/j.1525-142X.2009.00347.x</w:t>
        </w:r>
      </w:hyperlink>
    </w:p>
    <w:p w14:paraId="36B9AD30" w14:textId="234515EC" w:rsidR="009637AC" w:rsidRPr="009637AC" w:rsidRDefault="009637AC" w:rsidP="009637AC">
      <w:pPr>
        <w:pStyle w:val="EndNoteBibliography"/>
        <w:ind w:left="720" w:hanging="720"/>
        <w:rPr>
          <w:noProof/>
        </w:rPr>
      </w:pPr>
      <w:r w:rsidRPr="009637AC">
        <w:rPr>
          <w:noProof/>
        </w:rPr>
        <w:t xml:space="preserve">Klingenberg, C. P., &amp; Marugán-Lobón, J. (2013). Evolutionary covariation in geometric morphometric data: analyzing integration, modularity, and allometry in a phylogenetic context. </w:t>
      </w:r>
      <w:r w:rsidRPr="009637AC">
        <w:rPr>
          <w:i/>
          <w:noProof/>
        </w:rPr>
        <w:t>Systematic Biology, 62</w:t>
      </w:r>
      <w:r w:rsidRPr="009637AC">
        <w:rPr>
          <w:noProof/>
        </w:rPr>
        <w:t>(4), 591-610. doi:</w:t>
      </w:r>
      <w:hyperlink r:id="rId41" w:history="1">
        <w:r w:rsidRPr="009637AC">
          <w:rPr>
            <w:rStyle w:val="Hyperlink"/>
            <w:noProof/>
          </w:rPr>
          <w:t>https://doi.org/10.1093/sysbio/syt025</w:t>
        </w:r>
      </w:hyperlink>
    </w:p>
    <w:p w14:paraId="08FF3AED" w14:textId="720C1039" w:rsidR="009637AC" w:rsidRPr="009637AC" w:rsidRDefault="009637AC" w:rsidP="009637AC">
      <w:pPr>
        <w:pStyle w:val="EndNoteBibliography"/>
        <w:ind w:left="720" w:hanging="720"/>
        <w:rPr>
          <w:noProof/>
        </w:rPr>
      </w:pPr>
      <w:r w:rsidRPr="009637AC">
        <w:rPr>
          <w:noProof/>
        </w:rPr>
        <w:t xml:space="preserve">Kraatz, B., &amp; Sherratt, E. (2016). Evolutionary morphology of the rabbit skull. </w:t>
      </w:r>
      <w:r w:rsidRPr="009637AC">
        <w:rPr>
          <w:i/>
          <w:noProof/>
        </w:rPr>
        <w:t>PeerJ, 4</w:t>
      </w:r>
      <w:r w:rsidRPr="009637AC">
        <w:rPr>
          <w:noProof/>
        </w:rPr>
        <w:t>, e2453. doi:</w:t>
      </w:r>
      <w:hyperlink r:id="rId42" w:history="1">
        <w:r w:rsidRPr="009637AC">
          <w:rPr>
            <w:rStyle w:val="Hyperlink"/>
            <w:noProof/>
          </w:rPr>
          <w:t>https://doi.org/10.7717/peerj.2453</w:t>
        </w:r>
      </w:hyperlink>
    </w:p>
    <w:p w14:paraId="1CBAAADA" w14:textId="77777777" w:rsidR="009637AC" w:rsidRPr="009637AC" w:rsidRDefault="009637AC" w:rsidP="009637AC">
      <w:pPr>
        <w:pStyle w:val="EndNoteBibliography"/>
        <w:ind w:left="720" w:hanging="720"/>
        <w:rPr>
          <w:noProof/>
        </w:rPr>
      </w:pPr>
      <w:r w:rsidRPr="009637AC">
        <w:rPr>
          <w:noProof/>
        </w:rPr>
        <w:t xml:space="preserve">Legendre, P., &amp; Legendre, L. (2012). </w:t>
      </w:r>
      <w:r w:rsidRPr="009637AC">
        <w:rPr>
          <w:i/>
          <w:noProof/>
        </w:rPr>
        <w:t>Numerical ecology</w:t>
      </w:r>
      <w:r w:rsidRPr="009637AC">
        <w:rPr>
          <w:noProof/>
        </w:rPr>
        <w:t xml:space="preserve"> (3rd English Edition ed.): Elsevier.</w:t>
      </w:r>
    </w:p>
    <w:p w14:paraId="6B81AE53" w14:textId="0EAB7CB2" w:rsidR="009637AC" w:rsidRPr="009637AC" w:rsidRDefault="009637AC" w:rsidP="009637AC">
      <w:pPr>
        <w:pStyle w:val="EndNoteBibliography"/>
        <w:ind w:left="720" w:hanging="720"/>
        <w:rPr>
          <w:noProof/>
        </w:rPr>
      </w:pPr>
      <w:r w:rsidRPr="009637AC">
        <w:rPr>
          <w:noProof/>
        </w:rPr>
        <w:t xml:space="preserve">Lessa, E. P., &amp; Patton, J. L. (1989). Structural constraints, recurrent shapes, and allometry in pocket gophers (genus Thomomys). </w:t>
      </w:r>
      <w:r w:rsidRPr="009637AC">
        <w:rPr>
          <w:i/>
          <w:noProof/>
        </w:rPr>
        <w:t>Biological Journal of the Linnean Society, 36</w:t>
      </w:r>
      <w:r w:rsidRPr="009637AC">
        <w:rPr>
          <w:noProof/>
        </w:rPr>
        <w:t>(4), 349-363. doi:</w:t>
      </w:r>
      <w:hyperlink r:id="rId43" w:history="1">
        <w:r w:rsidRPr="009637AC">
          <w:rPr>
            <w:rStyle w:val="Hyperlink"/>
            <w:noProof/>
          </w:rPr>
          <w:t>https://doi.org/10.1111/j.1095-8312.1989.tb00500.x</w:t>
        </w:r>
      </w:hyperlink>
    </w:p>
    <w:p w14:paraId="13C7CB06" w14:textId="2E1646CF" w:rsidR="009637AC" w:rsidRPr="009637AC" w:rsidRDefault="009637AC" w:rsidP="009637AC">
      <w:pPr>
        <w:pStyle w:val="EndNoteBibliography"/>
        <w:ind w:left="720" w:hanging="720"/>
        <w:rPr>
          <w:noProof/>
        </w:rPr>
      </w:pPr>
      <w:r w:rsidRPr="009637AC">
        <w:rPr>
          <w:noProof/>
        </w:rPr>
        <w:t xml:space="preserve">Marcy, A. E., Fruciano, C., Phillips, M. J., Mardon, K., &amp; Weisbecker, V. (2018). Low resolution scans can provide a sufficiently accurate, cost- and time-effective alternative to high resolution scans for 3D shape analyses. </w:t>
      </w:r>
      <w:r w:rsidRPr="009637AC">
        <w:rPr>
          <w:i/>
          <w:noProof/>
        </w:rPr>
        <w:t>PeerJ, 6</w:t>
      </w:r>
      <w:r w:rsidRPr="009637AC">
        <w:rPr>
          <w:noProof/>
        </w:rPr>
        <w:t>, e5032. doi:</w:t>
      </w:r>
      <w:hyperlink r:id="rId44" w:history="1">
        <w:r w:rsidRPr="009637AC">
          <w:rPr>
            <w:rStyle w:val="Hyperlink"/>
            <w:noProof/>
          </w:rPr>
          <w:t>https://doi.org/10.7717/peerj.5032</w:t>
        </w:r>
      </w:hyperlink>
    </w:p>
    <w:p w14:paraId="394FEC37" w14:textId="57352E93" w:rsidR="009637AC" w:rsidRPr="009637AC" w:rsidRDefault="009637AC" w:rsidP="009637AC">
      <w:pPr>
        <w:pStyle w:val="EndNoteBibliography"/>
        <w:ind w:left="720" w:hanging="720"/>
        <w:rPr>
          <w:noProof/>
        </w:rPr>
      </w:pPr>
      <w:r w:rsidRPr="009637AC">
        <w:rPr>
          <w:noProof/>
        </w:rPr>
        <w:t xml:space="preserve">Marcy, A. E., Guillerme, T., Sherratt, E., Rowe, K. C., Phillips, M. J., &amp; Weisbecker, V. (2020). Australian rodents reveal conserved cranial evolutionary allometry across 10 million years of Murid evolution. </w:t>
      </w:r>
      <w:r w:rsidRPr="009637AC">
        <w:rPr>
          <w:i/>
          <w:noProof/>
        </w:rPr>
        <w:t>The American Naturalist, 196</w:t>
      </w:r>
      <w:r w:rsidRPr="009637AC">
        <w:rPr>
          <w:noProof/>
        </w:rPr>
        <w:t>(6), 755-768. doi:</w:t>
      </w:r>
      <w:hyperlink r:id="rId45" w:history="1">
        <w:r w:rsidRPr="009637AC">
          <w:rPr>
            <w:rStyle w:val="Hyperlink"/>
            <w:noProof/>
          </w:rPr>
          <w:t>https://doi.org/10.1086/711398</w:t>
        </w:r>
      </w:hyperlink>
    </w:p>
    <w:p w14:paraId="4E6D5437" w14:textId="0829C30D" w:rsidR="009637AC" w:rsidRPr="009637AC" w:rsidRDefault="009637AC" w:rsidP="009637AC">
      <w:pPr>
        <w:pStyle w:val="EndNoteBibliography"/>
        <w:ind w:left="720" w:hanging="720"/>
        <w:rPr>
          <w:noProof/>
        </w:rPr>
      </w:pPr>
      <w:r w:rsidRPr="009637AC">
        <w:rPr>
          <w:noProof/>
        </w:rPr>
        <w:t>Marcy, A. E., Hadly, E. A., Sherratt, E., Garland, K., &amp; Weisbecker, V. (2016). Getting a head in hard soils: Convergent skull evolution and divergent allometric patterns explain shape variation in a highly diverse genus of pocket gophers (</w:t>
      </w:r>
      <w:r w:rsidRPr="009637AC">
        <w:rPr>
          <w:i/>
          <w:noProof/>
        </w:rPr>
        <w:t>Thomomys</w:t>
      </w:r>
      <w:r w:rsidRPr="009637AC">
        <w:rPr>
          <w:noProof/>
        </w:rPr>
        <w:t xml:space="preserve">). </w:t>
      </w:r>
      <w:r w:rsidRPr="009637AC">
        <w:rPr>
          <w:i/>
          <w:noProof/>
        </w:rPr>
        <w:t>BMC Evolutionary Biology, 16</w:t>
      </w:r>
      <w:r w:rsidRPr="009637AC">
        <w:rPr>
          <w:noProof/>
        </w:rPr>
        <w:t>(1), 207. doi:</w:t>
      </w:r>
      <w:hyperlink r:id="rId46" w:history="1">
        <w:r w:rsidRPr="009637AC">
          <w:rPr>
            <w:rStyle w:val="Hyperlink"/>
            <w:noProof/>
          </w:rPr>
          <w:t>https://doi.org/10.1186/s12862-016-0782-1</w:t>
        </w:r>
      </w:hyperlink>
    </w:p>
    <w:p w14:paraId="0A6F4D0D" w14:textId="17197059" w:rsidR="009637AC" w:rsidRPr="009637AC" w:rsidRDefault="009637AC" w:rsidP="009637AC">
      <w:pPr>
        <w:pStyle w:val="EndNoteBibliography"/>
        <w:ind w:left="720" w:hanging="720"/>
        <w:rPr>
          <w:noProof/>
        </w:rPr>
      </w:pPr>
      <w:r w:rsidRPr="009637AC">
        <w:rPr>
          <w:noProof/>
        </w:rPr>
        <w:t xml:space="preserve">Marroig, G., &amp; Cheverud, J. M. (2005). Size as a line of least evolutionary resistance: diet and adaptive morphological radiation in new world monkeys. </w:t>
      </w:r>
      <w:r w:rsidRPr="009637AC">
        <w:rPr>
          <w:i/>
          <w:noProof/>
        </w:rPr>
        <w:t>Evolution, 59</w:t>
      </w:r>
      <w:r w:rsidRPr="009637AC">
        <w:rPr>
          <w:noProof/>
        </w:rPr>
        <w:t>(5), 1128-1142. doi:</w:t>
      </w:r>
      <w:hyperlink r:id="rId47" w:history="1">
        <w:r w:rsidRPr="009637AC">
          <w:rPr>
            <w:rStyle w:val="Hyperlink"/>
            <w:noProof/>
          </w:rPr>
          <w:t>https://doi.org/10.1111/j.0014-3820.2005.tb01049.x</w:t>
        </w:r>
      </w:hyperlink>
    </w:p>
    <w:p w14:paraId="6D857D82" w14:textId="07836C26" w:rsidR="009637AC" w:rsidRPr="009637AC" w:rsidRDefault="009637AC" w:rsidP="009637AC">
      <w:pPr>
        <w:pStyle w:val="EndNoteBibliography"/>
        <w:ind w:left="720" w:hanging="720"/>
        <w:rPr>
          <w:noProof/>
        </w:rPr>
      </w:pPr>
      <w:r w:rsidRPr="009637AC">
        <w:rPr>
          <w:noProof/>
        </w:rPr>
        <w:lastRenderedPageBreak/>
        <w:t xml:space="preserve">Mitchell, D. R. (2019). The anatomy of a crushing bite: The specialised cranial mechanics of a giant extinct kangaroo. </w:t>
      </w:r>
      <w:r w:rsidRPr="009637AC">
        <w:rPr>
          <w:i/>
          <w:noProof/>
        </w:rPr>
        <w:t>PLOS ONE, 14</w:t>
      </w:r>
      <w:r w:rsidRPr="009637AC">
        <w:rPr>
          <w:noProof/>
        </w:rPr>
        <w:t>(9), e0221287. doi:</w:t>
      </w:r>
      <w:hyperlink r:id="rId48" w:history="1">
        <w:r w:rsidRPr="009637AC">
          <w:rPr>
            <w:rStyle w:val="Hyperlink"/>
            <w:noProof/>
          </w:rPr>
          <w:t>https://doi.org/10.1371/journal.pone.0221287</w:t>
        </w:r>
      </w:hyperlink>
    </w:p>
    <w:p w14:paraId="107C1DCA" w14:textId="3C59B058" w:rsidR="009637AC" w:rsidRPr="009637AC" w:rsidRDefault="009637AC" w:rsidP="009637AC">
      <w:pPr>
        <w:pStyle w:val="EndNoteBibliography"/>
        <w:ind w:left="720" w:hanging="720"/>
        <w:rPr>
          <w:noProof/>
        </w:rPr>
      </w:pPr>
      <w:r w:rsidRPr="009637AC">
        <w:rPr>
          <w:noProof/>
        </w:rPr>
        <w:t xml:space="preserve">Mitchell, D. R., Sherratt, E., Ledogar, J. A., &amp; Wroe, S. (2018). The biomechanics of foraging determines face length among kangaroos and their relatives. </w:t>
      </w:r>
      <w:r w:rsidRPr="009637AC">
        <w:rPr>
          <w:i/>
          <w:noProof/>
        </w:rPr>
        <w:t>Proceedings of the Royal Society B: Biological Sciences, 285</w:t>
      </w:r>
      <w:r w:rsidRPr="009637AC">
        <w:rPr>
          <w:noProof/>
        </w:rPr>
        <w:t>(1881), 20180845. doi:</w:t>
      </w:r>
      <w:hyperlink r:id="rId49" w:history="1">
        <w:r w:rsidRPr="009637AC">
          <w:rPr>
            <w:rStyle w:val="Hyperlink"/>
            <w:noProof/>
          </w:rPr>
          <w:t>https://doi.org/10.1098/rspb.2018.0845</w:t>
        </w:r>
      </w:hyperlink>
    </w:p>
    <w:p w14:paraId="1277D504" w14:textId="77777777" w:rsidR="009637AC" w:rsidRPr="009637AC" w:rsidRDefault="009637AC" w:rsidP="009637AC">
      <w:pPr>
        <w:pStyle w:val="EndNoteBibliography"/>
        <w:ind w:left="720" w:hanging="720"/>
        <w:rPr>
          <w:noProof/>
        </w:rPr>
      </w:pPr>
      <w:r w:rsidRPr="009637AC">
        <w:rPr>
          <w:noProof/>
        </w:rPr>
        <w:t xml:space="preserve">Mitchell, D. R., Sherratt, E., &amp; Weisbecker, V. (2024). Facing the facts: Adaptive trade-offs along body size ranges determine mammalian craniofacial scaling </w:t>
      </w:r>
      <w:r w:rsidRPr="009637AC">
        <w:rPr>
          <w:i/>
          <w:noProof/>
        </w:rPr>
        <w:t>Biological Reviews, 99</w:t>
      </w:r>
      <w:r w:rsidRPr="009637AC">
        <w:rPr>
          <w:noProof/>
        </w:rPr>
        <w:t>(2), 496-524. doi:10.1111/brv.13032</w:t>
      </w:r>
    </w:p>
    <w:p w14:paraId="4E6A5530" w14:textId="52B82DD2" w:rsidR="009637AC" w:rsidRPr="009637AC" w:rsidRDefault="009637AC" w:rsidP="009637AC">
      <w:pPr>
        <w:pStyle w:val="EndNoteBibliography"/>
        <w:ind w:left="720" w:hanging="720"/>
        <w:rPr>
          <w:noProof/>
        </w:rPr>
      </w:pPr>
      <w:r w:rsidRPr="009637AC">
        <w:rPr>
          <w:noProof/>
        </w:rPr>
        <w:t xml:space="preserve">Murray, B. R., Dickman, C. R., Watts, C. H. S., &amp; Morton, S. R. (1999). The dietary ecology of Australian rodents. </w:t>
      </w:r>
      <w:r w:rsidRPr="009637AC">
        <w:rPr>
          <w:i/>
          <w:noProof/>
        </w:rPr>
        <w:t>Wildlife Research, 26</w:t>
      </w:r>
      <w:r w:rsidRPr="009637AC">
        <w:rPr>
          <w:noProof/>
        </w:rPr>
        <w:t>(6), 857-858. doi:</w:t>
      </w:r>
      <w:hyperlink r:id="rId50" w:history="1">
        <w:r w:rsidRPr="009637AC">
          <w:rPr>
            <w:rStyle w:val="Hyperlink"/>
            <w:noProof/>
          </w:rPr>
          <w:t>https://doi.org/10.1071/WR97046_CO</w:t>
        </w:r>
      </w:hyperlink>
    </w:p>
    <w:p w14:paraId="7DE18A60" w14:textId="122B182C" w:rsidR="009637AC" w:rsidRPr="009637AC" w:rsidRDefault="009637AC" w:rsidP="009637AC">
      <w:pPr>
        <w:pStyle w:val="EndNoteBibliography"/>
        <w:ind w:left="720" w:hanging="720"/>
        <w:rPr>
          <w:noProof/>
        </w:rPr>
      </w:pPr>
      <w:r w:rsidRPr="009637AC">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9637AC">
        <w:rPr>
          <w:i/>
          <w:noProof/>
        </w:rPr>
        <w:t xml:space="preserve">R package version 2.6-4 </w:t>
      </w:r>
      <w:hyperlink r:id="rId51" w:history="1">
        <w:r w:rsidRPr="009637AC">
          <w:rPr>
            <w:rStyle w:val="Hyperlink"/>
            <w:i/>
            <w:noProof/>
          </w:rPr>
          <w:t>https://CRAN.R-project.org/package=vegan</w:t>
        </w:r>
      </w:hyperlink>
      <w:r w:rsidRPr="009637AC">
        <w:rPr>
          <w:noProof/>
        </w:rPr>
        <w:t xml:space="preserve">. </w:t>
      </w:r>
    </w:p>
    <w:p w14:paraId="55444FA6" w14:textId="205E79E7" w:rsidR="009637AC" w:rsidRPr="009637AC" w:rsidRDefault="009637AC" w:rsidP="009637AC">
      <w:pPr>
        <w:pStyle w:val="EndNoteBibliography"/>
        <w:ind w:left="720" w:hanging="720"/>
        <w:rPr>
          <w:noProof/>
        </w:rPr>
      </w:pPr>
      <w:r w:rsidRPr="009637AC">
        <w:rPr>
          <w:noProof/>
        </w:rPr>
        <w:t xml:space="preserve">R Core Team. (2023). R: A Language and Environment for Statistical Computing_. . </w:t>
      </w:r>
      <w:r w:rsidRPr="009637AC">
        <w:rPr>
          <w:i/>
          <w:noProof/>
        </w:rPr>
        <w:t xml:space="preserve">R Foundation for Statistical Computing, Vienna, Austria. </w:t>
      </w:r>
      <w:hyperlink r:id="rId52" w:history="1">
        <w:r w:rsidRPr="009637AC">
          <w:rPr>
            <w:rStyle w:val="Hyperlink"/>
            <w:i/>
            <w:noProof/>
          </w:rPr>
          <w:t>https://www.R-project.org/</w:t>
        </w:r>
      </w:hyperlink>
      <w:r w:rsidRPr="009637AC">
        <w:rPr>
          <w:noProof/>
        </w:rPr>
        <w:t xml:space="preserve">. </w:t>
      </w:r>
    </w:p>
    <w:p w14:paraId="3AB5C6A0" w14:textId="273A1363" w:rsidR="009637AC" w:rsidRPr="009637AC" w:rsidRDefault="009637AC" w:rsidP="009637AC">
      <w:pPr>
        <w:pStyle w:val="EndNoteBibliography"/>
        <w:ind w:left="720" w:hanging="720"/>
        <w:rPr>
          <w:noProof/>
        </w:rPr>
      </w:pPr>
      <w:r w:rsidRPr="009637AC">
        <w:rPr>
          <w:noProof/>
        </w:rPr>
        <w:t xml:space="preserve">Samuels, J. X. (2009). Cranial morphology and dietary habits of rodents. </w:t>
      </w:r>
      <w:r w:rsidRPr="009637AC">
        <w:rPr>
          <w:i/>
          <w:noProof/>
        </w:rPr>
        <w:t>Zoological Journal of the Linnean Society, 156</w:t>
      </w:r>
      <w:r w:rsidRPr="009637AC">
        <w:rPr>
          <w:noProof/>
        </w:rPr>
        <w:t>(4), 864-888. doi:</w:t>
      </w:r>
      <w:hyperlink r:id="rId53" w:history="1">
        <w:r w:rsidRPr="009637AC">
          <w:rPr>
            <w:rStyle w:val="Hyperlink"/>
            <w:noProof/>
          </w:rPr>
          <w:t>https://doi.org/10.1111/j.1096-3642.2009.00502.x</w:t>
        </w:r>
      </w:hyperlink>
    </w:p>
    <w:p w14:paraId="53D0EF48" w14:textId="0373462F" w:rsidR="009637AC" w:rsidRPr="009637AC" w:rsidRDefault="009637AC" w:rsidP="009637AC">
      <w:pPr>
        <w:pStyle w:val="EndNoteBibliography"/>
        <w:ind w:left="720" w:hanging="720"/>
        <w:rPr>
          <w:noProof/>
        </w:rPr>
      </w:pPr>
      <w:r w:rsidRPr="009637AC">
        <w:rPr>
          <w:noProof/>
        </w:rPr>
        <w:t xml:space="preserve">Sansalone, G., Colangelo, P., Loy, A., Raia, P., Wroe, S., &amp; Piras, P. (2019). Impact of transition to a subterranean lifestyle on morphological disparity and integration in talpid moles (Mammalia, Talpidae). </w:t>
      </w:r>
      <w:r w:rsidRPr="009637AC">
        <w:rPr>
          <w:i/>
          <w:noProof/>
        </w:rPr>
        <w:t>BMC Evolutionary Biology, 19</w:t>
      </w:r>
      <w:r w:rsidRPr="009637AC">
        <w:rPr>
          <w:noProof/>
        </w:rPr>
        <w:t>(1), 179. doi:</w:t>
      </w:r>
      <w:hyperlink r:id="rId54" w:history="1">
        <w:r w:rsidRPr="009637AC">
          <w:rPr>
            <w:rStyle w:val="Hyperlink"/>
            <w:noProof/>
          </w:rPr>
          <w:t>https://doi.org/10.1186/s12862-019-1506-0</w:t>
        </w:r>
      </w:hyperlink>
    </w:p>
    <w:p w14:paraId="349F7147" w14:textId="01AD3695" w:rsidR="009637AC" w:rsidRPr="009637AC" w:rsidRDefault="009637AC" w:rsidP="009637AC">
      <w:pPr>
        <w:pStyle w:val="EndNoteBibliography"/>
        <w:ind w:left="720" w:hanging="720"/>
        <w:rPr>
          <w:noProof/>
        </w:rPr>
      </w:pPr>
      <w:r w:rsidRPr="009637AC">
        <w:rPr>
          <w:noProof/>
        </w:rPr>
        <w:t xml:space="preserve">Satoh, K., &amp; Iwaku, F. (2006). Jaw muscle functional anatomy in northern grasshopper mouse, Onychomys leucogaster, a carnivorous murid. </w:t>
      </w:r>
      <w:r w:rsidRPr="009637AC">
        <w:rPr>
          <w:i/>
          <w:noProof/>
        </w:rPr>
        <w:t>Journal of Morphology, 267</w:t>
      </w:r>
      <w:r w:rsidRPr="009637AC">
        <w:rPr>
          <w:noProof/>
        </w:rPr>
        <w:t>(8), 987-999. doi:</w:t>
      </w:r>
      <w:hyperlink r:id="rId55" w:history="1">
        <w:r w:rsidRPr="009637AC">
          <w:rPr>
            <w:rStyle w:val="Hyperlink"/>
            <w:noProof/>
          </w:rPr>
          <w:t>https://doi.org/10.1002/jmor.10443</w:t>
        </w:r>
      </w:hyperlink>
    </w:p>
    <w:p w14:paraId="132AE2F7" w14:textId="69AA0504" w:rsidR="009637AC" w:rsidRPr="009637AC" w:rsidRDefault="009637AC" w:rsidP="009637AC">
      <w:pPr>
        <w:pStyle w:val="EndNoteBibliography"/>
        <w:ind w:left="720" w:hanging="720"/>
        <w:rPr>
          <w:noProof/>
        </w:rPr>
      </w:pPr>
      <w:r w:rsidRPr="009637AC">
        <w:rPr>
          <w:noProof/>
        </w:rPr>
        <w:t xml:space="preserve">Schlis-Elias, M. C., &amp; Malaney, J. L. (2022). Island biogeography predicts skull gigantism and shape variation in meadow voles Microtus pennsylvanicus through ecological release and allometry. </w:t>
      </w:r>
      <w:r w:rsidRPr="009637AC">
        <w:rPr>
          <w:i/>
          <w:noProof/>
        </w:rPr>
        <w:t>Oikos, 2022</w:t>
      </w:r>
      <w:r w:rsidRPr="009637AC">
        <w:rPr>
          <w:noProof/>
        </w:rPr>
        <w:t>(4), e08777. doi:</w:t>
      </w:r>
      <w:hyperlink r:id="rId56" w:history="1">
        <w:r w:rsidRPr="009637AC">
          <w:rPr>
            <w:rStyle w:val="Hyperlink"/>
            <w:noProof/>
          </w:rPr>
          <w:t>https://doi.org/10.1111/oik.08777</w:t>
        </w:r>
      </w:hyperlink>
    </w:p>
    <w:p w14:paraId="7ED341E5" w14:textId="77777777" w:rsidR="009637AC" w:rsidRPr="009637AC" w:rsidRDefault="009637AC" w:rsidP="009637AC">
      <w:pPr>
        <w:pStyle w:val="EndNoteBibliography"/>
        <w:ind w:left="720" w:hanging="720"/>
        <w:rPr>
          <w:noProof/>
        </w:rPr>
      </w:pPr>
      <w:r w:rsidRPr="009637AC">
        <w:rPr>
          <w:noProof/>
        </w:rPr>
        <w:t xml:space="preserve">Segura, V., Flores, D., &amp; Deferrari, G. (2023). Comparison of skull growth in two ecosystem modifiers: beavers Castor canadensis (Rodentia: Castoridae) and muskrats Ondatra zibethicus (Rodentia: Cricetidae). </w:t>
      </w:r>
      <w:r w:rsidRPr="009637AC">
        <w:rPr>
          <w:i/>
          <w:noProof/>
        </w:rPr>
        <w:t>Zoologischer Anzeiger, 304</w:t>
      </w:r>
      <w:r w:rsidRPr="009637AC">
        <w:rPr>
          <w:noProof/>
        </w:rPr>
        <w:t xml:space="preserve">, 61-72. </w:t>
      </w:r>
    </w:p>
    <w:p w14:paraId="3CB1BCE8" w14:textId="77777777" w:rsidR="009637AC" w:rsidRPr="009637AC" w:rsidRDefault="009637AC" w:rsidP="009637AC">
      <w:pPr>
        <w:pStyle w:val="EndNoteBibliography"/>
        <w:ind w:left="720" w:hanging="720"/>
        <w:rPr>
          <w:noProof/>
        </w:rPr>
      </w:pPr>
      <w:r w:rsidRPr="009637AC">
        <w:rPr>
          <w:noProof/>
        </w:rPr>
        <w:t xml:space="preserve">Singleton, M. (2005). Functional shape variation in the Cercopithecine masticatory complex. In D. E. Slice (Ed.), </w:t>
      </w:r>
      <w:r w:rsidRPr="009637AC">
        <w:rPr>
          <w:i/>
          <w:noProof/>
        </w:rPr>
        <w:t>Modern Morphometrics in Physical Anthropology</w:t>
      </w:r>
      <w:r w:rsidRPr="009637AC">
        <w:rPr>
          <w:noProof/>
        </w:rPr>
        <w:t xml:space="preserve"> (pp. 319-348). Boston, MA: Springer US.</w:t>
      </w:r>
    </w:p>
    <w:p w14:paraId="5A635720" w14:textId="2DBF27FC" w:rsidR="009637AC" w:rsidRPr="009637AC" w:rsidRDefault="009637AC" w:rsidP="009637AC">
      <w:pPr>
        <w:pStyle w:val="EndNoteBibliography"/>
        <w:ind w:left="720" w:hanging="720"/>
        <w:rPr>
          <w:noProof/>
        </w:rPr>
      </w:pPr>
      <w:r w:rsidRPr="009637AC">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w:t>
      </w:r>
      <w:r w:rsidRPr="009637AC">
        <w:rPr>
          <w:noProof/>
        </w:rPr>
        <w:lastRenderedPageBreak/>
        <w:t xml:space="preserve">brain size. </w:t>
      </w:r>
      <w:r w:rsidRPr="009637AC">
        <w:rPr>
          <w:i/>
          <w:noProof/>
        </w:rPr>
        <w:t>Science Advances, 7</w:t>
      </w:r>
      <w:r w:rsidRPr="009637AC">
        <w:rPr>
          <w:noProof/>
        </w:rPr>
        <w:t>(18), eabe2101. doi:</w:t>
      </w:r>
      <w:hyperlink r:id="rId57" w:history="1">
        <w:r w:rsidRPr="009637AC">
          <w:rPr>
            <w:rStyle w:val="Hyperlink"/>
            <w:noProof/>
          </w:rPr>
          <w:t>https://doi.org/10.1126/sciadv.abe2101</w:t>
        </w:r>
      </w:hyperlink>
    </w:p>
    <w:p w14:paraId="61DD88CA" w14:textId="7D09E012" w:rsidR="009637AC" w:rsidRPr="009637AC" w:rsidRDefault="009637AC" w:rsidP="009637AC">
      <w:pPr>
        <w:pStyle w:val="EndNoteBibliography"/>
        <w:ind w:left="720" w:hanging="720"/>
        <w:rPr>
          <w:noProof/>
        </w:rPr>
      </w:pPr>
      <w:r w:rsidRPr="003E13B3">
        <w:rPr>
          <w:noProof/>
          <w:lang w:val="de-DE"/>
        </w:rPr>
        <w:t xml:space="preserve">Smissen, P. J., &amp; Rowe, K. C. (2018). </w:t>
      </w:r>
      <w:r w:rsidRPr="009637AC">
        <w:rPr>
          <w:noProof/>
        </w:rPr>
        <w:t xml:space="preserve">Repeated biome transitions in the evolution of Australian rodents. </w:t>
      </w:r>
      <w:r w:rsidRPr="009637AC">
        <w:rPr>
          <w:i/>
          <w:noProof/>
        </w:rPr>
        <w:t>Molecular Phylogenetics and Evolution, 128</w:t>
      </w:r>
      <w:r w:rsidRPr="009637AC">
        <w:rPr>
          <w:noProof/>
        </w:rPr>
        <w:t>, 182-191. doi:</w:t>
      </w:r>
      <w:hyperlink r:id="rId58" w:history="1">
        <w:r w:rsidRPr="009637AC">
          <w:rPr>
            <w:rStyle w:val="Hyperlink"/>
            <w:noProof/>
          </w:rPr>
          <w:t>https://doi.org/10.1016/j.ympev.2018.07.015</w:t>
        </w:r>
      </w:hyperlink>
    </w:p>
    <w:p w14:paraId="12AC476C" w14:textId="4270A872" w:rsidR="009637AC" w:rsidRPr="009637AC" w:rsidRDefault="009637AC" w:rsidP="009637AC">
      <w:pPr>
        <w:pStyle w:val="EndNoteBibliography"/>
        <w:ind w:left="720" w:hanging="720"/>
        <w:rPr>
          <w:noProof/>
        </w:rPr>
      </w:pPr>
      <w:r w:rsidRPr="009637AC">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9637AC">
        <w:rPr>
          <w:i/>
          <w:noProof/>
        </w:rPr>
        <w:t>Australopithecus africanus</w:t>
      </w:r>
      <w:r w:rsidRPr="009637AC">
        <w:rPr>
          <w:noProof/>
        </w:rPr>
        <w:t xml:space="preserve">. </w:t>
      </w:r>
      <w:r w:rsidRPr="009637AC">
        <w:rPr>
          <w:i/>
          <w:noProof/>
        </w:rPr>
        <w:t>Proceedings of the National Academy of Sciences, 106</w:t>
      </w:r>
      <w:r w:rsidRPr="009637AC">
        <w:rPr>
          <w:noProof/>
        </w:rPr>
        <w:t>(7), 2124-2129. doi:</w:t>
      </w:r>
      <w:hyperlink r:id="rId59" w:history="1">
        <w:r w:rsidRPr="009637AC">
          <w:rPr>
            <w:rStyle w:val="Hyperlink"/>
            <w:noProof/>
          </w:rPr>
          <w:t>https://doi.org/10.1073/pnas.0808730106</w:t>
        </w:r>
      </w:hyperlink>
    </w:p>
    <w:p w14:paraId="536AD5DD" w14:textId="77777777" w:rsidR="009637AC" w:rsidRPr="009637AC" w:rsidRDefault="009637AC" w:rsidP="009637AC">
      <w:pPr>
        <w:pStyle w:val="EndNoteBibliography"/>
        <w:ind w:left="720" w:hanging="720"/>
        <w:rPr>
          <w:noProof/>
        </w:rPr>
      </w:pPr>
      <w:r w:rsidRPr="009637AC">
        <w:rPr>
          <w:noProof/>
        </w:rPr>
        <w:t xml:space="preserve">Van Valkenburgh, B. (1989). Carnivore dental adaptations and diet: A study of trophic diversity within Guilds. In J. L. Gittleman (Ed.), </w:t>
      </w:r>
      <w:r w:rsidRPr="009637AC">
        <w:rPr>
          <w:i/>
          <w:noProof/>
        </w:rPr>
        <w:t>Carnivore Behavior, Ecology, and Evolution</w:t>
      </w:r>
      <w:r w:rsidRPr="009637AC">
        <w:rPr>
          <w:noProof/>
        </w:rPr>
        <w:t xml:space="preserve"> (pp. 410-436). Boston, MA: Springer US.</w:t>
      </w:r>
    </w:p>
    <w:p w14:paraId="4FB7D44E" w14:textId="4D40A8A0" w:rsidR="009637AC" w:rsidRPr="009637AC" w:rsidRDefault="009637AC" w:rsidP="009637AC">
      <w:pPr>
        <w:pStyle w:val="EndNoteBibliography"/>
        <w:ind w:left="720" w:hanging="720"/>
        <w:rPr>
          <w:noProof/>
        </w:rPr>
      </w:pPr>
      <w:r w:rsidRPr="009637AC">
        <w:rPr>
          <w:noProof/>
        </w:rPr>
        <w:t xml:space="preserve">Voje, K. L., Hansen, T. F., Egset, C. K., Bolstad, G. H., &amp; Pélabon, C. (2014). Allometric constraints and the evolution of allometry. </w:t>
      </w:r>
      <w:r w:rsidRPr="009637AC">
        <w:rPr>
          <w:i/>
          <w:noProof/>
        </w:rPr>
        <w:t>Evolution, 68</w:t>
      </w:r>
      <w:r w:rsidRPr="009637AC">
        <w:rPr>
          <w:noProof/>
        </w:rPr>
        <w:t>(3), 866-885. doi:</w:t>
      </w:r>
      <w:hyperlink r:id="rId60" w:history="1">
        <w:r w:rsidRPr="009637AC">
          <w:rPr>
            <w:rStyle w:val="Hyperlink"/>
            <w:noProof/>
          </w:rPr>
          <w:t>https://doi.org/10.1111/evo.12312</w:t>
        </w:r>
      </w:hyperlink>
    </w:p>
    <w:p w14:paraId="39D11CA8" w14:textId="41577E82" w:rsidR="009637AC" w:rsidRPr="009637AC" w:rsidRDefault="009637AC" w:rsidP="009637AC">
      <w:pPr>
        <w:pStyle w:val="EndNoteBibliography"/>
        <w:ind w:left="720" w:hanging="720"/>
        <w:rPr>
          <w:noProof/>
        </w:rPr>
      </w:pPr>
      <w:r w:rsidRPr="009637AC">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9637AC">
        <w:rPr>
          <w:i/>
          <w:noProof/>
        </w:rPr>
        <w:t>Frontiers in Zoology, 16</w:t>
      </w:r>
      <w:r w:rsidRPr="009637AC">
        <w:rPr>
          <w:noProof/>
        </w:rPr>
        <w:t>(1), 41. doi:</w:t>
      </w:r>
      <w:hyperlink r:id="rId61" w:history="1">
        <w:r w:rsidRPr="009637AC">
          <w:rPr>
            <w:rStyle w:val="Hyperlink"/>
            <w:noProof/>
          </w:rPr>
          <w:t>https://doi.org/10.1186/s12983-019-0338-5</w:t>
        </w:r>
      </w:hyperlink>
    </w:p>
    <w:p w14:paraId="18FBAB74" w14:textId="517321F4" w:rsidR="009637AC" w:rsidRPr="009637AC" w:rsidRDefault="009637AC" w:rsidP="009637AC">
      <w:pPr>
        <w:pStyle w:val="EndNoteBibliography"/>
        <w:ind w:left="720" w:hanging="720"/>
        <w:rPr>
          <w:noProof/>
        </w:rPr>
      </w:pPr>
      <w:r w:rsidRPr="009637AC">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9637AC">
        <w:rPr>
          <w:i/>
          <w:noProof/>
        </w:rPr>
        <w:t>Evolution, 75</w:t>
      </w:r>
      <w:r w:rsidRPr="009637AC">
        <w:rPr>
          <w:noProof/>
        </w:rPr>
        <w:t>(3), 625-640. doi:</w:t>
      </w:r>
      <w:hyperlink r:id="rId62" w:history="1">
        <w:r w:rsidRPr="009637AC">
          <w:rPr>
            <w:rStyle w:val="Hyperlink"/>
            <w:noProof/>
          </w:rPr>
          <w:t>https://doi.org/10.1111/evo.14163</w:t>
        </w:r>
      </w:hyperlink>
    </w:p>
    <w:p w14:paraId="540C48C5" w14:textId="71530923" w:rsidR="009637AC" w:rsidRPr="009637AC" w:rsidRDefault="009637AC" w:rsidP="009637AC">
      <w:pPr>
        <w:pStyle w:val="EndNoteBibliography"/>
        <w:ind w:left="720" w:hanging="720"/>
        <w:rPr>
          <w:noProof/>
        </w:rPr>
      </w:pPr>
      <w:r w:rsidRPr="009637AC">
        <w:rPr>
          <w:noProof/>
        </w:rPr>
        <w:t xml:space="preserve">Williams, S. H., Peiffer, E., &amp; Ford, S. (2009). Gape and bite force in the rodents </w:t>
      </w:r>
      <w:r w:rsidRPr="009637AC">
        <w:rPr>
          <w:i/>
          <w:noProof/>
        </w:rPr>
        <w:t>Onychomys leucogaster</w:t>
      </w:r>
      <w:r w:rsidRPr="009637AC">
        <w:rPr>
          <w:noProof/>
        </w:rPr>
        <w:t xml:space="preserve"> and </w:t>
      </w:r>
      <w:r w:rsidRPr="009637AC">
        <w:rPr>
          <w:i/>
          <w:noProof/>
        </w:rPr>
        <w:t>Peromyscus maniculatus</w:t>
      </w:r>
      <w:r w:rsidRPr="009637AC">
        <w:rPr>
          <w:noProof/>
        </w:rPr>
        <w:t xml:space="preserve">: Does jaw-muscle anatomy predict performance? </w:t>
      </w:r>
      <w:r w:rsidRPr="009637AC">
        <w:rPr>
          <w:i/>
          <w:noProof/>
        </w:rPr>
        <w:t>Journal of Morphology, 270</w:t>
      </w:r>
      <w:r w:rsidRPr="009637AC">
        <w:rPr>
          <w:noProof/>
        </w:rPr>
        <w:t>(11), 1338-1347. doi:</w:t>
      </w:r>
      <w:hyperlink r:id="rId63" w:history="1">
        <w:r w:rsidRPr="009637AC">
          <w:rPr>
            <w:rStyle w:val="Hyperlink"/>
            <w:noProof/>
          </w:rPr>
          <w:t>https://doi.org/10.1002/jmor.10761</w:t>
        </w:r>
      </w:hyperlink>
    </w:p>
    <w:p w14:paraId="095EFE5B" w14:textId="639B9E12" w:rsidR="009637AC" w:rsidRPr="009637AC" w:rsidRDefault="009637AC" w:rsidP="009637AC">
      <w:pPr>
        <w:pStyle w:val="EndNoteBibliography"/>
        <w:ind w:left="720" w:hanging="720"/>
        <w:rPr>
          <w:noProof/>
        </w:rPr>
      </w:pPr>
      <w:r w:rsidRPr="009637AC">
        <w:rPr>
          <w:noProof/>
        </w:rPr>
        <w:t xml:space="preserve">Wilson, L. A. B. (2013). Allometric disparity in rodent evolution. </w:t>
      </w:r>
      <w:r w:rsidRPr="009637AC">
        <w:rPr>
          <w:i/>
          <w:noProof/>
        </w:rPr>
        <w:t>Ecology and Evolution, 3</w:t>
      </w:r>
      <w:r w:rsidRPr="009637AC">
        <w:rPr>
          <w:noProof/>
        </w:rPr>
        <w:t>(4), 971-984. doi:</w:t>
      </w:r>
      <w:hyperlink r:id="rId64" w:history="1">
        <w:r w:rsidRPr="009637AC">
          <w:rPr>
            <w:rStyle w:val="Hyperlink"/>
            <w:noProof/>
          </w:rPr>
          <w:t>https://doi.org/10.1002/ece3.521</w:t>
        </w:r>
      </w:hyperlink>
    </w:p>
    <w:p w14:paraId="7BE2454C" w14:textId="77777777" w:rsidR="009637AC" w:rsidRPr="009637AC" w:rsidRDefault="009637AC" w:rsidP="009637AC">
      <w:pPr>
        <w:pStyle w:val="EndNoteBibliography"/>
        <w:ind w:left="720" w:hanging="720"/>
        <w:rPr>
          <w:noProof/>
        </w:rPr>
      </w:pPr>
      <w:r w:rsidRPr="009637AC">
        <w:rPr>
          <w:noProof/>
        </w:rPr>
        <w:t xml:space="preserve">Winkler, D. E., Schulz-Kornas, E., Kaiser, T. M., De Cuyper, A., Clauss, M., &amp; Tütken, T. (2019). Forage silica and water content control dental surface texture in guinea pigs and provide implications for dietary reconstruction. </w:t>
      </w:r>
      <w:r w:rsidRPr="009637AC">
        <w:rPr>
          <w:i/>
          <w:noProof/>
        </w:rPr>
        <w:t>Proceedings of the National Academy of Sciences, 116</w:t>
      </w:r>
      <w:r w:rsidRPr="009637AC">
        <w:rPr>
          <w:noProof/>
        </w:rPr>
        <w:t>(4), 1325-1330. doi:doi:10.1073/pnas.1814081116</w:t>
      </w:r>
    </w:p>
    <w:p w14:paraId="28E1779D" w14:textId="2B09C8F9" w:rsidR="009637AC" w:rsidRPr="009637AC" w:rsidRDefault="009637AC" w:rsidP="009637AC">
      <w:pPr>
        <w:pStyle w:val="EndNoteBibliography"/>
        <w:ind w:left="720" w:hanging="720"/>
        <w:rPr>
          <w:noProof/>
        </w:rPr>
      </w:pPr>
      <w:r w:rsidRPr="009637AC">
        <w:rPr>
          <w:noProof/>
        </w:rPr>
        <w:t xml:space="preserve">Young, N. M., Linde-Medina, M., Fondon, J. W., Hallgrímsson, B., &amp; Marcucio, R. S. (2017). Craniofacial diversification in the domestic pigeon and the evolution of the avian skull. </w:t>
      </w:r>
      <w:r w:rsidRPr="009637AC">
        <w:rPr>
          <w:i/>
          <w:noProof/>
        </w:rPr>
        <w:t>Nature Ecology &amp; Evolution, 1</w:t>
      </w:r>
      <w:r w:rsidRPr="009637AC">
        <w:rPr>
          <w:noProof/>
        </w:rPr>
        <w:t>(4), 0095. doi:</w:t>
      </w:r>
      <w:hyperlink r:id="rId65" w:history="1">
        <w:r w:rsidRPr="009637AC">
          <w:rPr>
            <w:rStyle w:val="Hyperlink"/>
            <w:noProof/>
          </w:rPr>
          <w:t>https://doi.org/10.1038/s41559-017-0095</w:t>
        </w:r>
      </w:hyperlink>
    </w:p>
    <w:p w14:paraId="2F84ABBA" w14:textId="77777777" w:rsidR="009637AC" w:rsidRPr="009637AC" w:rsidRDefault="009637AC" w:rsidP="009637AC">
      <w:pPr>
        <w:pStyle w:val="EndNoteBibliography"/>
        <w:ind w:left="720" w:hanging="720"/>
        <w:rPr>
          <w:noProof/>
        </w:rPr>
      </w:pPr>
      <w:r w:rsidRPr="009637AC">
        <w:rPr>
          <w:noProof/>
        </w:rPr>
        <w:t xml:space="preserve">Zelditch, M. L., &amp; Swiderski, D. L. (2023). The predictable complexity of evolutionary allometry. </w:t>
      </w:r>
      <w:r w:rsidRPr="009637AC">
        <w:rPr>
          <w:i/>
          <w:noProof/>
        </w:rPr>
        <w:t>Evolutionary Biology, 50</w:t>
      </w:r>
      <w:r w:rsidRPr="009637AC">
        <w:rPr>
          <w:noProof/>
        </w:rPr>
        <w:t xml:space="preserve">(1), 56-77. </w:t>
      </w:r>
    </w:p>
    <w:p w14:paraId="30972CFF" w14:textId="6CB67A74"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6"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7"/>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8"/>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F81ADA">
      <w:footerReference w:type="default" r:id="rId69"/>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0393E" w14:textId="77777777" w:rsidR="00F81ADA" w:rsidRDefault="00F81ADA">
      <w:r>
        <w:separator/>
      </w:r>
    </w:p>
  </w:endnote>
  <w:endnote w:type="continuationSeparator" w:id="0">
    <w:p w14:paraId="62555632" w14:textId="77777777" w:rsidR="00F81ADA" w:rsidRDefault="00F81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D95C2" w14:textId="77777777" w:rsidR="00F81ADA" w:rsidRDefault="00F81ADA">
      <w:r>
        <w:separator/>
      </w:r>
    </w:p>
  </w:footnote>
  <w:footnote w:type="continuationSeparator" w:id="0">
    <w:p w14:paraId="4AB4E1F1" w14:textId="77777777" w:rsidR="00F81ADA" w:rsidRDefault="00F81A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record-ids&gt;&lt;/item&gt;&lt;/Libraries&gt;"/>
  </w:docVars>
  <w:rsids>
    <w:rsidRoot w:val="008922AE"/>
    <w:rsid w:val="00002B33"/>
    <w:rsid w:val="000033BE"/>
    <w:rsid w:val="00014915"/>
    <w:rsid w:val="00017363"/>
    <w:rsid w:val="0006003B"/>
    <w:rsid w:val="000640A4"/>
    <w:rsid w:val="000650EE"/>
    <w:rsid w:val="00076B55"/>
    <w:rsid w:val="0008082D"/>
    <w:rsid w:val="00092FE1"/>
    <w:rsid w:val="000B2823"/>
    <w:rsid w:val="000B302A"/>
    <w:rsid w:val="000B6A67"/>
    <w:rsid w:val="000D500A"/>
    <w:rsid w:val="000E15A6"/>
    <w:rsid w:val="000E694B"/>
    <w:rsid w:val="000E7AF4"/>
    <w:rsid w:val="001035B6"/>
    <w:rsid w:val="001040E1"/>
    <w:rsid w:val="00112A41"/>
    <w:rsid w:val="00117A04"/>
    <w:rsid w:val="00122978"/>
    <w:rsid w:val="00127236"/>
    <w:rsid w:val="0013169E"/>
    <w:rsid w:val="0013479C"/>
    <w:rsid w:val="0014692A"/>
    <w:rsid w:val="00155A92"/>
    <w:rsid w:val="00163C9C"/>
    <w:rsid w:val="00174EF9"/>
    <w:rsid w:val="0019349F"/>
    <w:rsid w:val="00196A9E"/>
    <w:rsid w:val="001A1274"/>
    <w:rsid w:val="001A1C0F"/>
    <w:rsid w:val="001B3685"/>
    <w:rsid w:val="001D2733"/>
    <w:rsid w:val="001D4B99"/>
    <w:rsid w:val="001D5FD2"/>
    <w:rsid w:val="001D75A2"/>
    <w:rsid w:val="001D7B39"/>
    <w:rsid w:val="001F08AE"/>
    <w:rsid w:val="00216AC5"/>
    <w:rsid w:val="002173E8"/>
    <w:rsid w:val="002173F8"/>
    <w:rsid w:val="00226921"/>
    <w:rsid w:val="002343E1"/>
    <w:rsid w:val="002453A9"/>
    <w:rsid w:val="00245C5E"/>
    <w:rsid w:val="0025189D"/>
    <w:rsid w:val="00261883"/>
    <w:rsid w:val="00261ED6"/>
    <w:rsid w:val="00263DD3"/>
    <w:rsid w:val="00264F04"/>
    <w:rsid w:val="00272C92"/>
    <w:rsid w:val="00297793"/>
    <w:rsid w:val="002A34C7"/>
    <w:rsid w:val="002B000F"/>
    <w:rsid w:val="002B09D6"/>
    <w:rsid w:val="002C29CB"/>
    <w:rsid w:val="002E42C0"/>
    <w:rsid w:val="002E7775"/>
    <w:rsid w:val="002F2D31"/>
    <w:rsid w:val="00305153"/>
    <w:rsid w:val="00317F8E"/>
    <w:rsid w:val="00323E39"/>
    <w:rsid w:val="00323F8B"/>
    <w:rsid w:val="003266F8"/>
    <w:rsid w:val="003408C3"/>
    <w:rsid w:val="0034292C"/>
    <w:rsid w:val="003455E2"/>
    <w:rsid w:val="003543F6"/>
    <w:rsid w:val="00366596"/>
    <w:rsid w:val="00380507"/>
    <w:rsid w:val="00381040"/>
    <w:rsid w:val="003A188B"/>
    <w:rsid w:val="003A5829"/>
    <w:rsid w:val="003B0500"/>
    <w:rsid w:val="003B404E"/>
    <w:rsid w:val="003B7E1E"/>
    <w:rsid w:val="003C14C3"/>
    <w:rsid w:val="003C7F90"/>
    <w:rsid w:val="003E13B3"/>
    <w:rsid w:val="003E4105"/>
    <w:rsid w:val="004003F9"/>
    <w:rsid w:val="00411130"/>
    <w:rsid w:val="00422522"/>
    <w:rsid w:val="0043398A"/>
    <w:rsid w:val="004550BE"/>
    <w:rsid w:val="00480F1D"/>
    <w:rsid w:val="00481B35"/>
    <w:rsid w:val="00491B6E"/>
    <w:rsid w:val="00492FE4"/>
    <w:rsid w:val="00493544"/>
    <w:rsid w:val="004C3067"/>
    <w:rsid w:val="004C7554"/>
    <w:rsid w:val="004D0A02"/>
    <w:rsid w:val="004D38FD"/>
    <w:rsid w:val="004D6CED"/>
    <w:rsid w:val="004E1AAB"/>
    <w:rsid w:val="004F4B48"/>
    <w:rsid w:val="004F5580"/>
    <w:rsid w:val="00527971"/>
    <w:rsid w:val="0053012A"/>
    <w:rsid w:val="00533639"/>
    <w:rsid w:val="00537CA3"/>
    <w:rsid w:val="00556C57"/>
    <w:rsid w:val="0056323C"/>
    <w:rsid w:val="00564AD8"/>
    <w:rsid w:val="00566919"/>
    <w:rsid w:val="00573D24"/>
    <w:rsid w:val="00581044"/>
    <w:rsid w:val="00582E1F"/>
    <w:rsid w:val="005B181F"/>
    <w:rsid w:val="005B661F"/>
    <w:rsid w:val="005D14AF"/>
    <w:rsid w:val="005D171E"/>
    <w:rsid w:val="005D274C"/>
    <w:rsid w:val="005F5AFC"/>
    <w:rsid w:val="005F6396"/>
    <w:rsid w:val="00601799"/>
    <w:rsid w:val="00602F16"/>
    <w:rsid w:val="00613FF9"/>
    <w:rsid w:val="00633951"/>
    <w:rsid w:val="00637A4A"/>
    <w:rsid w:val="00640B71"/>
    <w:rsid w:val="006550EF"/>
    <w:rsid w:val="00657980"/>
    <w:rsid w:val="0066115D"/>
    <w:rsid w:val="00680FC6"/>
    <w:rsid w:val="00684B6D"/>
    <w:rsid w:val="006A14F8"/>
    <w:rsid w:val="006B7490"/>
    <w:rsid w:val="006E4A5B"/>
    <w:rsid w:val="00721492"/>
    <w:rsid w:val="007215C9"/>
    <w:rsid w:val="00743F31"/>
    <w:rsid w:val="00744975"/>
    <w:rsid w:val="00751EC7"/>
    <w:rsid w:val="0075246D"/>
    <w:rsid w:val="0075257D"/>
    <w:rsid w:val="00775EF2"/>
    <w:rsid w:val="0079408D"/>
    <w:rsid w:val="007B38FA"/>
    <w:rsid w:val="007C1E0B"/>
    <w:rsid w:val="007D2A7D"/>
    <w:rsid w:val="007D4622"/>
    <w:rsid w:val="007F3B28"/>
    <w:rsid w:val="007F4F9A"/>
    <w:rsid w:val="007F54EC"/>
    <w:rsid w:val="007F6BB1"/>
    <w:rsid w:val="0080015A"/>
    <w:rsid w:val="00805130"/>
    <w:rsid w:val="00807F77"/>
    <w:rsid w:val="00824F7A"/>
    <w:rsid w:val="00830EE6"/>
    <w:rsid w:val="00837FC7"/>
    <w:rsid w:val="00840343"/>
    <w:rsid w:val="00866A5E"/>
    <w:rsid w:val="0087042B"/>
    <w:rsid w:val="008922AE"/>
    <w:rsid w:val="0089641F"/>
    <w:rsid w:val="008B1B35"/>
    <w:rsid w:val="008B4CD1"/>
    <w:rsid w:val="008D0A12"/>
    <w:rsid w:val="008E0A28"/>
    <w:rsid w:val="008E5B1F"/>
    <w:rsid w:val="008F3C9D"/>
    <w:rsid w:val="008F58D9"/>
    <w:rsid w:val="009063D8"/>
    <w:rsid w:val="0090753B"/>
    <w:rsid w:val="009145B2"/>
    <w:rsid w:val="00916840"/>
    <w:rsid w:val="00924ECB"/>
    <w:rsid w:val="00932518"/>
    <w:rsid w:val="00935EFD"/>
    <w:rsid w:val="009502DF"/>
    <w:rsid w:val="00956157"/>
    <w:rsid w:val="00960507"/>
    <w:rsid w:val="009637AC"/>
    <w:rsid w:val="00976A94"/>
    <w:rsid w:val="0098026F"/>
    <w:rsid w:val="00994273"/>
    <w:rsid w:val="009942D1"/>
    <w:rsid w:val="009A4266"/>
    <w:rsid w:val="009A5291"/>
    <w:rsid w:val="009A7581"/>
    <w:rsid w:val="009D6B1F"/>
    <w:rsid w:val="009E41FE"/>
    <w:rsid w:val="009E4BDB"/>
    <w:rsid w:val="009F559E"/>
    <w:rsid w:val="00A15124"/>
    <w:rsid w:val="00A17147"/>
    <w:rsid w:val="00A21F2A"/>
    <w:rsid w:val="00A24879"/>
    <w:rsid w:val="00A253B7"/>
    <w:rsid w:val="00A30C95"/>
    <w:rsid w:val="00A40202"/>
    <w:rsid w:val="00A42C86"/>
    <w:rsid w:val="00A44BA0"/>
    <w:rsid w:val="00A6497B"/>
    <w:rsid w:val="00A65F2F"/>
    <w:rsid w:val="00A71B05"/>
    <w:rsid w:val="00A81B39"/>
    <w:rsid w:val="00A859F5"/>
    <w:rsid w:val="00A861D3"/>
    <w:rsid w:val="00A959CF"/>
    <w:rsid w:val="00AA6F15"/>
    <w:rsid w:val="00AB10B4"/>
    <w:rsid w:val="00AC1D7B"/>
    <w:rsid w:val="00AE0DCE"/>
    <w:rsid w:val="00AF057B"/>
    <w:rsid w:val="00AF59F6"/>
    <w:rsid w:val="00AF74E7"/>
    <w:rsid w:val="00B02AC1"/>
    <w:rsid w:val="00B0609F"/>
    <w:rsid w:val="00B1097F"/>
    <w:rsid w:val="00B27788"/>
    <w:rsid w:val="00B4001F"/>
    <w:rsid w:val="00B43042"/>
    <w:rsid w:val="00B4519F"/>
    <w:rsid w:val="00B508B1"/>
    <w:rsid w:val="00B86823"/>
    <w:rsid w:val="00BA753C"/>
    <w:rsid w:val="00BB4074"/>
    <w:rsid w:val="00BD54DD"/>
    <w:rsid w:val="00BE1B29"/>
    <w:rsid w:val="00BE4905"/>
    <w:rsid w:val="00BF18AC"/>
    <w:rsid w:val="00BF1D5C"/>
    <w:rsid w:val="00BF36EE"/>
    <w:rsid w:val="00BF6875"/>
    <w:rsid w:val="00BF780A"/>
    <w:rsid w:val="00C014AE"/>
    <w:rsid w:val="00C124ED"/>
    <w:rsid w:val="00C20C4B"/>
    <w:rsid w:val="00C248A2"/>
    <w:rsid w:val="00C41EB0"/>
    <w:rsid w:val="00C46768"/>
    <w:rsid w:val="00C62D76"/>
    <w:rsid w:val="00C75404"/>
    <w:rsid w:val="00C76B4F"/>
    <w:rsid w:val="00C77C9D"/>
    <w:rsid w:val="00C8529A"/>
    <w:rsid w:val="00CA15B6"/>
    <w:rsid w:val="00CA4AD8"/>
    <w:rsid w:val="00CC6B57"/>
    <w:rsid w:val="00CD6888"/>
    <w:rsid w:val="00CF55FC"/>
    <w:rsid w:val="00CF662F"/>
    <w:rsid w:val="00D0603F"/>
    <w:rsid w:val="00D2526B"/>
    <w:rsid w:val="00D37864"/>
    <w:rsid w:val="00D40434"/>
    <w:rsid w:val="00D54F21"/>
    <w:rsid w:val="00D63252"/>
    <w:rsid w:val="00D678AA"/>
    <w:rsid w:val="00D70DF0"/>
    <w:rsid w:val="00D769D6"/>
    <w:rsid w:val="00D7787B"/>
    <w:rsid w:val="00D95117"/>
    <w:rsid w:val="00DB09F3"/>
    <w:rsid w:val="00DB1D12"/>
    <w:rsid w:val="00DB27F9"/>
    <w:rsid w:val="00DB4D1C"/>
    <w:rsid w:val="00DB7BF9"/>
    <w:rsid w:val="00DC75D6"/>
    <w:rsid w:val="00DD72E6"/>
    <w:rsid w:val="00DF3B52"/>
    <w:rsid w:val="00E00B56"/>
    <w:rsid w:val="00E00FF4"/>
    <w:rsid w:val="00E2097B"/>
    <w:rsid w:val="00E24766"/>
    <w:rsid w:val="00E40BB6"/>
    <w:rsid w:val="00E5650C"/>
    <w:rsid w:val="00E622ED"/>
    <w:rsid w:val="00E91143"/>
    <w:rsid w:val="00E92636"/>
    <w:rsid w:val="00EB0E80"/>
    <w:rsid w:val="00EC5854"/>
    <w:rsid w:val="00EC6815"/>
    <w:rsid w:val="00ED08DD"/>
    <w:rsid w:val="00ED28C2"/>
    <w:rsid w:val="00EE1CC5"/>
    <w:rsid w:val="00EE6B7A"/>
    <w:rsid w:val="00F02BB5"/>
    <w:rsid w:val="00F1272E"/>
    <w:rsid w:val="00F17323"/>
    <w:rsid w:val="00F372B1"/>
    <w:rsid w:val="00F40A98"/>
    <w:rsid w:val="00F43948"/>
    <w:rsid w:val="00F54CA6"/>
    <w:rsid w:val="00F560B0"/>
    <w:rsid w:val="00F6298A"/>
    <w:rsid w:val="00F637F6"/>
    <w:rsid w:val="00F723FD"/>
    <w:rsid w:val="00F72D9A"/>
    <w:rsid w:val="00F74A54"/>
    <w:rsid w:val="00F81ADA"/>
    <w:rsid w:val="00F8733B"/>
    <w:rsid w:val="00F96C91"/>
    <w:rsid w:val="00FA2890"/>
    <w:rsid w:val="00FA7D66"/>
    <w:rsid w:val="00FB409C"/>
    <w:rsid w:val="00FB56A4"/>
    <w:rsid w:val="00FC4A4E"/>
    <w:rsid w:val="00FE4C9B"/>
    <w:rsid w:val="00FE5C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987368093">
      <w:bodyDiv w:val="1"/>
      <w:marLeft w:val="0"/>
      <w:marRight w:val="0"/>
      <w:marTop w:val="0"/>
      <w:marBottom w:val="0"/>
      <w:divBdr>
        <w:top w:val="none" w:sz="0" w:space="0" w:color="auto"/>
        <w:left w:val="none" w:sz="0" w:space="0" w:color="auto"/>
        <w:bottom w:val="none" w:sz="0" w:space="0" w:color="auto"/>
        <w:right w:val="none" w:sz="0" w:space="0" w:color="auto"/>
      </w:divBdr>
    </w:div>
    <w:div w:id="1000083224">
      <w:bodyDiv w:val="1"/>
      <w:marLeft w:val="0"/>
      <w:marRight w:val="0"/>
      <w:marTop w:val="0"/>
      <w:marBottom w:val="0"/>
      <w:divBdr>
        <w:top w:val="none" w:sz="0" w:space="0" w:color="auto"/>
        <w:left w:val="none" w:sz="0" w:space="0" w:color="auto"/>
        <w:bottom w:val="none" w:sz="0" w:space="0" w:color="auto"/>
        <w:right w:val="none" w:sz="0" w:space="0" w:color="auto"/>
      </w:divBdr>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CRAN.R-project.org/package=RRPP" TargetMode="External"/><Relationship Id="rId39" Type="http://schemas.openxmlformats.org/officeDocument/2006/relationships/hyperlink" Target="https://doi.org/10.1093/bioinformatics/btq166" TargetMode="External"/><Relationship Id="rId21" Type="http://schemas.openxmlformats.org/officeDocument/2006/relationships/hyperlink" Target="https://doi.org/10.1073/pnas.1602683113" TargetMode="External"/><Relationship Id="rId34" Type="http://schemas.openxmlformats.org/officeDocument/2006/relationships/hyperlink" Target="https://doi.org/10.1126/science.abm7525" TargetMode="External"/><Relationship Id="rId42" Type="http://schemas.openxmlformats.org/officeDocument/2006/relationships/hyperlink" Target="https://doi.org/10.7717/peerj.2453" TargetMode="External"/><Relationship Id="rId47" Type="http://schemas.openxmlformats.org/officeDocument/2006/relationships/hyperlink" Target="https://doi.org/10.1111/j.0014-3820.2005.tb01049.x" TargetMode="External"/><Relationship Id="rId50" Type="http://schemas.openxmlformats.org/officeDocument/2006/relationships/hyperlink" Target="https://doi.org/10.1071/WR97046_CO" TargetMode="External"/><Relationship Id="rId55" Type="http://schemas.openxmlformats.org/officeDocument/2006/relationships/hyperlink" Target="https://doi.org/10.1002/jmor.10443" TargetMode="External"/><Relationship Id="rId63" Type="http://schemas.openxmlformats.org/officeDocument/2006/relationships/hyperlink" Target="https://doi.org/10.1002/jmor.10761" TargetMode="External"/><Relationship Id="rId68"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02/ece3.270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02/wics.1460" TargetMode="External"/><Relationship Id="rId32" Type="http://schemas.openxmlformats.org/officeDocument/2006/relationships/hyperlink" Target="https://doi.org/10.1002/jmor.20845" TargetMode="External"/><Relationship Id="rId37" Type="http://schemas.openxmlformats.org/officeDocument/2006/relationships/hyperlink" Target="https://doi.org/10.1098/rspb.2020.2085" TargetMode="External"/><Relationship Id="rId40" Type="http://schemas.openxmlformats.org/officeDocument/2006/relationships/hyperlink" Target="https://doi.org/10.1111/j.1525-142X.2009.00347.x" TargetMode="External"/><Relationship Id="rId45" Type="http://schemas.openxmlformats.org/officeDocument/2006/relationships/hyperlink" Target="https://doi.org/10.1086/711398" TargetMode="External"/><Relationship Id="rId53" Type="http://schemas.openxmlformats.org/officeDocument/2006/relationships/hyperlink" Target="https://doi.org/10.1111/j.1096-3642.2009.00502.x" TargetMode="External"/><Relationship Id="rId58" Type="http://schemas.openxmlformats.org/officeDocument/2006/relationships/hyperlink" Target="https://doi.org/10.1016/j.ympev.2018.07.015" TargetMode="External"/><Relationship Id="rId66" Type="http://schemas.openxmlformats.org/officeDocument/2006/relationships/hyperlink" Target="https://doi.org/10.5281/zenodo.10211695" TargetMode="Externa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7/s11692-015-9308-9" TargetMode="External"/><Relationship Id="rId28" Type="http://schemas.openxmlformats.org/officeDocument/2006/relationships/hyperlink" Target="https://doi.org/10.1098/rsbl.2012.0574" TargetMode="External"/><Relationship Id="rId36" Type="http://schemas.openxmlformats.org/officeDocument/2006/relationships/hyperlink" Target="https://doi.org/10.1111/j.1558-5646.2010.01025.x" TargetMode="External"/><Relationship Id="rId49" Type="http://schemas.openxmlformats.org/officeDocument/2006/relationships/hyperlink" Target="https://doi.org/10.1098/rspb.2018.0845" TargetMode="External"/><Relationship Id="rId57" Type="http://schemas.openxmlformats.org/officeDocument/2006/relationships/hyperlink" Target="https://doi.org/10.1126/sciadv.abe2101" TargetMode="External"/><Relationship Id="rId61" Type="http://schemas.openxmlformats.org/officeDocument/2006/relationships/hyperlink" Target="https://doi.org/10.1186/s12983-019-0338-5" TargetMode="External"/><Relationship Id="rId10" Type="http://schemas.openxmlformats.org/officeDocument/2006/relationships/image" Target="media/image1.png"/><Relationship Id="rId19" Type="http://schemas.openxmlformats.org/officeDocument/2006/relationships/hyperlink" Target="https://doi.org/10.1016/j.zool.2022.126066" TargetMode="External"/><Relationship Id="rId31" Type="http://schemas.openxmlformats.org/officeDocument/2006/relationships/hyperlink" Target="https://doi.org/10.1111/j.1469-7998.2008.00459.x" TargetMode="External"/><Relationship Id="rId44" Type="http://schemas.openxmlformats.org/officeDocument/2006/relationships/hyperlink" Target="https://doi.org/10.7717/peerj.5032" TargetMode="External"/><Relationship Id="rId52" Type="http://schemas.openxmlformats.org/officeDocument/2006/relationships/hyperlink" Target="https://www.R-project.org/" TargetMode="External"/><Relationship Id="rId60" Type="http://schemas.openxmlformats.org/officeDocument/2006/relationships/hyperlink" Target="https://doi.org/10.1111/evo.12312" TargetMode="External"/><Relationship Id="rId65" Type="http://schemas.openxmlformats.org/officeDocument/2006/relationships/hyperlink" Target="https://doi.org/10.1038/s41559-017-0095"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9-09477-7" TargetMode="External"/><Relationship Id="rId27" Type="http://schemas.openxmlformats.org/officeDocument/2006/relationships/hyperlink" Target="https://doi.org/10.1371/journal.pone.0036299" TargetMode="External"/><Relationship Id="rId30" Type="http://schemas.openxmlformats.org/officeDocument/2006/relationships/hyperlink" Target="https://doi.org/10.1098/rsbl.2014.0196" TargetMode="External"/><Relationship Id="rId35" Type="http://schemas.openxmlformats.org/officeDocument/2006/relationships/hyperlink" Target="https://doi.org/10.5281/zenodo.2620785" TargetMode="External"/><Relationship Id="rId43" Type="http://schemas.openxmlformats.org/officeDocument/2006/relationships/hyperlink" Target="https://doi.org/10.1111/j.1095-8312.1989.tb00500.x" TargetMode="External"/><Relationship Id="rId48" Type="http://schemas.openxmlformats.org/officeDocument/2006/relationships/hyperlink" Target="https://doi.org/10.1371/journal.pone.0221287" TargetMode="External"/><Relationship Id="rId56" Type="http://schemas.openxmlformats.org/officeDocument/2006/relationships/hyperlink" Target="https://doi.org/10.1111/oik.08777" TargetMode="External"/><Relationship Id="rId64" Type="http://schemas.openxmlformats.org/officeDocument/2006/relationships/hyperlink" Target="https://doi.org/10.1002/ece3.521"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CRAN.R-project.org/package=vega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111/2041-210X.13029" TargetMode="External"/><Relationship Id="rId33" Type="http://schemas.openxmlformats.org/officeDocument/2006/relationships/hyperlink" Target="https://doi.org/10.1086/505758" TargetMode="External"/><Relationship Id="rId38" Type="http://schemas.openxmlformats.org/officeDocument/2006/relationships/hyperlink" Target="https://doi.org/10.1111/pala.12159" TargetMode="External"/><Relationship Id="rId46" Type="http://schemas.openxmlformats.org/officeDocument/2006/relationships/hyperlink" Target="https://doi.org/10.1186/s12862-016-0782-1" TargetMode="External"/><Relationship Id="rId59" Type="http://schemas.openxmlformats.org/officeDocument/2006/relationships/hyperlink" Target="https://doi.org/10.1073/pnas.0808730106" TargetMode="External"/><Relationship Id="rId67" Type="http://schemas.openxmlformats.org/officeDocument/2006/relationships/image" Target="media/image5.png"/><Relationship Id="rId20" Type="http://schemas.openxmlformats.org/officeDocument/2006/relationships/hyperlink" Target="https://doi.org/10.1007/s11692-015-9317-8" TargetMode="External"/><Relationship Id="rId41" Type="http://schemas.openxmlformats.org/officeDocument/2006/relationships/hyperlink" Target="https://doi.org/10.1093/sysbio/syt025" TargetMode="External"/><Relationship Id="rId54" Type="http://schemas.openxmlformats.org/officeDocument/2006/relationships/hyperlink" Target="https://doi.org/10.1186/s12862-019-1506-0" TargetMode="External"/><Relationship Id="rId62" Type="http://schemas.openxmlformats.org/officeDocument/2006/relationships/hyperlink" Target="https://doi.org/10.1111/evo.1416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41</Pages>
  <Words>25560</Words>
  <Characters>145696</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146</cp:revision>
  <cp:lastPrinted>2024-04-02T09:24:00Z</cp:lastPrinted>
  <dcterms:created xsi:type="dcterms:W3CDTF">2023-11-21T06:21:00Z</dcterms:created>
  <dcterms:modified xsi:type="dcterms:W3CDTF">2024-04-10T04:00:00Z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