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8047CBD"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rsidR="00BE1B29">
        <w:t>.</w:t>
      </w:r>
    </w:p>
    <w:p w14:paraId="6263809B" w14:textId="77777777" w:rsidR="00BE1B29" w:rsidRDefault="00BE1B29">
      <w:pPr>
        <w:spacing w:line="480" w:lineRule="auto"/>
      </w:pP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 xml:space="preserve">Independently, the negative scaling of brain and orbit size relative to body mass tends to reduce the relative size of vault and orbital area, potentially increasing the </w:t>
      </w:r>
      <w:r w:rsidR="001D7B39" w:rsidRPr="001D7B39">
        <w:lastRenderedPageBreak/>
        <w:t>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871EF08" w14:textId="77777777" w:rsidR="00BE1B29" w:rsidRDefault="00BE1B29">
      <w:pPr>
        <w:spacing w:line="480" w:lineRule="auto"/>
      </w:pPr>
    </w:p>
    <w:p w14:paraId="06A2ED2B" w14:textId="77777777" w:rsidR="00BE1B29" w:rsidRDefault="00000000">
      <w:pPr>
        <w:spacing w:line="480" w:lineRule="auto"/>
      </w:pPr>
      <w:r>
        <w:t xml:space="preserve">Among mammals, rodent skulls </w:t>
      </w:r>
      <w:r w:rsidR="0053012A">
        <w:t xml:space="preserve">are </w:t>
      </w:r>
      <w:r w:rsidR="00E91143">
        <w:t>among the</w:t>
      </w:r>
      <w:r>
        <w:t xml:space="preserve"> most striking cases of allometry coinciding with a CREA pattern.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radical changes in </w:t>
      </w:r>
      <w:r w:rsidR="0053012A">
        <w:t>shape</w:t>
      </w:r>
      <w:r w:rsidR="00807F77">
        <w:t xml:space="preserve">, such as island gigantism, </w:t>
      </w:r>
      <w:r w:rsidR="0053012A">
        <w:t>are possible within species along the allometric line</w:t>
      </w:r>
      <w:r w:rsidR="00807F77">
        <w:t xml:space="preserve"> </w:t>
      </w:r>
      <w:r w:rsidR="00807F77">
        <w:fldChar w:fldCharType="begin"/>
      </w:r>
      <w:r w:rsidR="00807F77">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07F77">
        <w:fldChar w:fldCharType="separate"/>
      </w:r>
      <w:r w:rsidR="00807F77">
        <w:rPr>
          <w:noProof/>
        </w:rPr>
        <w:t>(Schlis-Elias &amp; Malaney, 2022)</w:t>
      </w:r>
      <w:r w:rsidR="00807F77">
        <w:fldChar w:fldCharType="end"/>
      </w:r>
      <w:r>
        <w:t>.</w:t>
      </w:r>
    </w:p>
    <w:p w14:paraId="0E6A0A13" w14:textId="77777777" w:rsidR="00BE1B29" w:rsidRDefault="00BE1B29">
      <w:pPr>
        <w:spacing w:line="480" w:lineRule="auto"/>
      </w:pPr>
    </w:p>
    <w:p w14:paraId="30B0037C" w14:textId="4B4CAFA0" w:rsidR="00163C9C" w:rsidRDefault="00000000" w:rsidP="00163C9C">
      <w:pPr>
        <w:spacing w:line="480" w:lineRule="auto"/>
      </w:pPr>
      <w:r>
        <w:t xml:space="preserve">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w:t>
      </w:r>
      <w:r w:rsidR="00163C9C">
        <w:lastRenderedPageBreak/>
        <w:t>departed most</w:t>
      </w:r>
      <w:r>
        <w:t xml:space="preserve"> from the common evolutionary allometric pattern tended to be ecological specialists with distinct diets and locomotor modes. </w:t>
      </w:r>
      <w:r w:rsidR="00163C9C">
        <w:t xml:space="preserve">This is consistent with Mitchell et al.’s </w:t>
      </w:r>
      <w:r w:rsidR="00163C9C">
        <w:fldChar w:fldCharType="begin"/>
      </w:r>
      <w:r w:rsidR="00163C9C">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63C9C">
        <w:fldChar w:fldCharType="separate"/>
      </w:r>
      <w:r w:rsidR="00163C9C">
        <w:rPr>
          <w:noProof/>
        </w:rPr>
        <w:t>(2024)</w:t>
      </w:r>
      <w:r w:rsidR="00163C9C">
        <w:fldChar w:fldCharType="end"/>
      </w:r>
      <w:r w:rsidR="00163C9C">
        <w:t xml:space="preserve"> hypothesis that CREA </w:t>
      </w:r>
      <w:r w:rsidR="009D6B1F">
        <w:t xml:space="preserve">patterns can be “interrupted” </w:t>
      </w:r>
      <w:r w:rsidR="00163C9C">
        <w:t>by abrupt shifts in dietary hardness, and also highlights that variation beyond allometric scaling is an important part of investigation.</w:t>
      </w:r>
    </w:p>
    <w:p w14:paraId="1F734713" w14:textId="7B8D688A" w:rsidR="0014692A" w:rsidRPr="004D6CED" w:rsidRDefault="00163C9C">
      <w:pPr>
        <w:spacing w:line="480" w:lineRule="auto"/>
        <w:rPr>
          <w:i/>
          <w:iCs/>
        </w:rPr>
      </w:pPr>
      <w:r>
        <w:t>Examples</w:t>
      </w:r>
      <w:r w:rsidR="0014692A">
        <w:t xml:space="preserve"> include the specialized </w:t>
      </w:r>
      <w:proofErr w:type="spellStart"/>
      <w:r w:rsidR="0014692A">
        <w:rPr>
          <w:i/>
          <w:iCs/>
        </w:rPr>
        <w:t>Mastacomys</w:t>
      </w:r>
      <w:proofErr w:type="spellEnd"/>
      <w:r w:rsidR="0014692A">
        <w:rPr>
          <w:i/>
          <w:iCs/>
        </w:rPr>
        <w:t xml:space="preserve"> </w:t>
      </w:r>
      <w:proofErr w:type="spellStart"/>
      <w:r w:rsidR="0014692A">
        <w:rPr>
          <w:i/>
          <w:iCs/>
        </w:rPr>
        <w:t>fuscus</w:t>
      </w:r>
      <w:proofErr w:type="spellEnd"/>
      <w:r w:rsidR="0014692A">
        <w:t xml:space="preserve">, whose diet nearly entirely consists of grass </w:t>
      </w:r>
      <w:r w:rsidR="0014692A">
        <w:fldChar w:fldCharType="begin"/>
      </w:r>
      <w:r w:rsidR="0014692A">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14692A">
        <w:fldChar w:fldCharType="separate"/>
      </w:r>
      <w:r w:rsidR="0014692A">
        <w:rPr>
          <w:noProof/>
        </w:rPr>
        <w:t>(Calaby &amp; Wimbush, 1964; Green</w:t>
      </w:r>
      <w:r w:rsidR="0014692A" w:rsidRPr="0014692A">
        <w:rPr>
          <w:i/>
          <w:noProof/>
        </w:rPr>
        <w:t xml:space="preserve"> et al.</w:t>
      </w:r>
      <w:r w:rsidR="0014692A">
        <w:rPr>
          <w:noProof/>
        </w:rPr>
        <w:t>, 2014)</w:t>
      </w:r>
      <w:r w:rsidR="0014692A">
        <w:fldChar w:fldCharType="end"/>
      </w:r>
      <w:r w:rsidR="0014692A">
        <w:t xml:space="preserve"> which is highly abrasive to dentition  </w:t>
      </w:r>
      <w:r w:rsidR="0014692A">
        <w:fldChar w:fldCharType="begin"/>
      </w:r>
      <w:r w:rsidR="00F72D9A">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14692A">
        <w:fldChar w:fldCharType="separate"/>
      </w:r>
      <w:r w:rsidR="00F72D9A">
        <w:rPr>
          <w:noProof/>
        </w:rPr>
        <w:t>(e.g. Winkler</w:t>
      </w:r>
      <w:r w:rsidR="00F72D9A" w:rsidRPr="00F72D9A">
        <w:rPr>
          <w:i/>
          <w:noProof/>
        </w:rPr>
        <w:t xml:space="preserve"> et al.</w:t>
      </w:r>
      <w:r w:rsidR="00F72D9A">
        <w:rPr>
          <w:noProof/>
        </w:rPr>
        <w:t>, 2019)</w:t>
      </w:r>
      <w:r w:rsidR="0014692A">
        <w:fldChar w:fldCharType="end"/>
      </w:r>
      <w:r w:rsidR="00BE1B29">
        <w:t xml:space="preserve">. Another deviation from the common allometric line is seen in the two carnivorous </w:t>
      </w:r>
      <w:r>
        <w:t>sister species</w:t>
      </w:r>
      <w:r w:rsidR="00BE1B29">
        <w:t xml:space="preserve">, the Rakali </w:t>
      </w:r>
      <w:r w:rsidR="00BE1B29">
        <w:rPr>
          <w:i/>
          <w:iCs/>
        </w:rPr>
        <w:t>Hydromys chrysogaster</w:t>
      </w:r>
      <w:r>
        <w:t xml:space="preserve"> and water mouse </w:t>
      </w:r>
      <w:r>
        <w:rPr>
          <w:i/>
          <w:iCs/>
        </w:rPr>
        <w:t xml:space="preserve">Xeromys myoides, </w:t>
      </w:r>
      <w:r>
        <w:t>and</w:t>
      </w:r>
      <w:r w:rsidR="00BE1B29">
        <w:t xml:space="preserve"> a group of ecological specialists with distinct non-diet related locomotor modes, the hopping mice </w:t>
      </w:r>
      <w:r w:rsidR="00BE1B29">
        <w:rPr>
          <w:i/>
        </w:rPr>
        <w:t>(Notomys</w:t>
      </w:r>
      <w:r w:rsidR="00BE1B29">
        <w:t>) and the rabbit-rat (</w:t>
      </w:r>
      <w:r w:rsidR="00BE1B29">
        <w:rPr>
          <w:i/>
        </w:rPr>
        <w:t>Conilurus penicillatus</w:t>
      </w:r>
      <w:r w:rsidR="00BE1B29">
        <w:t xml:space="preserve">). </w:t>
      </w:r>
      <w:r>
        <w:t>The hopping mice are</w:t>
      </w:r>
      <w:r w:rsidR="00BE1B29">
        <w:t xml:space="preserve"> of interest because of their conspicuous “facial tilt” of the anterior cranium, an adaptation resulting in an expansion of their field of view while hopping or bounding </w:t>
      </w:r>
      <w:r w:rsidR="00BE1B29">
        <w:fldChar w:fldCharType="begin"/>
      </w:r>
      <w:r w:rsidR="00BE1B29">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BE1B29">
        <w:fldChar w:fldCharType="separate"/>
      </w:r>
      <w:r w:rsidR="00BE1B29">
        <w:rPr>
          <w:noProof/>
        </w:rPr>
        <w:t>(Kraatz &amp; Sherratt, 2016)</w:t>
      </w:r>
      <w:r w:rsidR="00BE1B29">
        <w:fldChar w:fldCharType="end"/>
      </w:r>
      <w:r w:rsidR="00BE1B29">
        <w:t>. This makes them intriguing cases to examine in the allometry-free morphospace, as their rostral shapes may depend on the degree to which the facial tilt is independent from CREA.</w:t>
      </w:r>
    </w:p>
    <w:p w14:paraId="369B92B6" w14:textId="68788579" w:rsidR="000650EE" w:rsidRDefault="00000000" w:rsidP="00163C9C">
      <w:pPr>
        <w:spacing w:line="480" w:lineRule="auto"/>
        <w:ind w:firstLine="720"/>
      </w:pPr>
      <w:r>
        <w:t xml:space="preserve">The rodent sample </w:t>
      </w:r>
      <w:r w:rsidR="00163C9C">
        <w:t>of</w:t>
      </w:r>
      <w:r>
        <w:t xml:space="preserv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w:t>
      </w:r>
      <w:r w:rsidR="00163C9C">
        <w:t xml:space="preserve"> (via analysis of residuals from regressions of shape against size),</w:t>
      </w:r>
      <w:r>
        <w:t xml:space="preserve"> because it </w:t>
      </w:r>
      <w:r w:rsidR="00163C9C">
        <w:t>includes a predominance of</w:t>
      </w:r>
      <w:r>
        <w:t xml:space="preserve"> allometrically highly uniform species with clear deviations from the common pattern. </w:t>
      </w:r>
      <w:r w:rsidR="00163C9C">
        <w:t xml:space="preserve">For example, it allows us to test </w:t>
      </w:r>
      <w:r w:rsidR="00163C9C" w:rsidRPr="00163C9C">
        <w:t xml:space="preserve">if </w:t>
      </w:r>
      <w:r w:rsidR="000650EE" w:rsidRPr="00163C9C">
        <w:t>diversification of rodent crania is bounded by functional allometric constraints, whereby each size has a shape optimum</w:t>
      </w:r>
      <w:r w:rsidR="00163C9C" w:rsidRPr="00163C9C">
        <w:t xml:space="preserve">. In this case, </w:t>
      </w:r>
      <w:r w:rsidR="000650EE" w:rsidRPr="00163C9C">
        <w:t>we should expect to see an Ornstein-</w:t>
      </w:r>
      <w:proofErr w:type="spellStart"/>
      <w:r w:rsidR="000650EE" w:rsidRPr="00163C9C">
        <w:t>Uhlenbeck</w:t>
      </w:r>
      <w:proofErr w:type="spellEnd"/>
      <w:r w:rsidR="000650EE" w:rsidRPr="00163C9C">
        <w:t xml:space="preserve"> pattern of shape divergence through tim</w:t>
      </w:r>
      <w:r w:rsidR="00AE0DCE" w:rsidRPr="00163C9C">
        <w:t>e</w:t>
      </w:r>
      <w:r w:rsidR="000650EE" w:rsidRPr="00163C9C">
        <w:t xml:space="preserve">. We would also expect the morphological distances among species to be associated with the evolution of optimal shapes within the samples’ maximum size range.  By contrast, if the allometry-free shape variation relates to the capacity of the cranium to diverge </w:t>
      </w:r>
      <w:r w:rsidR="000650EE" w:rsidRPr="00163C9C">
        <w:lastRenderedPageBreak/>
        <w:t xml:space="preserve">independently of allometry, </w:t>
      </w:r>
      <w:r w:rsidR="00163C9C" w:rsidRPr="00163C9C">
        <w:t xml:space="preserve">and without much functional constraint, </w:t>
      </w:r>
      <w:r w:rsidR="000650EE" w:rsidRPr="00163C9C">
        <w:t xml:space="preserve">we would expect </w:t>
      </w:r>
      <w:r w:rsidR="00163C9C" w:rsidRPr="00163C9C">
        <w:t>a Brownian-motion process and find t</w:t>
      </w:r>
      <w:r w:rsidR="000650EE" w:rsidRPr="00163C9C">
        <w:t xml:space="preserve">he </w:t>
      </w:r>
      <w:r w:rsidR="00163C9C" w:rsidRPr="00163C9C">
        <w:t>greatest</w:t>
      </w:r>
      <w:r w:rsidR="000650EE" w:rsidRPr="00163C9C">
        <w:t xml:space="preserve"> morphological distances </w:t>
      </w:r>
      <w:r w:rsidR="009D6B1F">
        <w:t xml:space="preserve">– and differentiation in shape - </w:t>
      </w:r>
      <w:r w:rsidR="000650EE" w:rsidRPr="00163C9C">
        <w:t>between species that have ecological specializations with divergent functional requirements.</w:t>
      </w:r>
      <w:r w:rsidR="009D6B1F">
        <w:t xml:space="preserve"> This effect should </w:t>
      </w:r>
      <w:r w:rsidR="005B181F">
        <w:t xml:space="preserve">also </w:t>
      </w:r>
      <w:r w:rsidR="009D6B1F">
        <w:t>be visible in ordinations of shape, both in terms of the distribution of species in Principal Components morphospaces and the shape variation associated with this distribution.</w:t>
      </w:r>
    </w:p>
    <w:p w14:paraId="33BB3AB6" w14:textId="77777777" w:rsidR="008922AE" w:rsidRDefault="008922AE">
      <w:pPr>
        <w:spacing w:line="480" w:lineRule="auto"/>
      </w:pPr>
    </w:p>
    <w:p w14:paraId="2EFCC6FF" w14:textId="30E62F0E" w:rsidR="00B43042" w:rsidRDefault="00D2526B" w:rsidP="00B43042">
      <w:pPr>
        <w:spacing w:line="480" w:lineRule="auto"/>
      </w:pPr>
      <w:r>
        <w:t xml:space="preserve">In addition, the biomechanical processes leading to CREA are expected to be reflected in high </w:t>
      </w:r>
      <w:r w:rsidR="00CC6B57">
        <w:t xml:space="preserve">allometry and high </w:t>
      </w:r>
      <w:r w:rsidR="00B43042">
        <w:t>levels of co-variation</w:t>
      </w:r>
      <w:r>
        <w:t xml:space="preserve"> </w:t>
      </w:r>
      <w:r w:rsidR="00CC6B57">
        <w:t>in cranial areas that are expected to vary most under CREA</w:t>
      </w:r>
      <w:r>
        <w:t xml:space="preserve"> – the rostrum, cranial vault, and potentially orbital region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D2526B">
        <w:rPr>
          <w:i/>
          <w:noProof/>
        </w:rPr>
        <w:t xml:space="preserve"> et al.</w:t>
      </w:r>
      <w:r>
        <w:rPr>
          <w:noProof/>
        </w:rPr>
        <w:t>, 2024)</w:t>
      </w:r>
      <w:r>
        <w:fldChar w:fldCharType="end"/>
      </w:r>
      <w:r>
        <w:t>. By contrast, selection</w:t>
      </w:r>
      <w:r w:rsidR="00000000">
        <w:t xml:space="preserve"> on functions that result in shape variation independent of CREA is expected to be more apparent in some parts of the skull but not others</w:t>
      </w:r>
      <w:r w:rsidR="00B43042">
        <w:t xml:space="preserve"> depending on cranial function</w:t>
      </w:r>
      <w:r w:rsidR="00000000">
        <w:t xml:space="preserve"> (e.g. the maxillary region of carnivorous species; the back of the skull in hopping or bounding species). A key question is therefore whether there are size-independent patterns alongside CREA which allow the evolution of cranial areas away from the main allometric line. This is conceivable because allometry explained a large amount (36%), but not the majority, of cranial shape variation </w:t>
      </w:r>
      <w:r w:rsidR="00000000">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00000">
        <w:fldChar w:fldCharType="separate"/>
      </w:r>
      <w:r w:rsidR="004550BE">
        <w:rPr>
          <w:noProof/>
        </w:rPr>
        <w:t>(Marcy</w:t>
      </w:r>
      <w:r w:rsidR="004550BE" w:rsidRPr="004550BE">
        <w:rPr>
          <w:i/>
          <w:noProof/>
        </w:rPr>
        <w:t xml:space="preserve"> et al.</w:t>
      </w:r>
      <w:r w:rsidR="004550BE">
        <w:rPr>
          <w:noProof/>
        </w:rPr>
        <w:t>, 2020)</w:t>
      </w:r>
      <w:r w:rsidR="00000000">
        <w:fldChar w:fldCharType="end"/>
      </w:r>
      <w:r w:rsidR="0075246D">
        <w:t xml:space="preserve">. </w:t>
      </w:r>
      <w:bookmarkStart w:id="3" w:name="_Hlk160624073"/>
      <w:r w:rsidR="0075246D">
        <w:t xml:space="preserve">This unexplained variation might be related to species-specific variation without any </w:t>
      </w:r>
      <w:proofErr w:type="gramStart"/>
      <w:r w:rsidR="0075246D">
        <w:t>particular evolutionary</w:t>
      </w:r>
      <w:proofErr w:type="gramEnd"/>
      <w:r w:rsidR="0075246D">
        <w:t xml:space="preserve"> patterning (such as vicariance or founder effects), but it</w:t>
      </w:r>
      <w:r w:rsidR="003408C3">
        <w:t xml:space="preserve"> could </w:t>
      </w:r>
      <w:r w:rsidR="0075246D">
        <w:t xml:space="preserve">also be attributable to </w:t>
      </w:r>
      <w:bookmarkEnd w:id="3"/>
      <w:r w:rsidR="00B43042">
        <w:t>selection that is unrelated to CREA</w:t>
      </w:r>
      <w:r w:rsidR="00000000">
        <w:t xml:space="preserve">. </w:t>
      </w:r>
    </w:p>
    <w:p w14:paraId="646A7B03" w14:textId="77777777" w:rsidR="00B43042" w:rsidRDefault="00B43042" w:rsidP="00B43042">
      <w:pPr>
        <w:spacing w:line="480" w:lineRule="auto"/>
      </w:pPr>
    </w:p>
    <w:p w14:paraId="071B35E2" w14:textId="5FEB4FA0" w:rsidR="007F4F9A" w:rsidRDefault="00B43042" w:rsidP="00B43042">
      <w:pPr>
        <w:spacing w:line="480" w:lineRule="auto"/>
      </w:pPr>
      <w:r>
        <w:t>Our above predictions can be tested through</w:t>
      </w:r>
      <w:r w:rsidR="00000000">
        <w:t xml:space="preserve"> assessments of cranial integration </w:t>
      </w:r>
      <w:r w:rsidR="00000000">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000000">
        <w:fldChar w:fldCharType="separate"/>
      </w:r>
      <w:r w:rsidR="00B1097F">
        <w:rPr>
          <w:noProof/>
        </w:rPr>
        <w:t>(covariation between modules; Klingenberg, 2009)</w:t>
      </w:r>
      <w:r w:rsidR="00000000">
        <w:fldChar w:fldCharType="end"/>
      </w:r>
      <w:r w:rsidR="00000000">
        <w:t xml:space="preserve"> and modularity </w:t>
      </w:r>
      <w:r w:rsidR="00000000">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000000">
        <w:fldChar w:fldCharType="separate"/>
      </w:r>
      <w:r w:rsidR="00B1097F">
        <w:rPr>
          <w:noProof/>
        </w:rPr>
        <w:t>(the degree of independence of shape variation within a module relative to the others; Klingenberg, 2009)</w:t>
      </w:r>
      <w:r w:rsidR="00000000">
        <w:fldChar w:fldCharType="end"/>
      </w:r>
      <w:r w:rsidR="00FB409C">
        <w:t xml:space="preserve">. </w:t>
      </w:r>
      <w:r w:rsidR="00000000">
        <w:t xml:space="preserve">Strong allometry in the </w:t>
      </w:r>
      <w:r w:rsidR="00000000">
        <w:lastRenderedPageBreak/>
        <w:t xml:space="preserve">rodent sample means that </w:t>
      </w:r>
      <w:r w:rsidR="003A5829">
        <w:t>the</w:t>
      </w:r>
      <w:r w:rsidR="00000000">
        <w:t xml:space="preserve"> skull </w:t>
      </w:r>
      <w:r w:rsidR="003A5829">
        <w:t>co-evolves with size</w:t>
      </w:r>
      <w:r w:rsidR="00B02AC1">
        <w:t xml:space="preserve"> as </w:t>
      </w:r>
      <w:r w:rsidR="00000000">
        <w:t xml:space="preserve">one </w:t>
      </w:r>
      <w:r w:rsidR="00B02AC1">
        <w:t xml:space="preserve">integrated </w:t>
      </w:r>
      <w:r w:rsidR="00000000">
        <w:t>structure</w:t>
      </w:r>
      <w:r w:rsidR="00ED28C2">
        <w:t xml:space="preserve">, </w:t>
      </w:r>
      <w:r>
        <w:t>so that the integration</w:t>
      </w:r>
      <w:r w:rsidR="00000000">
        <w:t xml:space="preserve"> between modules (i.e. </w:t>
      </w:r>
      <w:r>
        <w:t>their co-variance</w:t>
      </w:r>
      <w:r w:rsidR="00000000">
        <w:t xml:space="preserve">)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w:t>
      </w:r>
      <w:r>
        <w:t xml:space="preserve">is expected to be higher and </w:t>
      </w:r>
      <w:proofErr w:type="spellStart"/>
      <w:r w:rsidR="00ED28C2">
        <w:t>and</w:t>
      </w:r>
      <w:proofErr w:type="spellEnd"/>
      <w:r w:rsidR="00ED28C2">
        <w:t xml:space="preserve"> modularity (i.e. independence of modules from each other)</w:t>
      </w:r>
      <w:r>
        <w:t xml:space="preserve"> potentially lower in datasets with shape information contained. </w:t>
      </w:r>
      <w:r w:rsidR="00ED28C2">
        <w:t xml:space="preserve">Integration should </w:t>
      </w:r>
      <w:r>
        <w:t xml:space="preserve">also </w:t>
      </w:r>
      <w:r w:rsidR="00ED28C2">
        <w:t xml:space="preserve">be strongest between those modules identified as affected by CREA, including the rostrum, vault, and potentially orbital region. </w:t>
      </w:r>
      <w:r w:rsidR="007F4F9A">
        <w:t xml:space="preserve">Removing the effects of size from the shape variation </w:t>
      </w:r>
      <w:r w:rsidR="00FB409C">
        <w:t xml:space="preserve">by </w:t>
      </w:r>
      <w:proofErr w:type="spellStart"/>
      <w:r w:rsidR="00FB409C">
        <w:t>analysing</w:t>
      </w:r>
      <w:proofErr w:type="spellEnd"/>
      <w:r w:rsidR="00FB409C">
        <w:t xml:space="preserve">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605E6FD0" w14:textId="45D58C10" w:rsidR="000B302A" w:rsidRDefault="00000000">
      <w:pPr>
        <w:spacing w:line="480" w:lineRule="auto"/>
      </w:pPr>
      <w:r>
        <w:t xml:space="preserve">In this study, we test </w:t>
      </w:r>
      <w:r w:rsidR="00F6298A">
        <w:t>the</w:t>
      </w:r>
      <w:r>
        <w:t xml:space="preserve"> expectations</w:t>
      </w:r>
      <w:r w:rsidR="000B302A">
        <w:t xml:space="preserve"> outlined above</w:t>
      </w:r>
      <w:r>
        <w:t xml:space="preserve">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w:t>
      </w:r>
      <w:r w:rsidR="000B302A">
        <w:t xml:space="preserve">. Contrasting the shape variation of the dataset with allometry-free residual shape data, we characterize the mode of evolution, ordinated morphospace distribution, integration and modularity in the whole cranium and its modules. </w:t>
      </w:r>
      <w:r w:rsidR="000B302A" w:rsidRPr="00D0603F">
        <w:rPr>
          <w:highlight w:val="yellow"/>
        </w:rPr>
        <w:t xml:space="preserve">This provides the first investigation targeting </w:t>
      </w:r>
      <w:r w:rsidR="001D75A2" w:rsidRPr="00D0603F">
        <w:rPr>
          <w:highlight w:val="yellow"/>
        </w:rPr>
        <w:t>the</w:t>
      </w:r>
      <w:r w:rsidR="000B302A" w:rsidRPr="00D0603F">
        <w:rPr>
          <w:highlight w:val="yellow"/>
        </w:rPr>
        <w:t xml:space="preserve"> interpretation of shape variation after allometry removal, which serves to test the predominance of biomechanical drivers of mammalian cranial shape variation.</w:t>
      </w:r>
      <w:r w:rsidR="000B302A">
        <w:t xml:space="preserve"> </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76D45545" w:rsidR="008922AE" w:rsidRPr="00A861D3" w:rsidRDefault="00000000"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w:t>
      </w:r>
      <w:r w:rsidR="00F6298A">
        <w:t xml:space="preserve"> The species </w:t>
      </w:r>
      <w:proofErr w:type="gramStart"/>
      <w:r w:rsidR="00F6298A">
        <w:t xml:space="preserve">included </w:t>
      </w:r>
      <w:r w:rsidR="009E41FE">
        <w:t xml:space="preserve"> These</w:t>
      </w:r>
      <w:proofErr w:type="gramEnd"/>
      <w:r w:rsidR="009E41FE">
        <w:t xml:space="preserv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28F391D6" w14:textId="28DEF518" w:rsidR="00C8529A"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w:t>
      </w:r>
      <w:proofErr w:type="gramStart"/>
      <w:r w:rsidR="00657980">
        <w:t>and also</w:t>
      </w:r>
      <w:proofErr w:type="gramEnd"/>
      <w:r w:rsidR="00657980">
        <w:t xml:space="preserve">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w:t>
      </w:r>
      <w:r w:rsidR="00E00FF4">
        <w:lastRenderedPageBreak/>
        <w:t>scenarios to find out which evolutionary mode fits the evolution of allometry best</w:t>
      </w:r>
      <w:r w:rsidR="00411130">
        <w:t xml:space="preserve">, and additionally the most likely mode of evolution of 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 Note that the probabilities from </w:t>
      </w:r>
      <w:r w:rsidR="00C8529A">
        <w:rPr>
          <w:i/>
          <w:iCs/>
        </w:rPr>
        <w:t>Phytools</w:t>
      </w:r>
      <w:r w:rsidR="00C8529A">
        <w:t xml:space="preserve"> are given as Akaike Information Criterion (AIC), which are a special case of and similar to the GICs given by the </w:t>
      </w:r>
      <w:proofErr w:type="spellStart"/>
      <w:r w:rsidR="00C8529A">
        <w:t>mvMORPH</w:t>
      </w:r>
      <w:proofErr w:type="spellEnd"/>
      <w:r w:rsidR="00C8529A">
        <w:t xml:space="preserve"> package </w:t>
      </w:r>
      <w:r w:rsidR="00C8529A">
        <w:fldChar w:fldCharType="begin"/>
      </w:r>
      <w:r w:rsidR="00C8529A">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C8529A">
        <w:fldChar w:fldCharType="separate"/>
      </w:r>
      <w:r w:rsidR="00C8529A">
        <w:rPr>
          <w:noProof/>
        </w:rPr>
        <w:t>(Cavanaugh &amp; Neath, 2019)</w:t>
      </w:r>
      <w:r w:rsidR="00C8529A">
        <w:fldChar w:fldCharType="end"/>
      </w:r>
      <w:r w:rsidR="00C8529A">
        <w:t>.</w:t>
      </w:r>
    </w:p>
    <w:p w14:paraId="7B2611A5" w14:textId="4B9832BA" w:rsidR="00E00FF4" w:rsidRPr="00B0609F" w:rsidRDefault="004550BE" w:rsidP="00C8529A">
      <w:pPr>
        <w:spacing w:line="480" w:lineRule="auto"/>
        <w:ind w:firstLine="720"/>
      </w:pPr>
      <w:r>
        <w:t xml:space="preserve">Note that estimates of evolutionary mode are unlikely to be very robust because our samples size is relatively small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4550BE">
        <w:rPr>
          <w:i/>
          <w:noProof/>
        </w:rPr>
        <w:t xml:space="preserve"> et al.</w:t>
      </w:r>
      <w:r>
        <w:rPr>
          <w:noProof/>
        </w:rPr>
        <w:t>, 2016)</w:t>
      </w:r>
      <w:r>
        <w:fldChar w:fldCharType="end"/>
      </w:r>
      <w:r>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r w:rsidR="00837FC7">
        <w:t>.</w:t>
      </w:r>
      <w:r w:rsidR="00B0609F">
        <w:t xml:space="preserve"> </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p>
    <w:p w14:paraId="39969688" w14:textId="77777777" w:rsidR="007F54EC" w:rsidRDefault="007F54EC" w:rsidP="007F54EC">
      <w:pPr>
        <w:spacing w:line="480" w:lineRule="auto"/>
        <w:rPr>
          <w:highlight w:val="white"/>
        </w:rPr>
      </w:pPr>
    </w:p>
    <w:p w14:paraId="5A12D0A3" w14:textId="4357981E" w:rsidR="00E00FF4" w:rsidRDefault="000E7AF4" w:rsidP="007F54EC">
      <w:pPr>
        <w:spacing w:line="480" w:lineRule="auto"/>
      </w:pPr>
      <w:r>
        <w:rPr>
          <w:highlight w:val="white"/>
        </w:rPr>
        <w:t>As noted above, the sample size available to us (n=37 species) makes estimations of evolutionary modes potentially unreliable. For a more direct visualization, we therefore also plotted</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proofErr w:type="spellStart"/>
      <w:r w:rsidR="007F54EC">
        <w:rPr>
          <w:i/>
          <w:highlight w:val="white"/>
        </w:rPr>
        <w:t>cophenic</w:t>
      </w:r>
      <w:proofErr w:type="spellEnd"/>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w:t>
      </w:r>
      <w:proofErr w:type="spellStart"/>
      <w:r w:rsidR="007F54EC">
        <w:rPr>
          <w:highlight w:val="white"/>
        </w:rPr>
        <w:t>ultrametric</w:t>
      </w:r>
      <w:proofErr w:type="spellEnd"/>
      <w:r w:rsidR="007F54EC">
        <w:rPr>
          <w:highlight w:val="white"/>
        </w:rPr>
        <w:t xml:space="preserve">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w:t>
      </w:r>
      <w:r w:rsidR="007F54EC">
        <w:rPr>
          <w:highlight w:val="white"/>
        </w:rPr>
        <w:lastRenderedPageBreak/>
        <w:t xml:space="preserve">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rsidR="007F54EC">
        <w:t xml:space="preserve">We expected this to provide a broad estimate of morphological divergences with and without allometry, but there are two caveats to this method: 1) </w:t>
      </w:r>
      <w:proofErr w:type="spellStart"/>
      <w:r w:rsidR="007F54EC">
        <w:t>pseudoreplication</w:t>
      </w:r>
      <w:proofErr w:type="spellEnd"/>
      <w:r w:rsidR="007F54EC">
        <w:t xml:space="preserve">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02EE12B9" w14:textId="77777777" w:rsidR="000E7AF4" w:rsidRDefault="000E7AF4" w:rsidP="007F54EC">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w:t>
      </w:r>
      <w:proofErr w:type="spellStart"/>
      <w:r w:rsidR="004D38FD">
        <w:t>geomorph</w:t>
      </w:r>
      <w:proofErr w:type="spellEnd"/>
      <w:r w:rsidR="004D38FD">
        <w:t>-based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lastRenderedPageBreak/>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w:t>
      </w:r>
      <w:r>
        <w:rPr>
          <w:highlight w:val="white"/>
        </w:rPr>
        <w:lastRenderedPageBreak/>
        <w:t>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r>
        <w:rPr>
          <w:i/>
          <w:highlight w:val="white"/>
        </w:rPr>
        <w:t>Notomys</w:t>
      </w:r>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B92011" w:rsidR="00916840" w:rsidRDefault="00573D24" w:rsidP="00916840">
      <w:pPr>
        <w:spacing w:line="480" w:lineRule="auto"/>
        <w:rPr>
          <w:highlight w:val="white"/>
        </w:rPr>
      </w:pPr>
      <w:r>
        <w:t xml:space="preserve">We used </w:t>
      </w:r>
      <w:proofErr w:type="spellStart"/>
      <w:r>
        <w:t>geomorph</w:t>
      </w:r>
      <w:proofErr w:type="spellEnd"/>
      <w:r>
        <w:t xml:space="preserve">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w:t>
      </w:r>
      <w:r w:rsidR="00A81B39">
        <w:lastRenderedPageBreak/>
        <w:t xml:space="preserve">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59D50E05"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proofErr w:type="spellStart"/>
      <w:r w:rsidR="000E694B">
        <w:rPr>
          <w:i/>
          <w:highlight w:val="white"/>
        </w:rPr>
        <w:t>geomorph</w:t>
      </w:r>
      <w:proofErr w:type="spellEnd"/>
      <w:r w:rsidR="000E694B">
        <w:rPr>
          <w:highlight w:val="white"/>
        </w:rPr>
        <w:t xml:space="preserve"> function </w:t>
      </w:r>
      <w:proofErr w:type="spellStart"/>
      <w:r w:rsidR="000E694B">
        <w:rPr>
          <w:i/>
          <w:highlight w:val="white"/>
        </w:rPr>
        <w:t>globalIntegration</w:t>
      </w:r>
      <w:proofErr w:type="spellEnd"/>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 </w:instrText>
      </w:r>
      <w:r w:rsidR="0014692A">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EN.CITE.DATA </w:instrText>
      </w:r>
      <w:r w:rsidR="0014692A">
        <w:fldChar w:fldCharType="end"/>
      </w:r>
      <w:r w:rsidR="000E694B" w:rsidRPr="00573D24">
        <w:fldChar w:fldCharType="separate"/>
      </w:r>
      <w:r w:rsidR="0014692A">
        <w:rPr>
          <w:noProof/>
        </w:rPr>
        <w:t>(Bookstein, 2015; e.g. Evans</w:t>
      </w:r>
      <w:r w:rsidR="0014692A" w:rsidRPr="0014692A">
        <w:rPr>
          <w:i/>
          <w:noProof/>
        </w:rPr>
        <w:t xml:space="preserve"> et al.</w:t>
      </w:r>
      <w:r w:rsidR="0014692A">
        <w:rPr>
          <w:noProof/>
        </w:rPr>
        <w:t>, 2017; Sansalone</w:t>
      </w:r>
      <w:r w:rsidR="0014692A" w:rsidRPr="0014692A">
        <w:rPr>
          <w:i/>
          <w:noProof/>
        </w:rPr>
        <w:t xml:space="preserve"> et al.</w:t>
      </w:r>
      <w:r w:rsidR="0014692A">
        <w:rPr>
          <w:noProof/>
        </w:rPr>
        <w:t>, 2019; Young</w:t>
      </w:r>
      <w:r w:rsidR="0014692A" w:rsidRPr="0014692A">
        <w:rPr>
          <w:i/>
          <w:noProof/>
        </w:rPr>
        <w:t xml:space="preserve"> et al.</w:t>
      </w:r>
      <w:r w:rsidR="0014692A">
        <w:rPr>
          <w:noProof/>
        </w:rPr>
        <w:t>, 2017)</w:t>
      </w:r>
      <w:r w:rsidR="000E694B" w:rsidRPr="00573D24">
        <w:fldChar w:fldCharType="end"/>
      </w:r>
      <w:r w:rsidR="000E694B">
        <w:rPr>
          <w:highlight w:val="white"/>
        </w:rPr>
        <w:t xml:space="preserve">. The null expectation of self-similarity would give a regression slope of -1 so if the slope is steeper – i.e. greater absolute </w:t>
      </w:r>
      <w:r w:rsidR="000E694B">
        <w:rPr>
          <w:highlight w:val="white"/>
        </w:rPr>
        <w:lastRenderedPageBreak/>
        <w:t>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77777777" w:rsidR="00D37864" w:rsidRDefault="00D37864">
      <w:pPr>
        <w:spacing w:line="480" w:lineRule="auto"/>
        <w:rPr>
          <w:highlight w:val="white"/>
        </w:rPr>
      </w:pP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w:t>
      </w:r>
      <w:proofErr w:type="spellStart"/>
      <w:r w:rsidR="00AA6F15">
        <w:t>Uhlenbeck</w:t>
      </w:r>
      <w:proofErr w:type="spellEnd"/>
      <w:r w:rsidR="00AA6F15">
        <w:t xml:space="preserve">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w:t>
            </w:r>
            <w:proofErr w:type="spellStart"/>
            <w:r w:rsidR="00E00B56">
              <w:rPr>
                <w:rFonts w:ascii="Calibri" w:hAnsi="Calibri" w:cs="Calibri"/>
                <w:color w:val="000000"/>
                <w:sz w:val="22"/>
                <w:szCs w:val="22"/>
                <w:lang w:val="en-AU" w:eastAsia="en-AU"/>
              </w:rPr>
              <w:t>Uhlenbeck</w:t>
            </w:r>
            <w:proofErr w:type="spellEnd"/>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proofErr w:type="spellStart"/>
      <w:r>
        <w:t>Generalised</w:t>
      </w:r>
      <w:proofErr w:type="spellEnd"/>
      <w:r>
        <w:t xml:space="preserve"> or Akaike Information criterion scores (GIC/AIC) and W-scores of relative probabilities </w:t>
      </w:r>
      <w:r w:rsidR="00BF36EE">
        <w:t xml:space="preserve">of different modes of evolution </w:t>
      </w:r>
      <w:r>
        <w:t xml:space="preserve">for models of shape, log- transformed centroid size, and shape evolution with </w:t>
      </w:r>
      <w:proofErr w:type="gramStart"/>
      <w:r>
        <w:t>log(</w:t>
      </w:r>
      <w:proofErr w:type="gramEnd"/>
      <w:r>
        <w:t xml:space="preserve">centroid size) as predictor variable. </w:t>
      </w:r>
    </w:p>
    <w:p w14:paraId="28DA6030" w14:textId="77777777" w:rsidR="00F17323" w:rsidRDefault="00F17323" w:rsidP="00F560B0">
      <w:pPr>
        <w:spacing w:line="480" w:lineRule="auto"/>
      </w:pPr>
    </w:p>
    <w:p w14:paraId="70D44E49" w14:textId="69E1E8F0"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w:t>
      </w:r>
      <w:r>
        <w:lastRenderedPageBreak/>
        <w:t xml:space="preserve">shape from both models using Two-Block Partial Least Squares. In both cases, the </w:t>
      </w:r>
      <w:r w:rsidR="00994273">
        <w:t>r-PLS value was 1, suggesting t</w:t>
      </w:r>
      <w:r w:rsidR="00F02BB5">
        <w:t>hat no substantial difference to BM-based analyses is to be expected</w:t>
      </w:r>
      <w:r w:rsidR="00B27788">
        <w:t>.</w:t>
      </w:r>
    </w:p>
    <w:p w14:paraId="02D5B299" w14:textId="77777777" w:rsidR="000E7AF4" w:rsidRPr="00E00B56" w:rsidRDefault="000E7AF4" w:rsidP="00F560B0">
      <w:pPr>
        <w:spacing w:line="480" w:lineRule="auto"/>
      </w:pPr>
    </w:p>
    <w:p w14:paraId="6D649EBB" w14:textId="77777777" w:rsidR="000E7AF4" w:rsidRDefault="000E7AF4" w:rsidP="000E7AF4">
      <w:pPr>
        <w:pStyle w:val="Heading3"/>
        <w:numPr>
          <w:ilvl w:val="2"/>
          <w:numId w:val="2"/>
        </w:numPr>
        <w:spacing w:line="480" w:lineRule="auto"/>
      </w:pPr>
      <w:proofErr w:type="spellStart"/>
      <w:r>
        <w:t>Phylo</w:t>
      </w:r>
      <w:proofErr w:type="spellEnd"/>
      <w:r>
        <w:t>-morphological distance</w:t>
      </w:r>
    </w:p>
    <w:p w14:paraId="482A5ECC" w14:textId="18FD10D8" w:rsidR="000E7AF4" w:rsidRDefault="000E7AF4" w:rsidP="000E7AF4">
      <w:pPr>
        <w:spacing w:line="480" w:lineRule="auto"/>
      </w:pPr>
      <w:r>
        <w:t xml:space="preserve">Our </w:t>
      </w:r>
      <w:proofErr w:type="spellStart"/>
      <w:r>
        <w:t>phylo</w:t>
      </w:r>
      <w:proofErr w:type="spellEnd"/>
      <w:r>
        <w:t xml:space="preserve">-morphological distance plots (Fig. </w:t>
      </w:r>
      <w:r w:rsidR="00D0603F">
        <w:t>1</w:t>
      </w:r>
      <w:r>
        <w:t xml:space="preserve">)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w:t>
      </w:r>
      <w:r w:rsidR="00D0603F">
        <w:t>1a</w:t>
      </w:r>
      <w:r>
        <w:t xml:space="preserve">).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w:t>
      </w:r>
      <w:r w:rsidR="00D0603F">
        <w:t>1</w:t>
      </w:r>
      <w:r>
        <w:t xml:space="preserve">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01238AB1" w14:textId="2864A2F0" w:rsidR="000E7AF4" w:rsidRDefault="000E7AF4" w:rsidP="00D0603F">
      <w:pPr>
        <w:spacing w:line="480" w:lineRule="auto"/>
        <w:ind w:firstLine="720"/>
      </w:pPr>
      <w:r>
        <w:lastRenderedPageBreak/>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w:t>
      </w:r>
      <w:r w:rsidR="00D0603F">
        <w:t>1</w:t>
      </w:r>
      <w:r>
        <w:t xml:space="preserve">b). If the semiaquatic species are ignored, the remaining dataset’s maximum distances appear around 3.1 Ma, or pairwise comparisons between hopping </w:t>
      </w:r>
      <w:r>
        <w:rPr>
          <w:i/>
        </w:rPr>
        <w:t>Notomys</w:t>
      </w:r>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lastRenderedPageBreak/>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t xml:space="preserve">Figure </w:t>
      </w:r>
      <w:r w:rsidR="00127236">
        <w:rPr>
          <w:b/>
          <w:color w:val="000000"/>
        </w:rPr>
        <w:t>1</w:t>
      </w:r>
      <w:r>
        <w:rPr>
          <w:b/>
          <w:color w:val="000000"/>
        </w:rPr>
        <w:t xml:space="preserve">: </w:t>
      </w:r>
      <w:proofErr w:type="spellStart"/>
      <w:r>
        <w:rPr>
          <w:bCs/>
          <w:color w:val="000000"/>
        </w:rPr>
        <w:t>Phylo</w:t>
      </w:r>
      <w:proofErr w:type="spellEnd"/>
      <w:r>
        <w:rPr>
          <w:bCs/>
          <w:color w:val="000000"/>
        </w:rPr>
        <w:t>-morphological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664675F9" w14:textId="01EE8164" w:rsidR="008922AE" w:rsidRDefault="00000000">
      <w:pPr>
        <w:pStyle w:val="Heading3"/>
        <w:numPr>
          <w:ilvl w:val="2"/>
          <w:numId w:val="2"/>
        </w:numPr>
        <w:spacing w:line="480" w:lineRule="auto"/>
      </w:pPr>
      <w:bookmarkStart w:id="8" w:name="_heading=h.4d34og8"/>
      <w:bookmarkEnd w:id="8"/>
      <w:r>
        <w:t>Principal component</w:t>
      </w:r>
      <w:r w:rsidR="00D37864">
        <w:t>s</w:t>
      </w:r>
      <w:r>
        <w:t xml:space="preserve"> </w:t>
      </w:r>
      <w:proofErr w:type="gramStart"/>
      <w:r>
        <w:t>analyses</w:t>
      </w:r>
      <w:proofErr w:type="gramEnd"/>
    </w:p>
    <w:p w14:paraId="3828C78B" w14:textId="5DD34F0A" w:rsidR="008922AE" w:rsidRDefault="00C248A2">
      <w:pPr>
        <w:spacing w:line="480" w:lineRule="auto"/>
      </w:pPr>
      <w:r>
        <w:t>Comparing the variation and species distribution from the first two Principal Components (</w:t>
      </w:r>
      <w:proofErr w:type="gramStart"/>
      <w:r>
        <w:t>PC)  of</w:t>
      </w:r>
      <w:proofErr w:type="gramEnd"/>
      <w:r>
        <w:t xml:space="preserve"> the full and residual datasets shows that the removal of allometric shape variation substantially reduces the amount of variation in the dataset that is aligned with PC1 (26% vs. 52%). PC2 axes captured similar percentages of shape variation (14.5% and </w:t>
      </w:r>
      <w:r w:rsidR="00D0603F">
        <w:t>19.8</w:t>
      </w:r>
      <w:r>
        <w:t>%,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w:t>
      </w:r>
      <w:r w:rsidR="002B000F">
        <w:lastRenderedPageBreak/>
        <w:t xml:space="preserve">resembles the pattern along the residual shape PC1 (Fig. </w:t>
      </w:r>
      <w:r w:rsidR="00D0603F">
        <w:t xml:space="preserve">2 </w:t>
      </w:r>
      <w:r w:rsidR="002B000F">
        <w:t xml:space="preserve">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 xml:space="preserve">was removed, the relative positioning of species and the shape variation associated with the first two PCs remain similar (Fig. </w:t>
      </w:r>
      <w:r w:rsidR="00BF1D5C">
        <w:t>2</w:t>
      </w:r>
      <w:r w:rsidR="001D5FD2">
        <w:t>c</w:t>
      </w:r>
      <w:r>
        <w:t xml:space="preserve"> vs. </w:t>
      </w:r>
      <w:r w:rsidR="001D5FD2">
        <w:t>d</w:t>
      </w:r>
      <w:r>
        <w:t xml:space="preserve">). </w:t>
      </w:r>
    </w:p>
    <w:p w14:paraId="421BC090" w14:textId="77777777" w:rsidR="0043398A" w:rsidRDefault="0043398A">
      <w:pPr>
        <w:spacing w:line="480" w:lineRule="auto"/>
      </w:pPr>
    </w:p>
    <w:p w14:paraId="48D0E5DB" w14:textId="5F9FA1C1"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w:t>
      </w:r>
      <w:r w:rsidR="00BF1D5C">
        <w:t>2</w:t>
      </w:r>
      <w:r w:rsidR="00491B6E">
        <w:t xml:space="preserve">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w:t>
      </w:r>
      <w:r w:rsidR="00BF780A">
        <w:t>2c</w:t>
      </w:r>
      <w:r>
        <w:t>). T</w:t>
      </w:r>
      <w:r w:rsidR="00BF780A">
        <w:t xml:space="preserve">wo species of specializing in the </w:t>
      </w:r>
      <w:r w:rsidR="00D0603F">
        <w:t>consumption of grasses</w:t>
      </w:r>
      <w:r>
        <w:t>, the broad-toothed rat (</w:t>
      </w:r>
      <w:proofErr w:type="spellStart"/>
      <w:r>
        <w:rPr>
          <w:i/>
        </w:rPr>
        <w:t>Mastacomys</w:t>
      </w:r>
      <w:proofErr w:type="spellEnd"/>
      <w:r>
        <w:rPr>
          <w:i/>
        </w:rPr>
        <w:t xml:space="preserve"> </w:t>
      </w:r>
      <w:proofErr w:type="spellStart"/>
      <w:r>
        <w:rPr>
          <w:i/>
        </w:rPr>
        <w:t>fuscus</w:t>
      </w:r>
      <w:proofErr w:type="spellEnd"/>
      <w:r>
        <w:t>)</w:t>
      </w:r>
      <w:r w:rsidR="00BF780A">
        <w:t xml:space="preserve"> and XXX, are separated by low PC</w:t>
      </w:r>
      <w:r>
        <w:t xml:space="preserve"> All of the specialists along these extremes are in the </w:t>
      </w:r>
      <w:proofErr w:type="spellStart"/>
      <w:r>
        <w:rPr>
          <w:i/>
          <w:iCs/>
        </w:rPr>
        <w:t>Pseudomys</w:t>
      </w:r>
      <w:proofErr w:type="spellEnd"/>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40F6E1AD" w:rsidR="008922AE" w:rsidRDefault="00824F7A" w:rsidP="0075257D">
      <w:pPr>
        <w:spacing w:line="480" w:lineRule="auto"/>
      </w:pPr>
      <w:bookmarkStart w:id="9" w:name="_heading=h.2s8eyo1"/>
      <w:r>
        <w:rPr>
          <w:noProof/>
        </w:rPr>
        <w:lastRenderedPageBreak/>
        <w:drawing>
          <wp:inline distT="0" distB="0" distL="0" distR="0" wp14:anchorId="5A3C7899" wp14:editId="72B8DB5C">
            <wp:extent cx="5943600" cy="4874895"/>
            <wp:effectExtent l="0" t="0" r="0" b="1905"/>
            <wp:docPr id="491382312"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312" name="Picture 1" descr="A group of graphs with different colored squares&#10;&#10;Description automatically generated"/>
                    <pic:cNvPicPr/>
                  </pic:nvPicPr>
                  <pic:blipFill>
                    <a:blip r:embed="rId11"/>
                    <a:stretch>
                      <a:fillRect/>
                    </a:stretch>
                  </pic:blipFill>
                  <pic:spPr>
                    <a:xfrm>
                      <a:off x="0" y="0"/>
                      <a:ext cx="5943600" cy="4874895"/>
                    </a:xfrm>
                    <a:prstGeom prst="rect">
                      <a:avLst/>
                    </a:prstGeom>
                  </pic:spPr>
                </pic:pic>
              </a:graphicData>
            </a:graphic>
          </wp:inline>
        </w:drawing>
      </w:r>
    </w:p>
    <w:p w14:paraId="38275DEF" w14:textId="53795BFD" w:rsidR="00BF6875" w:rsidRPr="00824F7A" w:rsidRDefault="00000000" w:rsidP="00BF6875">
      <w:pPr>
        <w:spacing w:after="200"/>
        <w:rPr>
          <w:iCs/>
        </w:rPr>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824F7A">
        <w:t xml:space="preserve"> with</w:t>
      </w:r>
      <w:r w:rsidR="00824F7A">
        <w:rPr>
          <w:iCs/>
        </w:rPr>
        <w:t xml:space="preserve"> </w:t>
      </w:r>
      <w:r w:rsidR="00824F7A">
        <w:rPr>
          <w:i/>
        </w:rPr>
        <w:t xml:space="preserve">Notomys </w:t>
      </w:r>
      <w:r w:rsidR="00824F7A">
        <w:rPr>
          <w:iCs/>
        </w:rPr>
        <w:t xml:space="preserve">genus, </w:t>
      </w:r>
      <w:r w:rsidR="00824F7A">
        <w:rPr>
          <w:i/>
        </w:rPr>
        <w:t>Conilurus penicillatus</w:t>
      </w:r>
      <w:r w:rsidR="00824F7A">
        <w:rPr>
          <w:iCs/>
        </w:rPr>
        <w:t xml:space="preserve">, and </w:t>
      </w:r>
      <w:proofErr w:type="spellStart"/>
      <w:r w:rsidR="00824F7A">
        <w:rPr>
          <w:i/>
        </w:rPr>
        <w:t>M</w:t>
      </w:r>
      <w:r w:rsidR="00824F7A">
        <w:rPr>
          <w:i/>
        </w:rPr>
        <w:t>astacomys</w:t>
      </w:r>
      <w:proofErr w:type="spellEnd"/>
      <w:r w:rsidR="00824F7A">
        <w:rPr>
          <w:i/>
        </w:rPr>
        <w:t xml:space="preserve"> </w:t>
      </w:r>
      <w:proofErr w:type="spellStart"/>
      <w:r w:rsidR="00824F7A">
        <w:rPr>
          <w:i/>
        </w:rPr>
        <w:t>fuscus</w:t>
      </w:r>
      <w:proofErr w:type="spellEnd"/>
      <w:r w:rsidR="00824F7A">
        <w:rPr>
          <w:i/>
        </w:rPr>
        <w:t xml:space="preserve"> </w:t>
      </w:r>
      <w:r w:rsidR="00824F7A">
        <w:rPr>
          <w:iCs/>
        </w:rPr>
        <w:t>highlighted</w:t>
      </w:r>
      <w:r w:rsidR="00824F7A">
        <w:rPr>
          <w:iCs/>
        </w:rPr>
        <w:t>;</w:t>
      </w:r>
      <w:r w:rsidR="00824F7A">
        <w:rPr>
          <w:iCs/>
        </w:rPr>
        <w:t xml:space="preserve"> </w:t>
      </w:r>
      <w:r>
        <w:rPr>
          <w:bCs/>
        </w:rPr>
        <w:t>d,</w:t>
      </w:r>
      <w:r>
        <w:t xml:space="preserve"> shape residual dataset without </w:t>
      </w:r>
      <w:r>
        <w:rPr>
          <w:i/>
        </w:rPr>
        <w:t>Notomys</w:t>
      </w:r>
      <w:r w:rsidR="00F8733B">
        <w:rPr>
          <w:iCs/>
        </w:rPr>
        <w:t>, which mainly just switches the sign of the PC scores</w:t>
      </w:r>
      <w:r w:rsidR="00BF6875">
        <w:rPr>
          <w:i/>
        </w:rPr>
        <w:t>.</w:t>
      </w:r>
      <w:r w:rsidR="00824F7A">
        <w:rPr>
          <w:i/>
        </w:rPr>
        <w:t xml:space="preserve"> </w:t>
      </w:r>
    </w:p>
    <w:p w14:paraId="4FA34F04" w14:textId="77777777" w:rsidR="008922AE" w:rsidRDefault="008922AE">
      <w:pPr>
        <w:spacing w:after="200"/>
      </w:pPr>
    </w:p>
    <w:p w14:paraId="57B7E920" w14:textId="77777777" w:rsidR="00D37864" w:rsidRDefault="00D37864">
      <w:pPr>
        <w:spacing w:after="200"/>
      </w:pPr>
    </w:p>
    <w:p w14:paraId="471B3C9F" w14:textId="77777777" w:rsidR="008922AE" w:rsidRDefault="00000000" w:rsidP="003266F8">
      <w:pPr>
        <w:pStyle w:val="Heading3"/>
        <w:numPr>
          <w:ilvl w:val="0"/>
          <w:numId w:val="0"/>
        </w:numPr>
        <w:spacing w:line="480" w:lineRule="auto"/>
      </w:pPr>
      <w:bookmarkStart w:id="10" w:name="_heading=h.17dp8vu"/>
      <w:bookmarkEnd w:id="10"/>
      <w:r>
        <w:t>Landmark heatmaps</w:t>
      </w:r>
    </w:p>
    <w:p w14:paraId="7AF17660" w14:textId="0F8EAAD1"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(Fig. 2a-c). </w:t>
      </w:r>
      <w:r w:rsidR="00EC6815">
        <w:t>Predicted shapes for</w:t>
      </w:r>
      <w:r>
        <w:t xml:space="preserve"> 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 xml:space="preserve">clearly </w:t>
      </w:r>
      <w:r w:rsidR="00EC6815">
        <w:lastRenderedPageBreak/>
        <w:t>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3659928E" w:rsidR="008922AE" w:rsidRDefault="00000000">
      <w:pPr>
        <w:spacing w:after="200"/>
        <w:rPr>
          <w:i/>
          <w:iCs/>
        </w:rPr>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spellStart"/>
      <w:proofErr w:type="gramStart"/>
      <w:r>
        <w:t>comparison,and</w:t>
      </w:r>
      <w:proofErr w:type="spellEnd"/>
      <w:proofErr w:type="gramEnd"/>
      <w:r>
        <w:t xml:space="preserve">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 xml:space="preserve">P. </w:t>
      </w:r>
      <w:proofErr w:type="spellStart"/>
      <w:r>
        <w:rPr>
          <w:i/>
          <w:iCs/>
        </w:rPr>
        <w:t>delicatulus</w:t>
      </w:r>
      <w:proofErr w:type="spellEnd"/>
      <w:r>
        <w:rPr>
          <w:i/>
          <w:iCs/>
        </w:rPr>
        <w:t>)</w:t>
      </w:r>
      <w:r>
        <w:t xml:space="preserve"> to the largest (</w:t>
      </w:r>
      <w:r>
        <w:rPr>
          <w:i/>
          <w:iCs/>
        </w:rPr>
        <w:t xml:space="preserve">U. </w:t>
      </w:r>
      <w:proofErr w:type="spellStart"/>
      <w:r>
        <w:rPr>
          <w:i/>
          <w:iCs/>
        </w:rPr>
        <w:t>caudimaculatus</w:t>
      </w:r>
      <w:proofErr w:type="spellEnd"/>
      <w:r>
        <w:rPr>
          <w:i/>
          <w:iCs/>
        </w:rPr>
        <w:t>)</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3840A092" w:rsidR="008922AE" w:rsidRPr="006A14F8" w:rsidRDefault="004D0A02">
      <w:pPr>
        <w:spacing w:line="480" w:lineRule="auto"/>
      </w:pPr>
      <w:r>
        <w:t>As expected</w:t>
      </w:r>
      <w:r w:rsidR="00263DD3">
        <w:t>,</w:t>
      </w:r>
      <w:r>
        <w:t xml:space="preserve"> removing the </w:t>
      </w:r>
      <w:r w:rsidR="00491B6E">
        <w:t xml:space="preserve">shape variation that </w:t>
      </w:r>
      <w:r>
        <w:t>covar</w:t>
      </w:r>
      <w:r w:rsidR="00491B6E">
        <w:t>ies</w:t>
      </w:r>
      <w:r>
        <w:t xml:space="preserve"> with size (Fig. 2d-f) also removed </w:t>
      </w:r>
      <w:r w:rsidR="00263DD3">
        <w:t>the CREA-aligned</w:t>
      </w:r>
      <w:r>
        <w:t xml:space="preserve"> gracilization pattern. Species closer to the PC1 minimum then show ventral flexion of the rostrum and anteroventral movement of the foramen magnum (Fig. 2d). However, the allometry-free PC2 heatmaps with all species highlighted shape patterns resemble </w:t>
      </w:r>
      <w:r w:rsidR="00A44BA0">
        <w:t>some of 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 xml:space="preserve">with the PC1/2 plots of </w:t>
      </w:r>
      <w:r w:rsidR="00A44BA0">
        <w:lastRenderedPageBreak/>
        <w:t>Fig. 1, the</w:t>
      </w:r>
      <w:r>
        <w:t xml:space="preserve"> result showed similar regions of variation (Fig. 2f)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1F5B9904" w14:textId="77777777" w:rsidR="008922AE" w:rsidRDefault="00000000">
      <w:pPr>
        <w:pStyle w:val="Heading3"/>
        <w:numPr>
          <w:ilvl w:val="0"/>
          <w:numId w:val="0"/>
        </w:numPr>
        <w:spacing w:line="480" w:lineRule="auto"/>
        <w:ind w:firstLine="720"/>
      </w:pPr>
      <w:bookmarkStart w:id="15" w:name="_heading=h.lnxbz9"/>
      <w:bookmarkEnd w:id="15"/>
      <w:r>
        <w:t>Modularity and integration</w:t>
      </w:r>
    </w:p>
    <w:p w14:paraId="184AAB1A" w14:textId="2D8D536D" w:rsidR="00263DD3" w:rsidRPr="00D678AA" w:rsidRDefault="00000000" w:rsidP="00491B6E">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w:t>
      </w:r>
      <w:proofErr w:type="gramStart"/>
      <w:r>
        <w:t xml:space="preserve">and </w:t>
      </w:r>
      <w:r w:rsidR="00F74A54">
        <w:t xml:space="preserve"> </w:t>
      </w:r>
      <w:proofErr w:type="spellStart"/>
      <w:r w:rsidR="00F74A54">
        <w:t>and</w:t>
      </w:r>
      <w:proofErr w:type="spellEnd"/>
      <w:proofErr w:type="gramEnd"/>
      <w:r w:rsidR="00F74A54">
        <w:t xml:space="preserve"> higher </w:t>
      </w:r>
      <w:r>
        <w:t xml:space="preserve">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w:t>
      </w:r>
      <w:proofErr w:type="spellStart"/>
      <w:proofErr w:type="gramStart"/>
      <w:r>
        <w:t>b,d</w:t>
      </w:r>
      <w:proofErr w:type="spellEnd"/>
      <w:proofErr w:type="gramEnd"/>
      <w:r>
        <w:t>) and shape residual (</w:t>
      </w:r>
      <w:proofErr w:type="spellStart"/>
      <w:r>
        <w:t>c,e</w:t>
      </w:r>
      <w:proofErr w:type="spellEnd"/>
      <w:r>
        <w:t>)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6C73B1FE" w14:textId="64E11FCB" w:rsidR="00491B6E"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 This strong association seems to capture the emphasis of the allometric pattern on concomitant rostral elongation with narrowing of the vault (Fig. 2).</w:t>
      </w:r>
      <w:r w:rsidR="00014915">
        <w:t xml:space="preserve"> Furthermore, the orbital region has high integration values relative to both rostrum and vault, consistent with our prediction that orbital size might also play a role in the evolution of allometric variation. Lastly, a strong association between the rostrum and the basicranium is notable and was not part of our predictions. </w:t>
      </w:r>
    </w:p>
    <w:p w14:paraId="7EE9EF1E" w14:textId="3A088045" w:rsidR="007F3B28" w:rsidRDefault="005B661F">
      <w:pPr>
        <w:spacing w:line="480" w:lineRule="auto"/>
      </w:pPr>
      <w:r>
        <w:t xml:space="preserve">Removal of size resulted in several </w:t>
      </w:r>
      <w:r w:rsidR="000B6A67">
        <w:t>changes</w:t>
      </w:r>
      <w:r>
        <w:t xml:space="preserve"> in </w:t>
      </w:r>
      <w:r w:rsidR="000B6A67">
        <w:t>r-pls values</w:t>
      </w:r>
      <w:r>
        <w:t>,</w:t>
      </w:r>
      <w:r w:rsidR="003E4105">
        <w:t xml:space="preserve"> but not </w:t>
      </w:r>
      <w:proofErr w:type="gramStart"/>
      <w:r w:rsidR="003E4105">
        <w:t>all of</w:t>
      </w:r>
      <w:proofErr w:type="gramEnd"/>
      <w:r w:rsidR="003E4105">
        <w:t xml:space="preserve"> these related to reduced integration and only some were</w:t>
      </w:r>
      <w:r>
        <w:t xml:space="preserve"> detected as significant differences in integration strength (Table 2).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 xml:space="preserve">followed by a more moderate drop in r-PLS value between vault and </w:t>
      </w:r>
      <w:proofErr w:type="gramStart"/>
      <w:r w:rsidR="000B6A67">
        <w:t>orbi</w:t>
      </w:r>
      <w:r w:rsidR="0034292C">
        <w:t>ts  and</w:t>
      </w:r>
      <w:proofErr w:type="gramEnd"/>
      <w:r w:rsidR="0034292C">
        <w:t xml:space="preserve">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732DA8F6" w14:textId="77777777" w:rsidR="007F3B28" w:rsidRDefault="007F3B28">
      <w:r>
        <w:br w:type="page"/>
      </w:r>
    </w:p>
    <w:p w14:paraId="28F12AB4" w14:textId="54123CB8" w:rsidR="00491B6E" w:rsidRDefault="007F3B28" w:rsidP="007F3B28">
      <w:r>
        <w:rPr>
          <w:b/>
          <w:bCs/>
        </w:rPr>
        <w:lastRenderedPageBreak/>
        <w:t xml:space="preserve">Table </w:t>
      </w:r>
      <w:r w:rsidR="00127236">
        <w:rPr>
          <w:b/>
          <w:bCs/>
        </w:rPr>
        <w:t>2</w:t>
      </w:r>
      <w:r>
        <w:rPr>
          <w:b/>
          <w:bCs/>
        </w:rPr>
        <w:t xml:space="preserve">: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For P-value tables, see </w:t>
      </w:r>
      <w:r w:rsidRPr="00BF18AC">
        <w:rPr>
          <w:b/>
          <w:bCs/>
        </w:rPr>
        <w:t>Supplementary 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2E88304A" w14:textId="77777777" w:rsidR="007F3B28" w:rsidRDefault="007F3B28" w:rsidP="007F3B28"/>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491B6E" w:rsidRPr="00B4519F" w14:paraId="00039079" w14:textId="77777777" w:rsidTr="00E40BB6">
        <w:trPr>
          <w:trHeight w:val="290"/>
        </w:trPr>
        <w:tc>
          <w:tcPr>
            <w:tcW w:w="1418" w:type="dxa"/>
            <w:tcBorders>
              <w:bottom w:val="single" w:sz="4" w:space="0" w:color="BFBFBF" w:themeColor="background1" w:themeShade="BF"/>
            </w:tcBorders>
            <w:noWrap/>
            <w:hideMark/>
          </w:tcPr>
          <w:p w14:paraId="46FFF8D5" w14:textId="77777777" w:rsidR="00491B6E" w:rsidRPr="00B4519F" w:rsidRDefault="00491B6E" w:rsidP="00863A43">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64F9DB1E" w14:textId="732C11C2"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605802A3" w14:textId="5AB2657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2B6A00E8" w14:textId="2A24458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1CB18805" w14:textId="3A4241FF"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61BBE315" w14:textId="34BB1946"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B4519F" w:rsidRPr="00B4519F" w14:paraId="1C15BE18" w14:textId="77777777" w:rsidTr="00E40BB6">
        <w:trPr>
          <w:trHeight w:val="290"/>
        </w:trPr>
        <w:tc>
          <w:tcPr>
            <w:tcW w:w="1418" w:type="dxa"/>
            <w:tcBorders>
              <w:right w:val="single" w:sz="4" w:space="0" w:color="auto"/>
            </w:tcBorders>
            <w:noWrap/>
            <w:hideMark/>
          </w:tcPr>
          <w:p w14:paraId="23CA1E64" w14:textId="663E034D"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1BFCB12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48251021" w14:textId="067F304D"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50E893D9" w14:textId="6EBE80A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057CC381" w14:textId="35FF782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r w:rsidR="00A71B05" w:rsidRPr="00B4519F">
              <w:rPr>
                <w:rFonts w:asciiTheme="minorHAnsi" w:hAnsiTheme="minorHAnsi" w:cstheme="minorHAnsi"/>
                <w:sz w:val="22"/>
                <w:szCs w:val="22"/>
                <w:lang w:val="en-AU" w:eastAsia="en-AU"/>
              </w:rPr>
              <w:t>↓</w:t>
            </w:r>
          </w:p>
        </w:tc>
        <w:tc>
          <w:tcPr>
            <w:tcW w:w="1417" w:type="dxa"/>
            <w:tcBorders>
              <w:top w:val="single" w:sz="4" w:space="0" w:color="auto"/>
            </w:tcBorders>
            <w:noWrap/>
            <w:hideMark/>
          </w:tcPr>
          <w:p w14:paraId="1E64CCE9" w14:textId="6DA61A6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r w:rsidR="00A71B05" w:rsidRPr="00B4519F">
              <w:rPr>
                <w:rFonts w:asciiTheme="minorHAnsi" w:hAnsiTheme="minorHAnsi" w:cstheme="minorHAnsi"/>
                <w:sz w:val="22"/>
                <w:szCs w:val="22"/>
                <w:lang w:val="en-AU" w:eastAsia="en-AU"/>
              </w:rPr>
              <w:t>↑</w:t>
            </w:r>
          </w:p>
        </w:tc>
      </w:tr>
      <w:tr w:rsidR="00491B6E" w:rsidRPr="00B4519F" w14:paraId="6CE6CFDF" w14:textId="77777777" w:rsidTr="00E40BB6">
        <w:trPr>
          <w:trHeight w:val="290"/>
        </w:trPr>
        <w:tc>
          <w:tcPr>
            <w:tcW w:w="1418" w:type="dxa"/>
            <w:tcBorders>
              <w:right w:val="single" w:sz="4" w:space="0" w:color="auto"/>
            </w:tcBorders>
            <w:noWrap/>
            <w:hideMark/>
          </w:tcPr>
          <w:p w14:paraId="092A6215" w14:textId="5FA6B7F4"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3A017E6B"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65BB0F3"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6A05190" w14:textId="55C9270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w:t>
            </w:r>
            <w:r w:rsidR="00A71B05" w:rsidRPr="00B4519F">
              <w:rPr>
                <w:rFonts w:asciiTheme="minorHAnsi" w:hAnsiTheme="minorHAnsi" w:cstheme="minorHAnsi"/>
                <w:sz w:val="22"/>
                <w:szCs w:val="22"/>
                <w:lang w:val="en-AU" w:eastAsia="en-AU"/>
              </w:rPr>
              <w:t xml:space="preserve"> ↓</w:t>
            </w:r>
          </w:p>
        </w:tc>
        <w:tc>
          <w:tcPr>
            <w:tcW w:w="1134" w:type="dxa"/>
            <w:noWrap/>
            <w:hideMark/>
          </w:tcPr>
          <w:p w14:paraId="2F65E1BF" w14:textId="6987F66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r w:rsidR="00A71B05" w:rsidRPr="00B4519F">
              <w:rPr>
                <w:rFonts w:asciiTheme="minorHAnsi" w:hAnsiTheme="minorHAnsi" w:cstheme="minorHAnsi"/>
                <w:sz w:val="22"/>
                <w:szCs w:val="22"/>
                <w:lang w:val="en-AU" w:eastAsia="en-AU"/>
              </w:rPr>
              <w:t>↑</w:t>
            </w:r>
          </w:p>
        </w:tc>
        <w:tc>
          <w:tcPr>
            <w:tcW w:w="1417" w:type="dxa"/>
            <w:noWrap/>
            <w:hideMark/>
          </w:tcPr>
          <w:p w14:paraId="72922D75" w14:textId="050CF27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r w:rsidR="00A71B05" w:rsidRPr="00B4519F">
              <w:rPr>
                <w:rFonts w:asciiTheme="minorHAnsi" w:hAnsiTheme="minorHAnsi" w:cstheme="minorHAnsi"/>
                <w:sz w:val="22"/>
                <w:szCs w:val="22"/>
                <w:lang w:val="en-AU" w:eastAsia="en-AU"/>
              </w:rPr>
              <w:t>↓</w:t>
            </w:r>
          </w:p>
        </w:tc>
      </w:tr>
      <w:tr w:rsidR="00B4519F" w:rsidRPr="00B4519F" w14:paraId="6190A2FC" w14:textId="77777777" w:rsidTr="00E40BB6">
        <w:trPr>
          <w:trHeight w:val="290"/>
        </w:trPr>
        <w:tc>
          <w:tcPr>
            <w:tcW w:w="1418" w:type="dxa"/>
            <w:tcBorders>
              <w:right w:val="single" w:sz="4" w:space="0" w:color="auto"/>
            </w:tcBorders>
            <w:noWrap/>
            <w:hideMark/>
          </w:tcPr>
          <w:p w14:paraId="6DC18D47" w14:textId="0D9545E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3555D2F5"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88AC5B7" w14:textId="40A9B1EA"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w:t>
            </w:r>
            <w:r w:rsidR="00CA4AD8" w:rsidRPr="00B4519F">
              <w:rPr>
                <w:rFonts w:asciiTheme="minorHAnsi" w:hAnsiTheme="minorHAnsi" w:cstheme="minorHAnsi"/>
                <w:sz w:val="22"/>
                <w:szCs w:val="22"/>
                <w:lang w:val="en-AU" w:eastAsia="en-AU"/>
              </w:rPr>
              <w:t>0</w:t>
            </w:r>
          </w:p>
        </w:tc>
        <w:tc>
          <w:tcPr>
            <w:tcW w:w="1134" w:type="dxa"/>
            <w:shd w:val="clear" w:color="auto" w:fill="D0CECE" w:themeFill="background2" w:themeFillShade="E6"/>
            <w:noWrap/>
            <w:hideMark/>
          </w:tcPr>
          <w:p w14:paraId="3ECFC69C"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4403334D" w14:textId="34AC8C52"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r w:rsidR="00A71B05" w:rsidRPr="00B4519F">
              <w:rPr>
                <w:rFonts w:asciiTheme="minorHAnsi" w:hAnsiTheme="minorHAnsi" w:cstheme="minorHAnsi"/>
                <w:sz w:val="22"/>
                <w:szCs w:val="22"/>
                <w:lang w:val="en-AU" w:eastAsia="en-AU"/>
              </w:rPr>
              <w:t>↓</w:t>
            </w:r>
          </w:p>
        </w:tc>
        <w:tc>
          <w:tcPr>
            <w:tcW w:w="1417" w:type="dxa"/>
            <w:noWrap/>
            <w:hideMark/>
          </w:tcPr>
          <w:p w14:paraId="49D3E8A3" w14:textId="77CC988E"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r w:rsidR="00A71B05" w:rsidRPr="00B4519F">
              <w:rPr>
                <w:rFonts w:asciiTheme="minorHAnsi" w:hAnsiTheme="minorHAnsi" w:cstheme="minorHAnsi"/>
                <w:sz w:val="22"/>
                <w:szCs w:val="22"/>
                <w:lang w:val="en-AU" w:eastAsia="en-AU"/>
              </w:rPr>
              <w:t>↓</w:t>
            </w:r>
          </w:p>
        </w:tc>
      </w:tr>
      <w:tr w:rsidR="00491B6E" w:rsidRPr="00B4519F" w14:paraId="3A3AE91A" w14:textId="77777777" w:rsidTr="00E40BB6">
        <w:trPr>
          <w:trHeight w:val="290"/>
        </w:trPr>
        <w:tc>
          <w:tcPr>
            <w:tcW w:w="1418" w:type="dxa"/>
            <w:tcBorders>
              <w:right w:val="single" w:sz="4" w:space="0" w:color="auto"/>
            </w:tcBorders>
            <w:noWrap/>
            <w:hideMark/>
          </w:tcPr>
          <w:p w14:paraId="04C97B5C" w14:textId="5F9B132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408E3BC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2B984CD0"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0CC78349"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5D043214"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050209B4" w14:textId="76861D78"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r w:rsidR="00A71B05" w:rsidRPr="00B4519F">
              <w:rPr>
                <w:rFonts w:asciiTheme="minorHAnsi" w:hAnsiTheme="minorHAnsi" w:cstheme="minorHAnsi"/>
                <w:sz w:val="22"/>
                <w:szCs w:val="22"/>
                <w:lang w:val="en-AU" w:eastAsia="en-AU"/>
              </w:rPr>
              <w:t>↓</w:t>
            </w:r>
          </w:p>
        </w:tc>
      </w:tr>
      <w:tr w:rsidR="00B4519F" w:rsidRPr="00B4519F" w14:paraId="7F740E0A" w14:textId="77777777" w:rsidTr="00E40BB6">
        <w:trPr>
          <w:trHeight w:val="290"/>
        </w:trPr>
        <w:tc>
          <w:tcPr>
            <w:tcW w:w="1418" w:type="dxa"/>
            <w:tcBorders>
              <w:right w:val="single" w:sz="4" w:space="0" w:color="auto"/>
            </w:tcBorders>
            <w:noWrap/>
            <w:hideMark/>
          </w:tcPr>
          <w:p w14:paraId="010D5275" w14:textId="54178C70"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7720F4F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4662BD37"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5501B461"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3D71DF6E"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549551E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224B90E4" w14:textId="77777777" w:rsidR="00491B6E" w:rsidRDefault="00491B6E" w:rsidP="00491B6E">
      <w:pPr>
        <w:rPr>
          <w:b/>
          <w:bCs/>
        </w:rPr>
      </w:pPr>
    </w:p>
    <w:p w14:paraId="1BF35676" w14:textId="44685A9D" w:rsidR="005B661F" w:rsidRDefault="007F3B28" w:rsidP="007F3B28">
      <w:r>
        <w:rPr>
          <w:b/>
          <w:bCs/>
        </w:rPr>
        <w:t xml:space="preserve">Table </w:t>
      </w:r>
      <w:r w:rsidR="00127236">
        <w:rPr>
          <w:b/>
          <w:bCs/>
        </w:rPr>
        <w:t>3</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108" w:type="dxa"/>
        <w:tblLook w:val="04A0" w:firstRow="1" w:lastRow="0" w:firstColumn="1" w:lastColumn="0" w:noHBand="0" w:noVBand="1"/>
      </w:tblPr>
      <w:tblGrid>
        <w:gridCol w:w="2127"/>
        <w:gridCol w:w="653"/>
        <w:gridCol w:w="1189"/>
        <w:gridCol w:w="1418"/>
        <w:gridCol w:w="721"/>
      </w:tblGrid>
      <w:tr w:rsidR="005B661F" w:rsidRPr="005B661F" w14:paraId="61CA3C28" w14:textId="77777777" w:rsidTr="00B4519F">
        <w:trPr>
          <w:trHeight w:val="290"/>
        </w:trPr>
        <w:tc>
          <w:tcPr>
            <w:tcW w:w="2127"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B4519F">
        <w:trPr>
          <w:trHeight w:val="290"/>
        </w:trPr>
        <w:tc>
          <w:tcPr>
            <w:tcW w:w="2127" w:type="dxa"/>
            <w:tcBorders>
              <w:top w:val="single" w:sz="4" w:space="0" w:color="auto"/>
            </w:tcBorders>
            <w:noWrap/>
            <w:hideMark/>
          </w:tcPr>
          <w:p w14:paraId="2672A9FE"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B4519F">
        <w:trPr>
          <w:trHeight w:val="290"/>
        </w:trPr>
        <w:tc>
          <w:tcPr>
            <w:tcW w:w="2127" w:type="dxa"/>
            <w:noWrap/>
            <w:hideMark/>
          </w:tcPr>
          <w:p w14:paraId="2947FB00"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B4519F">
        <w:trPr>
          <w:trHeight w:val="290"/>
        </w:trPr>
        <w:tc>
          <w:tcPr>
            <w:tcW w:w="2127" w:type="dxa"/>
            <w:noWrap/>
            <w:hideMark/>
          </w:tcPr>
          <w:p w14:paraId="61491186"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B4519F">
        <w:trPr>
          <w:trHeight w:val="290"/>
        </w:trPr>
        <w:tc>
          <w:tcPr>
            <w:tcW w:w="2127" w:type="dxa"/>
            <w:noWrap/>
            <w:hideMark/>
          </w:tcPr>
          <w:p w14:paraId="230DFAA4" w14:textId="77777777" w:rsidR="005B661F" w:rsidRPr="005B661F" w:rsidRDefault="005B661F" w:rsidP="005B661F">
            <w:pPr>
              <w:suppressAutoHyphens w:val="0"/>
              <w:rPr>
                <w:rFonts w:ascii="Calibri" w:hAnsi="Calibri" w:cs="Calibri"/>
                <w:b/>
                <w:bCs/>
                <w:color w:val="000000"/>
                <w:sz w:val="22"/>
                <w:szCs w:val="22"/>
                <w:lang w:val="en-AU" w:eastAsia="en-AU"/>
              </w:rPr>
            </w:pPr>
            <w:proofErr w:type="spellStart"/>
            <w:r w:rsidRPr="005B661F">
              <w:rPr>
                <w:rFonts w:ascii="Calibri" w:hAnsi="Calibri" w:cs="Calibri"/>
                <w:b/>
                <w:bCs/>
                <w:color w:val="000000"/>
                <w:sz w:val="22"/>
                <w:szCs w:val="22"/>
                <w:lang w:val="en-AU" w:eastAsia="en-AU"/>
              </w:rPr>
              <w:t>basicran</w:t>
            </w:r>
            <w:proofErr w:type="spellEnd"/>
            <w:r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B4519F">
        <w:trPr>
          <w:trHeight w:val="290"/>
        </w:trPr>
        <w:tc>
          <w:tcPr>
            <w:tcW w:w="2127"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B4519F">
        <w:trPr>
          <w:trHeight w:val="290"/>
        </w:trPr>
        <w:tc>
          <w:tcPr>
            <w:tcW w:w="2127"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B4519F">
        <w:trPr>
          <w:trHeight w:val="290"/>
        </w:trPr>
        <w:tc>
          <w:tcPr>
            <w:tcW w:w="2127"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B4519F">
        <w:trPr>
          <w:trHeight w:val="290"/>
        </w:trPr>
        <w:tc>
          <w:tcPr>
            <w:tcW w:w="2127"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B4519F">
        <w:trPr>
          <w:trHeight w:val="290"/>
        </w:trPr>
        <w:tc>
          <w:tcPr>
            <w:tcW w:w="2127"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B4519F">
        <w:trPr>
          <w:trHeight w:val="290"/>
        </w:trPr>
        <w:tc>
          <w:tcPr>
            <w:tcW w:w="2127"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1797DA9B"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Table 3</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4)</w:t>
      </w:r>
      <w:r w:rsidR="00F637F6">
        <w:t xml:space="preserve">; while remaining nearly all significant (meaning that the distribution of species in PC morphospaces remains more similar than expected at random), all partition comparisons had lower Mantel r statistics after the removal of size, with </w:t>
      </w:r>
      <w:r w:rsidR="00F637F6">
        <w:lastRenderedPageBreak/>
        <w:t>exception of the rostrum/molar comparison which remained nearly unchanged in both the CR-based modularity assessment (Table 3) and the Mantel tests</w:t>
      </w:r>
      <w:r w:rsidR="007F3B28">
        <w:t xml:space="preserve"> (Table 4)</w:t>
      </w:r>
      <w:r w:rsidR="00F637F6">
        <w:t xml:space="preserve">. </w:t>
      </w:r>
    </w:p>
    <w:p w14:paraId="6100281D" w14:textId="67A2A762" w:rsidR="002173F8" w:rsidRDefault="007F3B28" w:rsidP="007F3B28">
      <w:r>
        <w:rPr>
          <w:b/>
          <w:bCs/>
        </w:rPr>
        <w:t xml:space="preserve">Table </w:t>
      </w:r>
      <w:r w:rsidR="00127236">
        <w:rPr>
          <w:b/>
          <w:bCs/>
        </w:rPr>
        <w:t>4</w:t>
      </w:r>
      <w:r>
        <w:rPr>
          <w:b/>
          <w:bCs/>
        </w:rPr>
        <w:t xml:space="preserve">: </w:t>
      </w:r>
      <w:r>
        <w:t>phylogenetically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2AF27E2C" w:rsidR="008922AE" w:rsidRDefault="00000000" w:rsidP="00D37864">
      <w:pPr>
        <w:spacing w:after="200"/>
        <w:rPr>
          <w:b/>
          <w:bCs/>
        </w:rPr>
      </w:pPr>
      <w:bookmarkStart w:id="18" w:name="_heading=h.1ksv4uv"/>
      <w:bookmarkEnd w:id="18"/>
      <w:r>
        <w:rPr>
          <w:b/>
          <w:color w:val="000000"/>
        </w:rPr>
        <w:t xml:space="preserve">Table </w:t>
      </w:r>
      <w:r w:rsidR="00127236">
        <w:rPr>
          <w:b/>
          <w:color w:val="000000"/>
        </w:rPr>
        <w:t>5</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165FB2D4" w14:textId="77777777" w:rsidR="008922AE" w:rsidRDefault="008922AE">
      <w:pPr>
        <w:spacing w:line="480" w:lineRule="auto"/>
        <w:rPr>
          <w:b/>
        </w:rPr>
      </w:pPr>
    </w:p>
    <w:p w14:paraId="1BDD33D7" w14:textId="64F3F4F6" w:rsidR="008922AE" w:rsidRDefault="00000000" w:rsidP="00D37864">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375E3967" w14:textId="77777777" w:rsidR="008922AE" w:rsidRDefault="008922AE">
      <w:pPr>
        <w:spacing w:line="480" w:lineRule="auto"/>
      </w:pPr>
    </w:p>
    <w:p w14:paraId="053EAD22" w14:textId="6C478D29" w:rsidR="00BB4074" w:rsidRDefault="00000000">
      <w:pPr>
        <w:spacing w:line="480" w:lineRule="auto"/>
      </w:pPr>
      <w:r>
        <w:t xml:space="preserve">In this study, </w:t>
      </w:r>
      <w:r w:rsidR="005D171E">
        <w:t xml:space="preserve">we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in the clade, with its own signatures of shape divergence, ordinated variation, and significant levels of integration.</w:t>
      </w:r>
    </w:p>
    <w:p w14:paraId="61A98234" w14:textId="77777777" w:rsidR="00AF057B" w:rsidRDefault="00D37864" w:rsidP="00AF057B">
      <w:pPr>
        <w:spacing w:line="480" w:lineRule="auto"/>
        <w:ind w:firstLine="720"/>
      </w:pPr>
      <w:r>
        <w:t xml:space="preserve">As expected, the evolution of murid cranial shape is consistent with </w:t>
      </w:r>
      <w:r w:rsidR="00AF59F6">
        <w:t xml:space="preserve">our </w:t>
      </w:r>
      <w:r w:rsidR="00E5650C">
        <w:t>expectation</w:t>
      </w:r>
      <w:r w:rsidR="00AF59F6">
        <w:t xml:space="preserve"> that cranial shape evolves around an optimal configuration according to an</w:t>
      </w:r>
      <w:r>
        <w:t xml:space="preserve"> Ornstein-</w:t>
      </w:r>
      <w:proofErr w:type="spellStart"/>
      <w:r>
        <w:t>Uhlenbeck</w:t>
      </w:r>
      <w:proofErr w:type="spellEnd"/>
      <w:r>
        <w:t xml:space="preserve"> </w:t>
      </w:r>
      <w:r w:rsidR="00C76B4F">
        <w:t xml:space="preserve">(OU) </w:t>
      </w:r>
      <w:r>
        <w:t>process</w:t>
      </w:r>
      <w:r w:rsidR="00AF59F6">
        <w:t xml:space="preserve">. </w:t>
      </w:r>
      <w:r w:rsidR="003B404E">
        <w:t xml:space="preserve">This supports the hypothesis that the shape variation in the full dataset is under stabilizing selection according to size. Notably, the OU mode of the full shape </w:t>
      </w:r>
      <w:r w:rsidR="00AF59F6">
        <w:t>is not</w:t>
      </w:r>
      <w:r w:rsidR="003B404E">
        <w:t xml:space="preserve"> merely a consequence of </w:t>
      </w:r>
      <w:r w:rsidR="00AF59F6">
        <w:t xml:space="preserve">OU-dominated </w:t>
      </w:r>
      <w:r w:rsidR="003B404E">
        <w:t xml:space="preserve">size </w:t>
      </w:r>
      <w:proofErr w:type="gramStart"/>
      <w:r w:rsidR="003B404E">
        <w:t>evolution</w:t>
      </w:r>
      <w:r w:rsidR="00AF59F6">
        <w:t>,</w:t>
      </w:r>
      <w:r w:rsidR="00AF057B">
        <w:t xml:space="preserve"> </w:t>
      </w:r>
      <w:r w:rsidR="00AF59F6">
        <w:t>since</w:t>
      </w:r>
      <w:proofErr w:type="gramEnd"/>
      <w:r w:rsidR="00AF59F6">
        <w:t xml:space="preserve"> centroid size</w:t>
      </w:r>
      <w:r w:rsidR="003B404E">
        <w:t>s</w:t>
      </w:r>
      <w:r w:rsidR="00AF59F6">
        <w:t xml:space="preserve"> more likely evolve according to Brownian Motion</w:t>
      </w:r>
      <w:r w:rsidR="003B404E">
        <w:t>.</w:t>
      </w:r>
      <w:r w:rsidR="00E5650C">
        <w:t xml:space="preserve"> </w:t>
      </w:r>
      <w:r w:rsidR="00AF057B">
        <w:t xml:space="preserve">Intriguingly, the greater likelihood of OU in the evolution of residual shape suggests that non-allometric shape variation is under either stabilizing selection or a constraint on shape. </w:t>
      </w:r>
    </w:p>
    <w:p w14:paraId="5BE129DB" w14:textId="39467FF9" w:rsidR="00D37864" w:rsidRDefault="00AF057B" w:rsidP="00684B6D">
      <w:pPr>
        <w:spacing w:line="480" w:lineRule="auto"/>
        <w:ind w:firstLine="720"/>
      </w:pPr>
      <w:r>
        <w:t xml:space="preserve">While the statistical assessment of evolutionary mode has limited power due to our relatively small sample sizes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AF057B">
        <w:rPr>
          <w:i/>
          <w:noProof/>
        </w:rPr>
        <w:t xml:space="preserve"> et al.</w:t>
      </w:r>
      <w:r>
        <w:rPr>
          <w:noProof/>
        </w:rPr>
        <w:t>, 2016)</w:t>
      </w:r>
      <w:r>
        <w:fldChar w:fldCharType="end"/>
      </w:r>
      <w:r>
        <w:t xml:space="preserve">, our </w:t>
      </w:r>
      <w:proofErr w:type="spellStart"/>
      <w:r>
        <w:t>visualisations</w:t>
      </w:r>
      <w:proofErr w:type="spellEnd"/>
      <w:r>
        <w:t xml:space="preserve"> of shape divergence </w:t>
      </w:r>
      <w:r w:rsidR="00684B6D">
        <w:t>also shows “spikes” of divergence in otherwise limited morphospace (as demonstrated by a plateau of diversification after 4.2-5.7 million years), consistent with a mean-shift Ornstein-</w:t>
      </w:r>
      <w:proofErr w:type="spellStart"/>
      <w:r w:rsidR="00684B6D">
        <w:t>Uhlenbeck</w:t>
      </w:r>
      <w:proofErr w:type="spellEnd"/>
      <w:r w:rsidR="00684B6D">
        <w:t xml:space="preserve"> process of limited diversification around a local optimum </w:t>
      </w:r>
      <w:r w:rsidR="00684B6D">
        <w:fldChar w:fldCharType="begin"/>
      </w:r>
      <w:r w:rsidR="00684B6D">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684B6D">
        <w:fldChar w:fldCharType="separate"/>
      </w:r>
      <w:r w:rsidR="00684B6D">
        <w:rPr>
          <w:noProof/>
        </w:rPr>
        <w:t>(Harmon</w:t>
      </w:r>
      <w:r w:rsidR="00684B6D" w:rsidRPr="004550BE">
        <w:rPr>
          <w:i/>
          <w:noProof/>
        </w:rPr>
        <w:t xml:space="preserve"> et al.</w:t>
      </w:r>
      <w:r w:rsidR="00684B6D">
        <w:rPr>
          <w:noProof/>
        </w:rPr>
        <w:t>, 2010)</w:t>
      </w:r>
      <w:r w:rsidR="00684B6D">
        <w:fldChar w:fldCharType="end"/>
      </w:r>
      <w:r w:rsidR="00684B6D">
        <w:t>. Additionally, the plots provide</w:t>
      </w:r>
      <w:r>
        <w:t xml:space="preserve"> useful hypotheses of how the asymptotic divergence pattern over time – reflective of OU processes – arise. In both full and residual datasets, the plots </w:t>
      </w:r>
      <w:r w:rsidR="003B404E">
        <w:t xml:space="preserve">reinforce the </w:t>
      </w:r>
      <w:r w:rsidR="003B404E">
        <w:lastRenderedPageBreak/>
        <w:t xml:space="preserve">concept of rodent skulls evolving around an optimal shape unless a substantial change in either size or cranial function evolves. Consistent with this, the maximum divergences </w:t>
      </w:r>
      <w:r>
        <w:t xml:space="preserve">in the full dataset </w:t>
      </w:r>
      <w:r w:rsidR="003B404E">
        <w:t xml:space="preserve">correspond with our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sidR="003B404E">
        <w:rPr>
          <w:i/>
        </w:rPr>
        <w:t>Notomys</w:t>
      </w:r>
      <w:r w:rsidR="003B404E">
        <w:t xml:space="preserve"> likely reflects </w:t>
      </w:r>
      <w:r>
        <w:t>a</w:t>
      </w:r>
      <w:r w:rsidR="003B404E">
        <w:t xml:space="preserve"> change in the genus-level allometric multidimensional intercept</w:t>
      </w:r>
      <w:r>
        <w:t xml:space="preserve"> (see below)</w:t>
      </w:r>
      <w:r w:rsidR="003B404E">
        <w:t xml:space="preserve">. </w:t>
      </w:r>
    </w:p>
    <w:p w14:paraId="4B1B4CCA" w14:textId="0D1C148E" w:rsidR="005D171E" w:rsidRDefault="00FE5C11" w:rsidP="00684B6D">
      <w:pPr>
        <w:spacing w:line="480" w:lineRule="auto"/>
        <w:ind w:firstLine="720"/>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w:t>
      </w:r>
      <w:r w:rsidRPr="00FE5C11">
        <w:t xml:space="preserve"> </w:t>
      </w:r>
      <w:r>
        <w:t>However, t</w:t>
      </w:r>
      <w:r w:rsidR="00D7787B">
        <w:t>he whole</w:t>
      </w:r>
      <w:r w:rsidR="005D171E">
        <w:t xml:space="preserve"> cranium and all but one pair of modules within the cranium remain significantly </w:t>
      </w:r>
      <w:r w:rsidR="00D7787B">
        <w:t xml:space="preserve">and sometimes more </w:t>
      </w:r>
      <w:r w:rsidR="005D171E">
        <w:t>integrated</w:t>
      </w:r>
      <w:r w:rsidR="00366596">
        <w:t xml:space="preserve"> </w:t>
      </w:r>
      <w:r w:rsidR="00D7787B">
        <w:t>after removal of allometry</w:t>
      </w:r>
      <w:r>
        <w:t>, confirming our expectation that allometric patterns are just one manifestation of this stabilizing selection.</w:t>
      </w:r>
      <w:r w:rsidR="00366596">
        <w:t xml:space="preserve"> </w:t>
      </w:r>
      <w:r w:rsidR="00A253B7">
        <w:t xml:space="preserve">This agrees with the observation that rodents occupy a highly distinct, slowly-evolving area in the morphospace of placental crania </w:t>
      </w:r>
      <w:r w:rsidR="00A253B7">
        <w:fldChar w:fldCharType="begin"/>
      </w:r>
      <w:r w:rsidR="00A253B7">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A253B7">
        <w:fldChar w:fldCharType="separate"/>
      </w:r>
      <w:r w:rsidR="00A253B7">
        <w:rPr>
          <w:noProof/>
        </w:rPr>
        <w:t>(Goswami</w:t>
      </w:r>
      <w:r w:rsidR="00A253B7" w:rsidRPr="004550BE">
        <w:rPr>
          <w:i/>
          <w:noProof/>
        </w:rPr>
        <w:t xml:space="preserve"> et al.</w:t>
      </w:r>
      <w:r w:rsidR="00A253B7">
        <w:rPr>
          <w:noProof/>
        </w:rPr>
        <w:t>, 2022)</w:t>
      </w:r>
      <w:r w:rsidR="00A253B7">
        <w:fldChar w:fldCharType="end"/>
      </w:r>
      <w:r>
        <w:t xml:space="preserve">, and </w:t>
      </w:r>
      <w:r w:rsidR="00A253B7">
        <w:t xml:space="preserve">highlights the importance of interpreting allometric patterns in the context of other variation, even when allometry explains the majority of shape variation </w:t>
      </w:r>
      <w:r w:rsidR="00A253B7">
        <w:fldChar w:fldCharType="begin"/>
      </w:r>
      <w:r w:rsidR="00A253B7">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A253B7">
        <w:fldChar w:fldCharType="separate"/>
      </w:r>
      <w:r w:rsidR="00A253B7">
        <w:rPr>
          <w:noProof/>
        </w:rPr>
        <w:t>(Mitchell</w:t>
      </w:r>
      <w:r w:rsidR="00A253B7" w:rsidRPr="004550BE">
        <w:rPr>
          <w:i/>
          <w:noProof/>
        </w:rPr>
        <w:t xml:space="preserve"> et al.</w:t>
      </w:r>
      <w:r w:rsidR="00A253B7">
        <w:rPr>
          <w:noProof/>
        </w:rPr>
        <w:t>, 2024)</w:t>
      </w:r>
      <w:r w:rsidR="00A253B7">
        <w:fldChar w:fldCharType="end"/>
      </w:r>
      <w:r w:rsidR="00A253B7">
        <w:t>.</w:t>
      </w:r>
      <w:r>
        <w:t xml:space="preserve"> </w:t>
      </w:r>
      <w:r w:rsidR="00366596">
        <w:t xml:space="preserve">A caveat here is that all cases where </w:t>
      </w:r>
      <w:r w:rsidR="00366596">
        <w:lastRenderedPageBreak/>
        <w:t>integration is significantly different between the full and the residual dataset include comparisons with the cranial vault,</w:t>
      </w:r>
      <w:r w:rsidR="00D7787B">
        <w:t xml:space="preserve"> </w:t>
      </w:r>
      <w:r w:rsidR="00FA7D66">
        <w:t>which could be an effect of the vault having the</w:t>
      </w:r>
      <w:r w:rsidR="00D7787B">
        <w:t xml:space="preserve"> largest number of landmarks</w:t>
      </w:r>
      <w:r w:rsidR="00366596">
        <w:t>; however</w:t>
      </w:r>
      <w:r w:rsidR="00D7787B">
        <w:t>, variation in the vault</w:t>
      </w:r>
      <w:r w:rsidR="00366596">
        <w:t xml:space="preserve"> is a feature of the first two PCs in the residual dataset (see below), suggesting that the</w:t>
      </w:r>
      <w:r w:rsidR="00F40A98">
        <w:t>se significance</w:t>
      </w:r>
      <w:r w:rsidR="00A253B7">
        <w:t>s</w:t>
      </w:r>
      <w:r w:rsidR="00366596">
        <w:t xml:space="preserve"> </w:t>
      </w:r>
      <w:r w:rsidR="00F40A98">
        <w:t>accurately reflect</w:t>
      </w:r>
      <w:r w:rsidR="00366596">
        <w:t xml:space="preserve"> </w:t>
      </w:r>
      <w:r w:rsidR="00FA7D66">
        <w:t xml:space="preserve">the residual </w:t>
      </w:r>
      <w:r w:rsidR="00366596">
        <w:t>variation</w:t>
      </w:r>
      <w:r w:rsidR="00A253B7">
        <w:t xml:space="preserve">. This </w:t>
      </w:r>
      <w:r>
        <w:t>is</w:t>
      </w:r>
      <w:r w:rsidR="00A253B7">
        <w:t xml:space="preserve"> particularly the case for the increased strength of integration between the vault and the basicranium, which features in the heatmap </w:t>
      </w:r>
      <w:proofErr w:type="spellStart"/>
      <w:r w:rsidR="00A253B7">
        <w:t>visualisations</w:t>
      </w:r>
      <w:proofErr w:type="spellEnd"/>
      <w:r w:rsidR="00A253B7">
        <w:t xml:space="preserve"> of both residual PC1 and PC2 and is discussed further below. </w:t>
      </w:r>
    </w:p>
    <w:p w14:paraId="7DAC2B49" w14:textId="3C086D15" w:rsidR="000E15A6" w:rsidRDefault="00FE5C11" w:rsidP="00684B6D">
      <w:pPr>
        <w:spacing w:line="480" w:lineRule="auto"/>
        <w:ind w:firstLine="720"/>
      </w:pPr>
      <w:r>
        <w:t xml:space="preserve">The Australian </w:t>
      </w:r>
      <w:proofErr w:type="spellStart"/>
      <w:r>
        <w:t>muroids</w:t>
      </w:r>
      <w:proofErr w:type="spellEnd"/>
      <w:r>
        <w:t xml:space="preserve"> in our sample display relatively few dietary </w:t>
      </w:r>
      <w:proofErr w:type="spellStart"/>
      <w:r>
        <w:t>specialisations</w:t>
      </w:r>
      <w:proofErr w:type="spellEnd"/>
      <w:r>
        <w:t xml:space="preserve">, but a focus on the distribution of these species in the full and residual shape morphospaces is consistent with known hypotheses of mammalian cranial evolution. </w:t>
      </w:r>
      <w:proofErr w:type="gramStart"/>
      <w:r>
        <w:t>In particular, removal</w:t>
      </w:r>
      <w:proofErr w:type="gramEnd"/>
      <w:r>
        <w:t xml:space="preserve"> of allometric scaling reveals</w:t>
      </w:r>
      <w:r w:rsidR="000E15A6">
        <w:t xml:space="preserve"> additional biomechanical sources of shape </w:t>
      </w:r>
      <w:r>
        <w:t>variation</w:t>
      </w:r>
      <w:r w:rsidR="00EE1CC5">
        <w:t>. Residual PC1 emphasizes</w:t>
      </w:r>
      <w:r w:rsidR="000E15A6">
        <w:t xml:space="preserve"> the angle at which the rostrum and incisors are situated relative to the remainder of the cranium</w:t>
      </w:r>
      <w:r w:rsidR="00380507">
        <w:t>. This</w:t>
      </w:r>
      <w:r w:rsidR="000E15A6">
        <w:t xml:space="preserve"> </w:t>
      </w:r>
      <w:r w:rsidR="00A21F2A">
        <w:t>will result</w:t>
      </w:r>
      <w:r w:rsidR="000E15A6">
        <w:t xml:space="preserve"> in a change</w:t>
      </w:r>
      <w:r w:rsidR="001F08AE">
        <w:t>d</w:t>
      </w:r>
      <w:r w:rsidR="000E15A6">
        <w:t xml:space="preserve"> </w:t>
      </w:r>
      <w:r w:rsidR="00A21F2A">
        <w:t>gape and leverage of incisor biting</w:t>
      </w:r>
      <w:r w:rsidR="00380507">
        <w:t xml:space="preserve">, an effect known </w:t>
      </w:r>
      <w:r w:rsidR="00866A5E">
        <w:t>to change gape and bite force in</w:t>
      </w:r>
      <w:r w:rsidR="00E92636">
        <w:t xml:space="preserve"> </w:t>
      </w:r>
      <w:r w:rsidR="00380507">
        <w:t>lower jaw of rodents</w:t>
      </w:r>
      <w:r w:rsidR="00866A5E">
        <w:t xml:space="preserve"> </w:t>
      </w:r>
      <w:r w:rsidR="00866A5E">
        <w:fldChar w:fldCharType="begin"/>
      </w:r>
      <w:r w:rsidR="00866A5E">
        <w:instrText xml:space="preserve"> ADDIN EN.CITE &lt;EndNote&gt;&lt;Cite&gt;&lt;Author&gt;Freeman&lt;/Author&gt;&lt;Year&gt;2008&lt;/Year&gt;&lt;RecNum&gt;64&lt;/RecNum&gt;&lt;DisplayText&gt;(Freeman &amp;amp; Lemen, 2008)&lt;/DisplayText&gt;&lt;record&gt;&lt;rec-number&gt;64&lt;/rec-number&gt;&lt;foreign-keys&gt;&lt;key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EndNote&gt;</w:instrText>
      </w:r>
      <w:r w:rsidR="00866A5E">
        <w:fldChar w:fldCharType="separate"/>
      </w:r>
      <w:r w:rsidR="00866A5E">
        <w:rPr>
          <w:noProof/>
        </w:rPr>
        <w:t>(Freeman &amp; Lemen, 2008)</w:t>
      </w:r>
      <w:r w:rsidR="00866A5E">
        <w:fldChar w:fldCharType="end"/>
      </w:r>
      <w:r w:rsidR="00A21F2A">
        <w:t>. The carnivorous species, whose crania are least adapted to the extensive gnawing action typical of other rodents, have the straightest rostra</w:t>
      </w:r>
      <w:r w:rsidR="00380507">
        <w:t xml:space="preserve"> resulting in </w:t>
      </w:r>
      <w:r w:rsidR="00A21F2A">
        <w:t xml:space="preserve">widest gape, which is consistent with the </w:t>
      </w:r>
      <w:r w:rsidR="008B4CD1">
        <w:t xml:space="preserve">benefits of larger gapes </w:t>
      </w:r>
      <w:r w:rsidR="00E92636">
        <w:t>in carnivorous rodents</w:t>
      </w:r>
      <w:r w:rsidR="008B4CD1">
        <w:t xml:space="preserve"> </w:t>
      </w:r>
      <w:r w:rsidR="008B4CD1">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 </w:instrText>
      </w:r>
      <w:r w:rsidR="00E9263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EN.CITE.DATA </w:instrText>
      </w:r>
      <w:r w:rsidR="00E92636">
        <w:fldChar w:fldCharType="end"/>
      </w:r>
      <w:r w:rsidR="008B4CD1">
        <w:fldChar w:fldCharType="separate"/>
      </w:r>
      <w:r w:rsidR="00E92636">
        <w:rPr>
          <w:noProof/>
        </w:rPr>
        <w:t>(Hennekam</w:t>
      </w:r>
      <w:r w:rsidR="00E92636" w:rsidRPr="00E92636">
        <w:rPr>
          <w:i/>
          <w:noProof/>
        </w:rPr>
        <w:t xml:space="preserve"> et al.</w:t>
      </w:r>
      <w:r w:rsidR="00E92636">
        <w:rPr>
          <w:noProof/>
        </w:rPr>
        <w:t>, 2020; Satoh &amp; Iwaku, 2006; Williams</w:t>
      </w:r>
      <w:r w:rsidR="00E92636" w:rsidRPr="00E92636">
        <w:rPr>
          <w:i/>
          <w:noProof/>
        </w:rPr>
        <w:t xml:space="preserve"> et al.</w:t>
      </w:r>
      <w:r w:rsidR="00E92636">
        <w:rPr>
          <w:noProof/>
        </w:rPr>
        <w:t>, 2009)</w:t>
      </w:r>
      <w:r w:rsidR="008B4CD1">
        <w:fldChar w:fldCharType="end"/>
      </w:r>
      <w:r w:rsidR="00A21F2A">
        <w:t>. By contrast, the specialized folivores score low on both the residual PC1 and 2, reflecting curved anterior rostra and</w:t>
      </w:r>
      <w:r w:rsidR="00323F8B">
        <w:t xml:space="preserve"> overall</w:t>
      </w:r>
      <w:r>
        <w:t xml:space="preserve"> smaller cranial </w:t>
      </w:r>
      <w:r w:rsidR="00323F8B">
        <w:t>vaults</w:t>
      </w:r>
      <w:r w:rsidR="00A21F2A">
        <w:t xml:space="preserve">. This </w:t>
      </w:r>
      <w:r w:rsidR="00EE1CC5">
        <w:t>reflects</w:t>
      </w:r>
      <w:r w:rsidR="00A21F2A">
        <w:t xml:space="preserve"> the wider skulls and dorsally shifted temporalis 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w:t>
      </w:r>
      <w:r w:rsidR="001F08AE">
        <w:lastRenderedPageBreak/>
        <w:t xml:space="preserve">determined by the toughest 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xml:space="preserve">, so that frequent consumption of hard seeds and insects by the desert-living hopping generalist species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cranial dimensions than expected for their size.</w:t>
      </w:r>
    </w:p>
    <w:p w14:paraId="329BCC41" w14:textId="2E144CC5" w:rsidR="002E42C0" w:rsidRDefault="00A21F2A" w:rsidP="007F6BB1">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e basicranium on 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encephalization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proofErr w:type="spellStart"/>
      <w:r w:rsidR="00323F8B">
        <w:rPr>
          <w:i/>
          <w:iCs/>
        </w:rPr>
        <w:t>Mastacomys</w:t>
      </w:r>
      <w:proofErr w:type="spellEnd"/>
      <w:r w:rsidR="00323F8B">
        <w:rPr>
          <w:i/>
          <w:iCs/>
        </w:rPr>
        <w:t xml:space="preserve"> </w:t>
      </w:r>
      <w:r w:rsidR="00323F8B">
        <w:t xml:space="preserve">(with a relatively small braincase) and </w:t>
      </w:r>
      <w:r w:rsidR="00323F8B">
        <w:rPr>
          <w:i/>
          <w:iCs/>
        </w:rPr>
        <w:t xml:space="preserve">Notomys </w:t>
      </w:r>
      <w:r w:rsidR="00323F8B">
        <w:t xml:space="preserve">(with a relatively large braincase) indeed have large residuals, despite having </w:t>
      </w:r>
      <w:r w:rsidR="002E42C0">
        <w:t>slopes of static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 </w:t>
      </w:r>
      <w:r w:rsidR="002E42C0">
        <w:fldChar w:fldCharType="begin"/>
      </w:r>
      <w:r w:rsidR="007F6BB1">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E42C0">
        <w:fldChar w:fldCharType="separate"/>
      </w:r>
      <w:r w:rsidR="007F6BB1">
        <w:rPr>
          <w:noProof/>
        </w:rPr>
        <w:t>(represented by the intercept differences of the allomeric slope; Mitchell</w:t>
      </w:r>
      <w:r w:rsidR="007F6BB1" w:rsidRPr="007F6BB1">
        <w:rPr>
          <w:i/>
          <w:noProof/>
        </w:rPr>
        <w:t xml:space="preserve"> et al.</w:t>
      </w:r>
      <w:r w:rsidR="007F6BB1">
        <w:rPr>
          <w:noProof/>
        </w:rPr>
        <w:t>, 2024)</w:t>
      </w:r>
      <w:r w:rsidR="002E42C0">
        <w:fldChar w:fldCharType="end"/>
      </w:r>
    </w:p>
    <w:p w14:paraId="4D8F6D67" w14:textId="46B7DCD7" w:rsidR="008922AE" w:rsidRDefault="00000000" w:rsidP="002E42C0">
      <w:pPr>
        <w:spacing w:line="480" w:lineRule="auto"/>
        <w:ind w:firstLine="720"/>
      </w:pPr>
      <w:r>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 xml:space="preserve">(Kemper 1989, Kraatz and Sherratt </w:t>
      </w:r>
      <w:r>
        <w:lastRenderedPageBreak/>
        <w:t>2016)</w:t>
      </w:r>
      <w:r>
        <w:fldChar w:fldCharType="end"/>
      </w:r>
      <w:r>
        <w:t xml:space="preserve">. However, despite its unusual shape, the rabbit rat still falls along the common allometric line, thus suggesting that stabilizing selection on mastication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r>
        <w:rPr>
          <w:i/>
        </w:rPr>
        <w:t>Notomys</w:t>
      </w:r>
      <w:r>
        <w:t xml:space="preserve"> species do not lie on the common allometric line, but this separation is because of their basicranium</w:t>
      </w:r>
      <w:r w:rsidR="002E42C0">
        <w:t xml:space="preserve"> and vault shape,</w:t>
      </w:r>
      <w:r>
        <w:t xml:space="preserve"> not their facial tilt. The inclusion of a facial tilt in </w:t>
      </w:r>
      <w:r>
        <w:rPr>
          <w:i/>
        </w:rPr>
        <w:t>Conilurus</w:t>
      </w:r>
      <w:r>
        <w:t xml:space="preserve"> and </w:t>
      </w:r>
      <w:r>
        <w:rPr>
          <w:i/>
        </w:rPr>
        <w:t>Notomys</w:t>
      </w:r>
      <w:r>
        <w:t xml:space="preserve"> within the common allometric pattern therefore </w:t>
      </w:r>
      <w:r w:rsidR="00317F8E">
        <w:t xml:space="preserve">confirms the hypothesis that CREA – patters related to specific parts of the cranium, without representing a constraint on the entire skull. </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4D894E2A"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lastRenderedPageBreak/>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41F33D36" w14:textId="3C3811AD" w:rsidR="00F6298A" w:rsidRPr="00F6298A" w:rsidRDefault="00751EC7" w:rsidP="00F6298A">
      <w:pPr>
        <w:pStyle w:val="EndNoteBibliography"/>
        <w:ind w:left="720" w:hanging="720"/>
        <w:rPr>
          <w:noProof/>
        </w:rPr>
      </w:pPr>
      <w:r>
        <w:fldChar w:fldCharType="begin"/>
      </w:r>
      <w:r>
        <w:instrText xml:space="preserve"> ADDIN EN.REFLIST </w:instrText>
      </w:r>
      <w:r>
        <w:fldChar w:fldCharType="separate"/>
      </w:r>
      <w:r w:rsidR="00F6298A" w:rsidRPr="00F6298A">
        <w:rPr>
          <w:noProof/>
        </w:rPr>
        <w:t xml:space="preserve">Adams, D. C. (2016). Evaluating modularity in morphometric data: challenges with the RV coefficient and a new test measure. </w:t>
      </w:r>
      <w:r w:rsidR="00F6298A" w:rsidRPr="00F6298A">
        <w:rPr>
          <w:i/>
          <w:noProof/>
        </w:rPr>
        <w:t>Methods in Ecology and Evolution, 7</w:t>
      </w:r>
      <w:r w:rsidR="00F6298A" w:rsidRPr="00F6298A">
        <w:rPr>
          <w:noProof/>
        </w:rPr>
        <w:t>(5), 565-572. doi:</w:t>
      </w:r>
      <w:hyperlink r:id="rId14" w:history="1">
        <w:r w:rsidR="00F6298A" w:rsidRPr="00F6298A">
          <w:rPr>
            <w:rStyle w:val="Hyperlink"/>
            <w:noProof/>
          </w:rPr>
          <w:t>https://doi.org/10.1111/2041-210X.12511</w:t>
        </w:r>
      </w:hyperlink>
    </w:p>
    <w:p w14:paraId="6D7949CA" w14:textId="77777777" w:rsidR="00F6298A" w:rsidRPr="00F6298A" w:rsidRDefault="00F6298A" w:rsidP="00F6298A">
      <w:pPr>
        <w:pStyle w:val="EndNoteBibliography"/>
        <w:ind w:left="720" w:hanging="720"/>
        <w:rPr>
          <w:noProof/>
        </w:rPr>
      </w:pPr>
      <w:r w:rsidRPr="00F6298A">
        <w:rPr>
          <w:noProof/>
        </w:rPr>
        <w:t xml:space="preserve">Adams, D. C., &amp; Collyer, M. L. (2016). On the comparison of the strength of morphological integration across morphometric datasets. </w:t>
      </w:r>
      <w:r w:rsidRPr="00F6298A">
        <w:rPr>
          <w:i/>
          <w:noProof/>
        </w:rPr>
        <w:t>Evolution, 70</w:t>
      </w:r>
      <w:r w:rsidRPr="00F6298A">
        <w:rPr>
          <w:noProof/>
        </w:rPr>
        <w:t xml:space="preserve">(11), 2623-2631. </w:t>
      </w:r>
    </w:p>
    <w:p w14:paraId="56667BB4" w14:textId="4B7B0D27" w:rsidR="00F6298A" w:rsidRPr="00F6298A" w:rsidRDefault="00F6298A" w:rsidP="00F6298A">
      <w:pPr>
        <w:pStyle w:val="EndNoteBibliography"/>
        <w:ind w:left="720" w:hanging="720"/>
        <w:rPr>
          <w:noProof/>
        </w:rPr>
      </w:pPr>
      <w:r w:rsidRPr="00F6298A">
        <w:rPr>
          <w:noProof/>
        </w:rPr>
        <w:t xml:space="preserve">Adams, D. C., &amp; Collyer, M. L. (2019). Comparing the strength of modular signal, and evaluating alternative modular hypotheses, using covariance ratio effect sizes with morphometric data. </w:t>
      </w:r>
      <w:r w:rsidRPr="00F6298A">
        <w:rPr>
          <w:i/>
          <w:noProof/>
        </w:rPr>
        <w:t>Evolution, 73</w:t>
      </w:r>
      <w:r w:rsidRPr="00F6298A">
        <w:rPr>
          <w:noProof/>
        </w:rPr>
        <w:t>(12), 2352-2367. doi:</w:t>
      </w:r>
      <w:hyperlink r:id="rId15" w:history="1">
        <w:r w:rsidRPr="00F6298A">
          <w:rPr>
            <w:rStyle w:val="Hyperlink"/>
            <w:noProof/>
          </w:rPr>
          <w:t>https://doi.org/10.1111/evo.13867</w:t>
        </w:r>
      </w:hyperlink>
    </w:p>
    <w:p w14:paraId="1BB48D1A" w14:textId="4DA3DCB6" w:rsidR="00F6298A" w:rsidRPr="00F6298A" w:rsidRDefault="00F6298A" w:rsidP="00F6298A">
      <w:pPr>
        <w:pStyle w:val="EndNoteBibliography"/>
        <w:ind w:left="720" w:hanging="720"/>
        <w:rPr>
          <w:noProof/>
        </w:rPr>
      </w:pPr>
      <w:r w:rsidRPr="00F6298A">
        <w:rPr>
          <w:noProof/>
        </w:rPr>
        <w:t xml:space="preserve">Adams, D. C., Collyer, M. L., Kaliontzopoulou, A., &amp; Baken, E. K. (2022). Geomorph: Software for geometric morphometric analyses. </w:t>
      </w:r>
      <w:r w:rsidRPr="00F6298A">
        <w:rPr>
          <w:i/>
          <w:noProof/>
        </w:rPr>
        <w:t xml:space="preserve">R package version 4.0.4. </w:t>
      </w:r>
      <w:hyperlink r:id="rId16" w:history="1">
        <w:r w:rsidRPr="00F6298A">
          <w:rPr>
            <w:rStyle w:val="Hyperlink"/>
            <w:i/>
            <w:noProof/>
          </w:rPr>
          <w:t>https://cran.r-project.org/package=geomorph</w:t>
        </w:r>
      </w:hyperlink>
      <w:r w:rsidRPr="00F6298A">
        <w:rPr>
          <w:noProof/>
        </w:rPr>
        <w:t xml:space="preserve">. </w:t>
      </w:r>
    </w:p>
    <w:p w14:paraId="094302BF" w14:textId="413ADAE4" w:rsidR="00F6298A" w:rsidRPr="00F6298A" w:rsidRDefault="00F6298A" w:rsidP="00F6298A">
      <w:pPr>
        <w:pStyle w:val="EndNoteBibliography"/>
        <w:ind w:left="720" w:hanging="720"/>
        <w:rPr>
          <w:noProof/>
        </w:rPr>
      </w:pPr>
      <w:r w:rsidRPr="00F6298A">
        <w:rPr>
          <w:noProof/>
        </w:rPr>
        <w:t xml:space="preserve">Adams, D. C., &amp; Felice, R. N. (2014). Assessing trait covariation and morphological integration on phylogenies using evolutionary covariance matrices. </w:t>
      </w:r>
      <w:r w:rsidRPr="00F6298A">
        <w:rPr>
          <w:i/>
          <w:noProof/>
        </w:rPr>
        <w:t>PLOS ONE, 9</w:t>
      </w:r>
      <w:r w:rsidRPr="00F6298A">
        <w:rPr>
          <w:noProof/>
        </w:rPr>
        <w:t>(4), e94335. doi:</w:t>
      </w:r>
      <w:hyperlink r:id="rId17" w:history="1">
        <w:r w:rsidRPr="00F6298A">
          <w:rPr>
            <w:rStyle w:val="Hyperlink"/>
            <w:noProof/>
          </w:rPr>
          <w:t>https://doi.org/10.1371/journal.pone.0094335</w:t>
        </w:r>
      </w:hyperlink>
    </w:p>
    <w:p w14:paraId="0B5FD7AB" w14:textId="77777777" w:rsidR="00F6298A" w:rsidRPr="00F6298A" w:rsidRDefault="00F6298A" w:rsidP="00F6298A">
      <w:pPr>
        <w:pStyle w:val="EndNoteBibliography"/>
        <w:ind w:left="720" w:hanging="720"/>
        <w:rPr>
          <w:noProof/>
        </w:rPr>
      </w:pPr>
      <w:r w:rsidRPr="00F6298A">
        <w:rPr>
          <w:noProof/>
        </w:rPr>
        <w:t xml:space="preserve">Aplin, K. P., &amp; Ford, F. (2014). Murine rodents: late but highly successful invaders. In H. H. T. Prins &amp; I. J. Gordon (Eds.), </w:t>
      </w:r>
      <w:r w:rsidRPr="00F6298A">
        <w:rPr>
          <w:i/>
          <w:noProof/>
        </w:rPr>
        <w:t>Invasion Biology and Ecological Theory: Insights from a Continent in Transformation</w:t>
      </w:r>
      <w:r w:rsidRPr="00F6298A">
        <w:rPr>
          <w:noProof/>
        </w:rPr>
        <w:t xml:space="preserve"> (pp. 196-240). Cambridge: Cambridge University Press.</w:t>
      </w:r>
    </w:p>
    <w:p w14:paraId="480E6BDF" w14:textId="66BFAEFE" w:rsidR="00F6298A" w:rsidRPr="00F6298A" w:rsidRDefault="00F6298A" w:rsidP="00F6298A">
      <w:pPr>
        <w:pStyle w:val="EndNoteBibliography"/>
        <w:ind w:left="720" w:hanging="720"/>
        <w:rPr>
          <w:noProof/>
        </w:rPr>
      </w:pPr>
      <w:r w:rsidRPr="00F6298A">
        <w:rPr>
          <w:noProof/>
        </w:rPr>
        <w:t xml:space="preserve">Baken, E. K., Collyer, M. L., Kaliontzopoulou, A., &amp; Adams, D. C. (2021). geomorph v4.0 and gmShiny: enhanced analytics and a new graphical interface for a comprehensive morphometric experience. </w:t>
      </w:r>
      <w:r w:rsidRPr="00F6298A">
        <w:rPr>
          <w:i/>
          <w:noProof/>
        </w:rPr>
        <w:t>Methods in Ecology and Evolution, 12</w:t>
      </w:r>
      <w:r w:rsidRPr="00F6298A">
        <w:rPr>
          <w:noProof/>
        </w:rPr>
        <w:t>, 2355-2363. doi:</w:t>
      </w:r>
      <w:hyperlink r:id="rId18" w:history="1">
        <w:r w:rsidRPr="00F6298A">
          <w:rPr>
            <w:rStyle w:val="Hyperlink"/>
            <w:noProof/>
          </w:rPr>
          <w:t>https://doi.org/10.1111/2041-210X.13723</w:t>
        </w:r>
      </w:hyperlink>
    </w:p>
    <w:p w14:paraId="04662AE4" w14:textId="30BDB50D" w:rsidR="00F6298A" w:rsidRPr="00F6298A" w:rsidRDefault="00F6298A" w:rsidP="00F6298A">
      <w:pPr>
        <w:pStyle w:val="EndNoteBibliography"/>
        <w:ind w:left="720" w:hanging="720"/>
        <w:rPr>
          <w:noProof/>
        </w:rPr>
      </w:pPr>
      <w:r w:rsidRPr="00F6298A">
        <w:rPr>
          <w:noProof/>
        </w:rPr>
        <w:t xml:space="preserve">Barbero, S., Teta, P., &amp; Cassini, G. H. (2023). An ecomorphological approach to the relationship between craniomandibular morphology and diet in sigmodontine rodents from central-eastern Argentina. </w:t>
      </w:r>
      <w:r w:rsidRPr="00F6298A">
        <w:rPr>
          <w:i/>
          <w:noProof/>
        </w:rPr>
        <w:t>Zoology, 156</w:t>
      </w:r>
      <w:r w:rsidRPr="00F6298A">
        <w:rPr>
          <w:noProof/>
        </w:rPr>
        <w:t>, 126066. doi:</w:t>
      </w:r>
      <w:hyperlink r:id="rId19" w:history="1">
        <w:r w:rsidRPr="00F6298A">
          <w:rPr>
            <w:rStyle w:val="Hyperlink"/>
            <w:noProof/>
          </w:rPr>
          <w:t>https://doi.org/10.1016/j.zool.2022.126066</w:t>
        </w:r>
      </w:hyperlink>
    </w:p>
    <w:p w14:paraId="5478E7B8" w14:textId="77777777" w:rsidR="00F6298A" w:rsidRPr="00F6298A" w:rsidRDefault="00F6298A" w:rsidP="00F6298A">
      <w:pPr>
        <w:pStyle w:val="EndNoteBibliography"/>
        <w:ind w:left="720" w:hanging="720"/>
        <w:rPr>
          <w:noProof/>
        </w:rPr>
      </w:pPr>
      <w:r w:rsidRPr="00F6298A">
        <w:rPr>
          <w:noProof/>
        </w:rPr>
        <w:t xml:space="preserve">Bonferroni, C. (1936). Teoria statistica delle classi e calcolo delle probabilita. </w:t>
      </w:r>
      <w:r w:rsidRPr="00F6298A">
        <w:rPr>
          <w:i/>
          <w:noProof/>
        </w:rPr>
        <w:t>Pubblicazioni del R Istituto Superiore di Scienze Economiche e Commericiali di Firenze, 8</w:t>
      </w:r>
      <w:r w:rsidRPr="00F6298A">
        <w:rPr>
          <w:noProof/>
        </w:rPr>
        <w:t xml:space="preserve">, 3-62. </w:t>
      </w:r>
    </w:p>
    <w:p w14:paraId="680E9DF8" w14:textId="1D27A704" w:rsidR="00F6298A" w:rsidRPr="00F6298A" w:rsidRDefault="00F6298A" w:rsidP="00F6298A">
      <w:pPr>
        <w:pStyle w:val="EndNoteBibliography"/>
        <w:ind w:left="720" w:hanging="720"/>
        <w:rPr>
          <w:noProof/>
        </w:rPr>
      </w:pPr>
      <w:r w:rsidRPr="00F6298A">
        <w:rPr>
          <w:noProof/>
        </w:rPr>
        <w:t xml:space="preserve">Bookstein, F. L. (2015). Integration, disintegration, and self-similarity: characterizing the scales of shape variation in landmark data. </w:t>
      </w:r>
      <w:r w:rsidRPr="00F6298A">
        <w:rPr>
          <w:i/>
          <w:noProof/>
        </w:rPr>
        <w:t>Evolutionary Biology, 42</w:t>
      </w:r>
      <w:r w:rsidRPr="00F6298A">
        <w:rPr>
          <w:noProof/>
        </w:rPr>
        <w:t>(4), 395-426. doi:</w:t>
      </w:r>
      <w:hyperlink r:id="rId20" w:history="1">
        <w:r w:rsidRPr="00F6298A">
          <w:rPr>
            <w:rStyle w:val="Hyperlink"/>
            <w:noProof/>
          </w:rPr>
          <w:t>https://doi.org/10.1007/s11692-015-9317-8</w:t>
        </w:r>
      </w:hyperlink>
    </w:p>
    <w:p w14:paraId="0D372530" w14:textId="77777777" w:rsidR="00F6298A" w:rsidRPr="00F6298A" w:rsidRDefault="00F6298A" w:rsidP="00F6298A">
      <w:pPr>
        <w:pStyle w:val="EndNoteBibliography"/>
        <w:ind w:left="720" w:hanging="720"/>
        <w:rPr>
          <w:noProof/>
        </w:rPr>
      </w:pPr>
      <w:r w:rsidRPr="00F6298A">
        <w:rPr>
          <w:noProof/>
        </w:rPr>
        <w:t xml:space="preserve">Breed, B., &amp; Ford, F. (2007). </w:t>
      </w:r>
      <w:r w:rsidRPr="00F6298A">
        <w:rPr>
          <w:i/>
          <w:noProof/>
        </w:rPr>
        <w:t>Native Mice and Rats</w:t>
      </w:r>
      <w:r w:rsidRPr="00F6298A">
        <w:rPr>
          <w:noProof/>
        </w:rPr>
        <w:t>.</w:t>
      </w:r>
    </w:p>
    <w:p w14:paraId="22279AD8" w14:textId="59979CDD" w:rsidR="00F6298A" w:rsidRPr="00F6298A" w:rsidRDefault="00F6298A" w:rsidP="00F6298A">
      <w:pPr>
        <w:pStyle w:val="EndNoteBibliography"/>
        <w:ind w:left="720" w:hanging="720"/>
        <w:rPr>
          <w:noProof/>
        </w:rPr>
      </w:pPr>
      <w:r w:rsidRPr="00F6298A">
        <w:rPr>
          <w:noProof/>
        </w:rPr>
        <w:t xml:space="preserve">Bright, J. A., Marugán-Lobón, J., Cobb, S. N., &amp; Rayfield, E. J. (2016). The shapes of bird beaks are highly controlled by nondietary factors. </w:t>
      </w:r>
      <w:r w:rsidRPr="00F6298A">
        <w:rPr>
          <w:i/>
          <w:noProof/>
        </w:rPr>
        <w:t>Proceedings of the National Academy of Sciences, 113</w:t>
      </w:r>
      <w:r w:rsidRPr="00F6298A">
        <w:rPr>
          <w:noProof/>
        </w:rPr>
        <w:t>(19), 5352-5357. doi:</w:t>
      </w:r>
      <w:hyperlink r:id="rId21" w:history="1">
        <w:r w:rsidRPr="00F6298A">
          <w:rPr>
            <w:rStyle w:val="Hyperlink"/>
            <w:noProof/>
          </w:rPr>
          <w:t>https://doi.org/10.1073/pnas.1602683113</w:t>
        </w:r>
      </w:hyperlink>
    </w:p>
    <w:p w14:paraId="1EF72B8E" w14:textId="77777777" w:rsidR="00F6298A" w:rsidRPr="00F6298A" w:rsidRDefault="00F6298A" w:rsidP="00F6298A">
      <w:pPr>
        <w:pStyle w:val="EndNoteBibliography"/>
        <w:ind w:left="720" w:hanging="720"/>
        <w:rPr>
          <w:noProof/>
        </w:rPr>
      </w:pPr>
      <w:r w:rsidRPr="00F6298A">
        <w:rPr>
          <w:noProof/>
        </w:rPr>
        <w:t xml:space="preserve">Burnham, K. P., &amp; Anderson, D. R. (2002). </w:t>
      </w:r>
      <w:r w:rsidRPr="00F6298A">
        <w:rPr>
          <w:i/>
          <w:noProof/>
        </w:rPr>
        <w:t>Model Selection and Multi-Model Inference</w:t>
      </w:r>
      <w:r w:rsidRPr="00F6298A">
        <w:rPr>
          <w:noProof/>
        </w:rPr>
        <w:t>. New York: Springer.</w:t>
      </w:r>
    </w:p>
    <w:p w14:paraId="6E60A038" w14:textId="77777777" w:rsidR="00F6298A" w:rsidRPr="00F6298A" w:rsidRDefault="00F6298A" w:rsidP="00F6298A">
      <w:pPr>
        <w:pStyle w:val="EndNoteBibliography"/>
        <w:ind w:left="720" w:hanging="720"/>
        <w:rPr>
          <w:noProof/>
        </w:rPr>
      </w:pPr>
      <w:r w:rsidRPr="00F6298A">
        <w:rPr>
          <w:noProof/>
        </w:rPr>
        <w:t xml:space="preserve">Calaby, J., &amp; Wimbush, D. (1964). Observations on the broad-toothed rat, Mastacomys fuscus Thomas. </w:t>
      </w:r>
      <w:r w:rsidRPr="00F6298A">
        <w:rPr>
          <w:i/>
          <w:noProof/>
        </w:rPr>
        <w:t>CSIRO Wildlife Research, 9</w:t>
      </w:r>
      <w:r w:rsidRPr="00F6298A">
        <w:rPr>
          <w:noProof/>
        </w:rPr>
        <w:t xml:space="preserve">(2), 123-133. </w:t>
      </w:r>
    </w:p>
    <w:p w14:paraId="7AF40C43" w14:textId="183B633A" w:rsidR="00F6298A" w:rsidRPr="00F6298A" w:rsidRDefault="00F6298A" w:rsidP="00F6298A">
      <w:pPr>
        <w:pStyle w:val="EndNoteBibliography"/>
        <w:ind w:left="720" w:hanging="720"/>
        <w:rPr>
          <w:noProof/>
        </w:rPr>
      </w:pPr>
      <w:r w:rsidRPr="00F6298A">
        <w:rPr>
          <w:noProof/>
        </w:rPr>
        <w:t xml:space="preserve">Cardini, A. (2019). Craniofacial allometry is a rule in evolutionary radiations of placentals. </w:t>
      </w:r>
      <w:r w:rsidRPr="00F6298A">
        <w:rPr>
          <w:i/>
          <w:noProof/>
        </w:rPr>
        <w:t>Evolutionary Biology, 46</w:t>
      </w:r>
      <w:r w:rsidRPr="00F6298A">
        <w:rPr>
          <w:noProof/>
        </w:rPr>
        <w:t>(3), 239-248. doi:</w:t>
      </w:r>
      <w:hyperlink r:id="rId22" w:history="1">
        <w:r w:rsidRPr="00F6298A">
          <w:rPr>
            <w:rStyle w:val="Hyperlink"/>
            <w:noProof/>
          </w:rPr>
          <w:t>https://doi.org/10.1007/s11692-019-09477-7</w:t>
        </w:r>
      </w:hyperlink>
    </w:p>
    <w:p w14:paraId="0196B5DE" w14:textId="6ED3B985" w:rsidR="00F6298A" w:rsidRPr="00F6298A" w:rsidRDefault="00F6298A" w:rsidP="00F6298A">
      <w:pPr>
        <w:pStyle w:val="EndNoteBibliography"/>
        <w:ind w:left="720" w:hanging="720"/>
        <w:rPr>
          <w:noProof/>
        </w:rPr>
      </w:pPr>
      <w:r w:rsidRPr="00F6298A">
        <w:rPr>
          <w:noProof/>
        </w:rPr>
        <w:t xml:space="preserve">Cardini, A., Polly, D., Dawson, R., &amp; Milne, N. (2015). Why the long face? Kangaroos and wallabies follow the same ‘rule’ of cranial evolutionary allometry (CREA) as placentals. </w:t>
      </w:r>
      <w:r w:rsidRPr="00F6298A">
        <w:rPr>
          <w:i/>
          <w:noProof/>
        </w:rPr>
        <w:t>Evolutionary Biology, 42</w:t>
      </w:r>
      <w:r w:rsidRPr="00F6298A">
        <w:rPr>
          <w:noProof/>
        </w:rPr>
        <w:t>(2), 169-176. doi:</w:t>
      </w:r>
      <w:hyperlink r:id="rId23" w:history="1">
        <w:r w:rsidRPr="00F6298A">
          <w:rPr>
            <w:rStyle w:val="Hyperlink"/>
            <w:noProof/>
          </w:rPr>
          <w:t>https://doi.org/10.1007/s11692-015-9308-9</w:t>
        </w:r>
      </w:hyperlink>
    </w:p>
    <w:p w14:paraId="2792288F" w14:textId="68E2E48D" w:rsidR="00F6298A" w:rsidRPr="00F6298A" w:rsidRDefault="00F6298A" w:rsidP="00F6298A">
      <w:pPr>
        <w:pStyle w:val="EndNoteBibliography"/>
        <w:ind w:left="720" w:hanging="720"/>
        <w:rPr>
          <w:noProof/>
        </w:rPr>
      </w:pPr>
      <w:r w:rsidRPr="00F6298A">
        <w:rPr>
          <w:noProof/>
        </w:rPr>
        <w:lastRenderedPageBreak/>
        <w:t xml:space="preserve">Cavanaugh, J. E., &amp; Neath, A. A. (2019). The Akaike information criterion: Background, derivation, properties, application, interpretation, and refinements. </w:t>
      </w:r>
      <w:r w:rsidRPr="00F6298A">
        <w:rPr>
          <w:i/>
          <w:noProof/>
        </w:rPr>
        <w:t>WIREs Computational Statistics, 11</w:t>
      </w:r>
      <w:r w:rsidRPr="00F6298A">
        <w:rPr>
          <w:noProof/>
        </w:rPr>
        <w:t>(3), e1460. doi:</w:t>
      </w:r>
      <w:hyperlink r:id="rId24" w:history="1">
        <w:r w:rsidRPr="00F6298A">
          <w:rPr>
            <w:rStyle w:val="Hyperlink"/>
            <w:noProof/>
          </w:rPr>
          <w:t>https://doi.org/10.1002/wics.1460</w:t>
        </w:r>
      </w:hyperlink>
    </w:p>
    <w:p w14:paraId="2543F652" w14:textId="77777777" w:rsidR="00F6298A" w:rsidRPr="00F6298A" w:rsidRDefault="00F6298A" w:rsidP="00F6298A">
      <w:pPr>
        <w:pStyle w:val="EndNoteBibliography"/>
        <w:ind w:left="720" w:hanging="720"/>
        <w:rPr>
          <w:noProof/>
        </w:rPr>
      </w:pPr>
      <w:r w:rsidRPr="00F6298A">
        <w:rPr>
          <w:noProof/>
        </w:rPr>
        <w:t xml:space="preserve">Clavel, J., Escarguel, G., &amp; Merceron, G. (2015). mvMORPH: an R package for fitting multivariate evolutionary models to morphometric data. </w:t>
      </w:r>
      <w:r w:rsidRPr="00F6298A">
        <w:rPr>
          <w:i/>
          <w:noProof/>
        </w:rPr>
        <w:t>Methods in Ecology and Evolution, 6</w:t>
      </w:r>
      <w:r w:rsidRPr="00F6298A">
        <w:rPr>
          <w:noProof/>
        </w:rPr>
        <w:t xml:space="preserve">(11), 1311-1319. </w:t>
      </w:r>
    </w:p>
    <w:p w14:paraId="3BB3DD88" w14:textId="6267D129" w:rsidR="00F6298A" w:rsidRPr="00F6298A" w:rsidRDefault="00F6298A" w:rsidP="00F6298A">
      <w:pPr>
        <w:pStyle w:val="EndNoteBibliography"/>
        <w:ind w:left="720" w:hanging="720"/>
        <w:rPr>
          <w:noProof/>
        </w:rPr>
      </w:pPr>
      <w:r w:rsidRPr="00F6298A">
        <w:rPr>
          <w:noProof/>
        </w:rPr>
        <w:t xml:space="preserve">Collyer, M. L., &amp; Adams, D. C. (2018). RRPP: An R package for fitting linear models to high‐dimensional data using residual randomization. </w:t>
      </w:r>
      <w:r w:rsidRPr="00F6298A">
        <w:rPr>
          <w:i/>
          <w:noProof/>
        </w:rPr>
        <w:t>Methods in Ecology and Evolution, 9</w:t>
      </w:r>
      <w:r w:rsidRPr="00F6298A">
        <w:rPr>
          <w:noProof/>
        </w:rPr>
        <w:t>, 1772-1779. doi:</w:t>
      </w:r>
      <w:hyperlink r:id="rId25" w:history="1">
        <w:r w:rsidRPr="00F6298A">
          <w:rPr>
            <w:rStyle w:val="Hyperlink"/>
            <w:noProof/>
          </w:rPr>
          <w:t>https://doi.org/10.1111/2041-210X.13029</w:t>
        </w:r>
      </w:hyperlink>
    </w:p>
    <w:p w14:paraId="7EFFED9B" w14:textId="3A301470" w:rsidR="00F6298A" w:rsidRPr="00F6298A" w:rsidRDefault="00F6298A" w:rsidP="00F6298A">
      <w:pPr>
        <w:pStyle w:val="EndNoteBibliography"/>
        <w:ind w:left="720" w:hanging="720"/>
        <w:rPr>
          <w:noProof/>
        </w:rPr>
      </w:pPr>
      <w:r w:rsidRPr="00F6298A">
        <w:rPr>
          <w:noProof/>
        </w:rPr>
        <w:t xml:space="preserve">Collyer, M. L., &amp; Adams, D. C. (2019). RRPP: Linear Model Evaluation with Randomized Residuals in a Permutation Procedure. </w:t>
      </w:r>
      <w:hyperlink r:id="rId26" w:history="1">
        <w:r w:rsidRPr="00F6298A">
          <w:rPr>
            <w:rStyle w:val="Hyperlink"/>
            <w:i/>
            <w:noProof/>
          </w:rPr>
          <w:t>https://CRAN.R-project.org/package=RRPP</w:t>
        </w:r>
      </w:hyperlink>
      <w:r w:rsidRPr="00F6298A">
        <w:rPr>
          <w:noProof/>
        </w:rPr>
        <w:t xml:space="preserve">. </w:t>
      </w:r>
    </w:p>
    <w:p w14:paraId="533A2110" w14:textId="77777777" w:rsidR="00F6298A" w:rsidRPr="00F6298A" w:rsidRDefault="00F6298A" w:rsidP="00F6298A">
      <w:pPr>
        <w:pStyle w:val="EndNoteBibliography"/>
        <w:ind w:left="720" w:hanging="720"/>
        <w:rPr>
          <w:noProof/>
        </w:rPr>
      </w:pPr>
      <w:r w:rsidRPr="00F6298A">
        <w:rPr>
          <w:noProof/>
        </w:rPr>
        <w:t xml:space="preserve">Cooper, N., Thomas, G. H., Venditti, C., Meade, A., &amp; Freckleton, R. P. (2016). A cautionary note on the use of Ornstein Uhlenbeck models in macroevolutionary studies. </w:t>
      </w:r>
      <w:r w:rsidRPr="00F6298A">
        <w:rPr>
          <w:i/>
          <w:noProof/>
        </w:rPr>
        <w:t>Biological Journal of the Linnean Society, 118</w:t>
      </w:r>
      <w:r w:rsidRPr="00F6298A">
        <w:rPr>
          <w:noProof/>
        </w:rPr>
        <w:t xml:space="preserve">(1), 64-77. </w:t>
      </w:r>
    </w:p>
    <w:p w14:paraId="13A35482" w14:textId="283B4E6A" w:rsidR="00F6298A" w:rsidRPr="00F6298A" w:rsidRDefault="00F6298A" w:rsidP="00F6298A">
      <w:pPr>
        <w:pStyle w:val="EndNoteBibliography"/>
        <w:ind w:left="720" w:hanging="720"/>
        <w:rPr>
          <w:noProof/>
        </w:rPr>
      </w:pPr>
      <w:r w:rsidRPr="00F6298A">
        <w:rPr>
          <w:noProof/>
        </w:rPr>
        <w:t xml:space="preserve">Cox, P. G., Rayfield, E. J., Fagan, M. J., Herrel, A., Pataky, T. C., &amp; Jeffery, N. (2012). Functional evolution of the feeding system in rodents. </w:t>
      </w:r>
      <w:r w:rsidRPr="00F6298A">
        <w:rPr>
          <w:i/>
          <w:noProof/>
        </w:rPr>
        <w:t>PLOS ONE, 7</w:t>
      </w:r>
      <w:r w:rsidRPr="00F6298A">
        <w:rPr>
          <w:noProof/>
        </w:rPr>
        <w:t>(4), e36299. doi:</w:t>
      </w:r>
      <w:hyperlink r:id="rId27" w:history="1">
        <w:r w:rsidRPr="00F6298A">
          <w:rPr>
            <w:rStyle w:val="Hyperlink"/>
            <w:noProof/>
          </w:rPr>
          <w:t>https://doi.org/10.1371/journal.pone.0036299</w:t>
        </w:r>
      </w:hyperlink>
    </w:p>
    <w:p w14:paraId="278D44CE" w14:textId="77777777" w:rsidR="00F6298A" w:rsidRPr="00F6298A" w:rsidRDefault="00F6298A" w:rsidP="00F6298A">
      <w:pPr>
        <w:pStyle w:val="EndNoteBibliography"/>
        <w:ind w:left="720" w:hanging="720"/>
        <w:rPr>
          <w:noProof/>
        </w:rPr>
      </w:pPr>
      <w:r w:rsidRPr="00F6298A">
        <w:rPr>
          <w:noProof/>
        </w:rPr>
        <w:t xml:space="preserve">Druzinsky, R. E. (2015). The oral apparatus of rodents: variations on the theme of a gnawing machine. In L. Hautier &amp; P. G. Cox (Eds.), </w:t>
      </w:r>
      <w:r w:rsidRPr="00F6298A">
        <w:rPr>
          <w:i/>
          <w:noProof/>
        </w:rPr>
        <w:t>Evolution of the Rodents: Advances in Phylogeny, Functional Morphology and Development</w:t>
      </w:r>
      <w:r w:rsidRPr="00F6298A">
        <w:rPr>
          <w:noProof/>
        </w:rPr>
        <w:t xml:space="preserve"> (Vol. 5, pp. 323-349). Cambridge: Cambridge University Press.</w:t>
      </w:r>
    </w:p>
    <w:p w14:paraId="45C0EDAA" w14:textId="0FA4DC66" w:rsidR="00F6298A" w:rsidRPr="00F6298A" w:rsidRDefault="00F6298A" w:rsidP="00F6298A">
      <w:pPr>
        <w:pStyle w:val="EndNoteBibliography"/>
        <w:ind w:left="720" w:hanging="720"/>
        <w:rPr>
          <w:noProof/>
        </w:rPr>
      </w:pPr>
      <w:r w:rsidRPr="00F6298A">
        <w:rPr>
          <w:noProof/>
        </w:rPr>
        <w:t xml:space="preserve">Esselstyn, J. A., Achmadi, A. S., &amp; Rowe, K. C. (2012). Evolutionary novelty in a rat with no molars. </w:t>
      </w:r>
      <w:r w:rsidRPr="00F6298A">
        <w:rPr>
          <w:i/>
          <w:noProof/>
        </w:rPr>
        <w:t>Biology Letters, 8</w:t>
      </w:r>
      <w:r w:rsidRPr="00F6298A">
        <w:rPr>
          <w:noProof/>
        </w:rPr>
        <w:t>(6), 990-993. doi:</w:t>
      </w:r>
      <w:hyperlink r:id="rId28" w:history="1">
        <w:r w:rsidRPr="00F6298A">
          <w:rPr>
            <w:rStyle w:val="Hyperlink"/>
            <w:noProof/>
          </w:rPr>
          <w:t>https://doi.org/10.1098/rsbl.2012.0574</w:t>
        </w:r>
      </w:hyperlink>
    </w:p>
    <w:p w14:paraId="068B03AE" w14:textId="2D2E3573" w:rsidR="00F6298A" w:rsidRPr="00F6298A" w:rsidRDefault="00F6298A" w:rsidP="00F6298A">
      <w:pPr>
        <w:pStyle w:val="EndNoteBibliography"/>
        <w:ind w:left="720" w:hanging="720"/>
        <w:rPr>
          <w:noProof/>
        </w:rPr>
      </w:pPr>
      <w:r w:rsidRPr="00F6298A">
        <w:rPr>
          <w:noProof/>
        </w:rPr>
        <w:t xml:space="preserve">Evans, K. M., Waltz, B., Tagliacollo, V., Chakrabarty, P., &amp; Albert, J. S. (2017). Why the short face? Developmental disintegration of the neurocranium drives convergent evolution in neotropical electric fishes. </w:t>
      </w:r>
      <w:r w:rsidRPr="00F6298A">
        <w:rPr>
          <w:i/>
          <w:noProof/>
        </w:rPr>
        <w:t>Ecology and Evolution, 7</w:t>
      </w:r>
      <w:r w:rsidRPr="00F6298A">
        <w:rPr>
          <w:noProof/>
        </w:rPr>
        <w:t>(6), 1783-1801. doi:</w:t>
      </w:r>
      <w:hyperlink r:id="rId29" w:history="1">
        <w:r w:rsidRPr="00F6298A">
          <w:rPr>
            <w:rStyle w:val="Hyperlink"/>
            <w:noProof/>
          </w:rPr>
          <w:t>https://doi.org/10.1002/ece3.2704</w:t>
        </w:r>
      </w:hyperlink>
    </w:p>
    <w:p w14:paraId="042F33A8" w14:textId="25D416F4" w:rsidR="00F6298A" w:rsidRPr="00F6298A" w:rsidRDefault="00F6298A" w:rsidP="00F6298A">
      <w:pPr>
        <w:pStyle w:val="EndNoteBibliography"/>
        <w:ind w:left="720" w:hanging="720"/>
        <w:rPr>
          <w:noProof/>
        </w:rPr>
      </w:pPr>
      <w:r w:rsidRPr="00F6298A">
        <w:rPr>
          <w:noProof/>
        </w:rPr>
        <w:t xml:space="preserve">Figueirido, B., Tseng, Z. J., Serrano-Alarcón, F. J., Martín-Serra, A., &amp; Pastor, J. F. (2014). Three-dimensional computer simulations of feeding behaviour in red and giant pandas relate skull biomechanics with dietary niche partitioning. </w:t>
      </w:r>
      <w:r w:rsidRPr="00F6298A">
        <w:rPr>
          <w:i/>
          <w:noProof/>
        </w:rPr>
        <w:t>Biology Letters, 10</w:t>
      </w:r>
      <w:r w:rsidRPr="00F6298A">
        <w:rPr>
          <w:noProof/>
        </w:rPr>
        <w:t>(4), 20140196. doi:</w:t>
      </w:r>
      <w:hyperlink r:id="rId30" w:history="1">
        <w:r w:rsidRPr="00F6298A">
          <w:rPr>
            <w:rStyle w:val="Hyperlink"/>
            <w:noProof/>
          </w:rPr>
          <w:t>https://doi.org/10.1098/rsbl.2014.0196</w:t>
        </w:r>
      </w:hyperlink>
    </w:p>
    <w:p w14:paraId="42E1DA0A" w14:textId="2FB356B0" w:rsidR="00F6298A" w:rsidRPr="00F6298A" w:rsidRDefault="00F6298A" w:rsidP="00F6298A">
      <w:pPr>
        <w:pStyle w:val="EndNoteBibliography"/>
        <w:ind w:left="720" w:hanging="720"/>
        <w:rPr>
          <w:noProof/>
        </w:rPr>
      </w:pPr>
      <w:r w:rsidRPr="00F6298A">
        <w:rPr>
          <w:noProof/>
        </w:rPr>
        <w:t xml:space="preserve">Freeman, P. W., &amp; Lemen, C. A. (2008). A simple morphological predictor of bite force in rodents. </w:t>
      </w:r>
      <w:r w:rsidRPr="00F6298A">
        <w:rPr>
          <w:i/>
          <w:noProof/>
        </w:rPr>
        <w:t>Journal of Zoology, 275</w:t>
      </w:r>
      <w:r w:rsidRPr="00F6298A">
        <w:rPr>
          <w:noProof/>
        </w:rPr>
        <w:t>(4), 418-422. doi:</w:t>
      </w:r>
      <w:hyperlink r:id="rId31" w:history="1">
        <w:r w:rsidRPr="00F6298A">
          <w:rPr>
            <w:rStyle w:val="Hyperlink"/>
            <w:noProof/>
          </w:rPr>
          <w:t>https://doi.org/10.1111/j.1469-7998.2008.00459.x</w:t>
        </w:r>
      </w:hyperlink>
    </w:p>
    <w:p w14:paraId="661D046A" w14:textId="2DACD3D7" w:rsidR="00F6298A" w:rsidRPr="00F6298A" w:rsidRDefault="00F6298A" w:rsidP="00F6298A">
      <w:pPr>
        <w:pStyle w:val="EndNoteBibliography"/>
        <w:ind w:left="720" w:hanging="720"/>
        <w:rPr>
          <w:noProof/>
        </w:rPr>
      </w:pPr>
      <w:r w:rsidRPr="00F6298A">
        <w:rPr>
          <w:noProof/>
        </w:rPr>
        <w:t xml:space="preserve">Ginot, S., Claude, J., &amp; Hautier, L. (2018). One skull to rule them all? Descriptive and comparative anatomy of the masticatory apparatus in five mouse species. </w:t>
      </w:r>
      <w:r w:rsidRPr="00F6298A">
        <w:rPr>
          <w:i/>
          <w:noProof/>
        </w:rPr>
        <w:t>Journal of Morphology, 279</w:t>
      </w:r>
      <w:r w:rsidRPr="00F6298A">
        <w:rPr>
          <w:noProof/>
        </w:rPr>
        <w:t>(9), 1234-1255. doi:</w:t>
      </w:r>
      <w:hyperlink r:id="rId32" w:history="1">
        <w:r w:rsidRPr="00F6298A">
          <w:rPr>
            <w:rStyle w:val="Hyperlink"/>
            <w:noProof/>
          </w:rPr>
          <w:t>https://doi.org/10.1002/jmor.20845</w:t>
        </w:r>
      </w:hyperlink>
    </w:p>
    <w:p w14:paraId="0D26DF44" w14:textId="5698BB58" w:rsidR="00F6298A" w:rsidRPr="00F6298A" w:rsidRDefault="00F6298A" w:rsidP="00F6298A">
      <w:pPr>
        <w:pStyle w:val="EndNoteBibliography"/>
        <w:ind w:left="720" w:hanging="720"/>
        <w:rPr>
          <w:noProof/>
        </w:rPr>
      </w:pPr>
      <w:r w:rsidRPr="00F6298A">
        <w:rPr>
          <w:noProof/>
        </w:rPr>
        <w:t xml:space="preserve">Goswami, A. (2006). Cranial modularity shifts during mammalian evolution. </w:t>
      </w:r>
      <w:r w:rsidRPr="00F6298A">
        <w:rPr>
          <w:i/>
          <w:noProof/>
        </w:rPr>
        <w:t>The American Naturalist, 168</w:t>
      </w:r>
      <w:r w:rsidRPr="00F6298A">
        <w:rPr>
          <w:noProof/>
        </w:rPr>
        <w:t>(2), 270-280. doi:</w:t>
      </w:r>
      <w:hyperlink r:id="rId33" w:history="1">
        <w:r w:rsidRPr="00F6298A">
          <w:rPr>
            <w:rStyle w:val="Hyperlink"/>
            <w:noProof/>
          </w:rPr>
          <w:t>https://doi.org/10.1086/505758</w:t>
        </w:r>
      </w:hyperlink>
    </w:p>
    <w:p w14:paraId="66C69AE0" w14:textId="07D2178F" w:rsidR="00F6298A" w:rsidRPr="00F6298A" w:rsidRDefault="00F6298A" w:rsidP="00F6298A">
      <w:pPr>
        <w:pStyle w:val="EndNoteBibliography"/>
        <w:ind w:left="720" w:hanging="720"/>
        <w:rPr>
          <w:noProof/>
        </w:rPr>
      </w:pPr>
      <w:r w:rsidRPr="00F6298A">
        <w:rPr>
          <w:noProof/>
        </w:rPr>
        <w:t xml:space="preserve">Goswami, A., Noirault, E., Coombs, E. J., Clavel, J., Fabre, A.-C., Halliday, T. J. D., Churchill, M., Curtis, A., Watanabe, A., Simmons, N. B., Beatty, B. L., Geisler, J. H., Fox, D. L., &amp; Felice, R. N. (2022). Attenuated evolution of mammals through the Cenozoic. </w:t>
      </w:r>
      <w:r w:rsidRPr="00F6298A">
        <w:rPr>
          <w:i/>
          <w:noProof/>
        </w:rPr>
        <w:t>Science, 378</w:t>
      </w:r>
      <w:r w:rsidRPr="00F6298A">
        <w:rPr>
          <w:noProof/>
        </w:rPr>
        <w:t>(6618), 377-383. doi:</w:t>
      </w:r>
      <w:hyperlink r:id="rId34" w:history="1">
        <w:r w:rsidRPr="00F6298A">
          <w:rPr>
            <w:rStyle w:val="Hyperlink"/>
            <w:noProof/>
          </w:rPr>
          <w:t>https://doi.org/10.1126/science.abm7525</w:t>
        </w:r>
      </w:hyperlink>
    </w:p>
    <w:p w14:paraId="626F9376" w14:textId="77777777" w:rsidR="00F6298A" w:rsidRPr="00F6298A" w:rsidRDefault="00F6298A" w:rsidP="00F6298A">
      <w:pPr>
        <w:pStyle w:val="EndNoteBibliography"/>
        <w:ind w:left="720" w:hanging="720"/>
        <w:rPr>
          <w:noProof/>
        </w:rPr>
      </w:pPr>
      <w:r w:rsidRPr="00F6298A">
        <w:rPr>
          <w:noProof/>
        </w:rPr>
        <w:t xml:space="preserve">Green, K., Davis, N., &amp; Robinson, W. (2014). Diet of the Broad-toothed Rat Mastacomys fuscus (Rodentia:Muridae) in the alpine zone of the Snowy Mountains, Australia. </w:t>
      </w:r>
      <w:r w:rsidRPr="00F6298A">
        <w:rPr>
          <w:i/>
          <w:noProof/>
        </w:rPr>
        <w:t>Australian Zoologist, 37</w:t>
      </w:r>
      <w:r w:rsidRPr="00F6298A">
        <w:rPr>
          <w:noProof/>
        </w:rPr>
        <w:t>(2), 225-233. doi:10.7882/az.2014.023</w:t>
      </w:r>
    </w:p>
    <w:p w14:paraId="20A2E67F" w14:textId="37E28417" w:rsidR="00F6298A" w:rsidRPr="00F6298A" w:rsidRDefault="00F6298A" w:rsidP="00F6298A">
      <w:pPr>
        <w:pStyle w:val="EndNoteBibliography"/>
        <w:ind w:left="720" w:hanging="720"/>
        <w:rPr>
          <w:noProof/>
        </w:rPr>
      </w:pPr>
      <w:r w:rsidRPr="00F6298A">
        <w:rPr>
          <w:noProof/>
        </w:rPr>
        <w:lastRenderedPageBreak/>
        <w:t xml:space="preserve">Guillerme, T., &amp; Weisbecker, V. (2019). LandvR: Tools for measuring landmark position variation. </w:t>
      </w:r>
      <w:r w:rsidRPr="00F6298A">
        <w:rPr>
          <w:i/>
          <w:noProof/>
        </w:rPr>
        <w:t>Zenodo</w:t>
      </w:r>
      <w:r w:rsidRPr="00F6298A">
        <w:rPr>
          <w:noProof/>
        </w:rPr>
        <w:t>. doi:</w:t>
      </w:r>
      <w:hyperlink r:id="rId35" w:history="1">
        <w:r w:rsidRPr="00F6298A">
          <w:rPr>
            <w:rStyle w:val="Hyperlink"/>
            <w:noProof/>
          </w:rPr>
          <w:t>https://doi.org/10.5281/zenodo.2620785</w:t>
        </w:r>
      </w:hyperlink>
    </w:p>
    <w:p w14:paraId="24BE9E0A" w14:textId="2A187450" w:rsidR="00F6298A" w:rsidRPr="00F6298A" w:rsidRDefault="00F6298A" w:rsidP="00F6298A">
      <w:pPr>
        <w:pStyle w:val="EndNoteBibliography"/>
        <w:ind w:left="720" w:hanging="720"/>
        <w:rPr>
          <w:noProof/>
        </w:rPr>
      </w:pPr>
      <w:r w:rsidRPr="00F6298A">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F6298A">
        <w:rPr>
          <w:i/>
          <w:noProof/>
        </w:rPr>
        <w:t>Evolution, 64</w:t>
      </w:r>
      <w:r w:rsidRPr="00F6298A">
        <w:rPr>
          <w:noProof/>
        </w:rPr>
        <w:t>(8), 2385-2396. doi:</w:t>
      </w:r>
      <w:hyperlink r:id="rId36" w:history="1">
        <w:r w:rsidRPr="00F6298A">
          <w:rPr>
            <w:rStyle w:val="Hyperlink"/>
            <w:noProof/>
          </w:rPr>
          <w:t>https://doi.org/10.1111/j.1558-5646.2010.01025.x</w:t>
        </w:r>
      </w:hyperlink>
    </w:p>
    <w:p w14:paraId="26B89C81" w14:textId="46FA7B4F" w:rsidR="00F6298A" w:rsidRPr="00F6298A" w:rsidRDefault="00F6298A" w:rsidP="00F6298A">
      <w:pPr>
        <w:pStyle w:val="EndNoteBibliography"/>
        <w:ind w:left="720" w:hanging="720"/>
        <w:rPr>
          <w:noProof/>
        </w:rPr>
      </w:pPr>
      <w:r w:rsidRPr="00F6298A">
        <w:rPr>
          <w:noProof/>
        </w:rPr>
        <w:t xml:space="preserve">Hennekam, J. J., Benson, R. B. J., Herridge, V. L., Jeffery, N., Torres-Roig, E., Alcover, J. A., &amp; Cox, P. G. (2020). Morphological divergence in giant fossil dormice. </w:t>
      </w:r>
      <w:r w:rsidRPr="00F6298A">
        <w:rPr>
          <w:i/>
          <w:noProof/>
        </w:rPr>
        <w:t>Proceedings of the Royal Society B: Biological Sciences, 287</w:t>
      </w:r>
      <w:r w:rsidRPr="00F6298A">
        <w:rPr>
          <w:noProof/>
        </w:rPr>
        <w:t>(1938), 20202085. doi:</w:t>
      </w:r>
      <w:hyperlink r:id="rId37" w:history="1">
        <w:r w:rsidRPr="00F6298A">
          <w:rPr>
            <w:rStyle w:val="Hyperlink"/>
            <w:noProof/>
          </w:rPr>
          <w:t>https://doi.org/10.1098/rspb.2020.2085</w:t>
        </w:r>
      </w:hyperlink>
    </w:p>
    <w:p w14:paraId="236587AA" w14:textId="076CDC86" w:rsidR="00F6298A" w:rsidRPr="00F6298A" w:rsidRDefault="00F6298A" w:rsidP="00F6298A">
      <w:pPr>
        <w:pStyle w:val="EndNoteBibliography"/>
        <w:ind w:left="720" w:hanging="720"/>
        <w:rPr>
          <w:noProof/>
        </w:rPr>
      </w:pPr>
      <w:r w:rsidRPr="00F6298A">
        <w:rPr>
          <w:noProof/>
        </w:rPr>
        <w:t xml:space="preserve">Hetherington, A. J., Sherratt, E., Ruta, M., Wilkinson, M., Deline, B., &amp; Donoghue, P. C. J. (2015). Do cladistic and morphometric data capture common patterns of morphological disparity? </w:t>
      </w:r>
      <w:r w:rsidRPr="00F6298A">
        <w:rPr>
          <w:i/>
          <w:noProof/>
        </w:rPr>
        <w:t>Palaeontology, 58</w:t>
      </w:r>
      <w:r w:rsidRPr="00F6298A">
        <w:rPr>
          <w:noProof/>
        </w:rPr>
        <w:t>(3), 393-399. doi:</w:t>
      </w:r>
      <w:hyperlink r:id="rId38" w:history="1">
        <w:r w:rsidRPr="00F6298A">
          <w:rPr>
            <w:rStyle w:val="Hyperlink"/>
            <w:noProof/>
          </w:rPr>
          <w:t>https://doi.org/10.1111/pala.12159</w:t>
        </w:r>
      </w:hyperlink>
    </w:p>
    <w:p w14:paraId="0A78184D" w14:textId="091E1F35" w:rsidR="00F6298A" w:rsidRPr="00F6298A" w:rsidRDefault="00F6298A" w:rsidP="00F6298A">
      <w:pPr>
        <w:pStyle w:val="EndNoteBibliography"/>
        <w:ind w:left="720" w:hanging="720"/>
        <w:rPr>
          <w:noProof/>
        </w:rPr>
      </w:pPr>
      <w:r w:rsidRPr="00F6298A">
        <w:rPr>
          <w:noProof/>
        </w:rPr>
        <w:t xml:space="preserve">Kembel, S. W., Cowan, P. D., Helmus, M. R., Cornwell, W. K., Morlon, H., Ackerly, D. D., Blomberg, S. P., &amp; Webb, C. O. (2010). </w:t>
      </w:r>
      <w:r w:rsidRPr="00F6298A">
        <w:rPr>
          <w:i/>
          <w:noProof/>
        </w:rPr>
        <w:t>Picante</w:t>
      </w:r>
      <w:r w:rsidRPr="00F6298A">
        <w:rPr>
          <w:noProof/>
        </w:rPr>
        <w:t xml:space="preserve">: R tools for integrating phylogenies and ecology. </w:t>
      </w:r>
      <w:r w:rsidRPr="00F6298A">
        <w:rPr>
          <w:i/>
          <w:noProof/>
        </w:rPr>
        <w:t>Bioinformatics, 26</w:t>
      </w:r>
      <w:r w:rsidRPr="00F6298A">
        <w:rPr>
          <w:noProof/>
        </w:rPr>
        <w:t>(11), 1463-1464. doi:</w:t>
      </w:r>
      <w:hyperlink r:id="rId39" w:history="1">
        <w:r w:rsidRPr="00F6298A">
          <w:rPr>
            <w:rStyle w:val="Hyperlink"/>
            <w:noProof/>
          </w:rPr>
          <w:t>https://doi.org/10.1093/bioinformatics/btq166</w:t>
        </w:r>
      </w:hyperlink>
    </w:p>
    <w:p w14:paraId="7570679C" w14:textId="4D7461D1" w:rsidR="00F6298A" w:rsidRPr="00F6298A" w:rsidRDefault="00F6298A" w:rsidP="00F6298A">
      <w:pPr>
        <w:pStyle w:val="EndNoteBibliography"/>
        <w:ind w:left="720" w:hanging="720"/>
        <w:rPr>
          <w:noProof/>
        </w:rPr>
      </w:pPr>
      <w:r w:rsidRPr="00F6298A">
        <w:rPr>
          <w:noProof/>
        </w:rPr>
        <w:t xml:space="preserve">Klingenberg, C. P. (2009). Morphometric integration and modularity in configurations of landmarks: tools for evaluating a priori hypotheses. </w:t>
      </w:r>
      <w:r w:rsidRPr="00F6298A">
        <w:rPr>
          <w:i/>
          <w:noProof/>
        </w:rPr>
        <w:t>Evolution &amp; Development, 11</w:t>
      </w:r>
      <w:r w:rsidRPr="00F6298A">
        <w:rPr>
          <w:noProof/>
        </w:rPr>
        <w:t>(4), 405-421. doi:</w:t>
      </w:r>
      <w:hyperlink r:id="rId40" w:history="1">
        <w:r w:rsidRPr="00F6298A">
          <w:rPr>
            <w:rStyle w:val="Hyperlink"/>
            <w:noProof/>
          </w:rPr>
          <w:t>https://doi.org/10.1111/j.1525-142X.2009.00347.x</w:t>
        </w:r>
      </w:hyperlink>
    </w:p>
    <w:p w14:paraId="0CFB80F9" w14:textId="01AD7EEE" w:rsidR="00F6298A" w:rsidRPr="00F6298A" w:rsidRDefault="00F6298A" w:rsidP="00F6298A">
      <w:pPr>
        <w:pStyle w:val="EndNoteBibliography"/>
        <w:ind w:left="720" w:hanging="720"/>
        <w:rPr>
          <w:noProof/>
        </w:rPr>
      </w:pPr>
      <w:r w:rsidRPr="00F6298A">
        <w:rPr>
          <w:noProof/>
        </w:rPr>
        <w:t xml:space="preserve">Klingenberg, C. P., &amp; Marugán-Lobón, J. (2013). Evolutionary covariation in geometric morphometric data: analyzing integration, modularity, and allometry in a phylogenetic context. </w:t>
      </w:r>
      <w:r w:rsidRPr="00F6298A">
        <w:rPr>
          <w:i/>
          <w:noProof/>
        </w:rPr>
        <w:t>Systematic Biology, 62</w:t>
      </w:r>
      <w:r w:rsidRPr="00F6298A">
        <w:rPr>
          <w:noProof/>
        </w:rPr>
        <w:t>(4), 591-610. doi:</w:t>
      </w:r>
      <w:hyperlink r:id="rId41" w:history="1">
        <w:r w:rsidRPr="00F6298A">
          <w:rPr>
            <w:rStyle w:val="Hyperlink"/>
            <w:noProof/>
          </w:rPr>
          <w:t>https://doi.org/10.1093/sysbio/syt025</w:t>
        </w:r>
      </w:hyperlink>
    </w:p>
    <w:p w14:paraId="45DF6F5A" w14:textId="66D27A6F" w:rsidR="00F6298A" w:rsidRPr="00F6298A" w:rsidRDefault="00F6298A" w:rsidP="00F6298A">
      <w:pPr>
        <w:pStyle w:val="EndNoteBibliography"/>
        <w:ind w:left="720" w:hanging="720"/>
        <w:rPr>
          <w:noProof/>
        </w:rPr>
      </w:pPr>
      <w:r w:rsidRPr="00F6298A">
        <w:rPr>
          <w:noProof/>
        </w:rPr>
        <w:t xml:space="preserve">Kraatz, B., &amp; Sherratt, E. (2016). Evolutionary morphology of the rabbit skull. </w:t>
      </w:r>
      <w:r w:rsidRPr="00F6298A">
        <w:rPr>
          <w:i/>
          <w:noProof/>
        </w:rPr>
        <w:t>PeerJ, 4</w:t>
      </w:r>
      <w:r w:rsidRPr="00F6298A">
        <w:rPr>
          <w:noProof/>
        </w:rPr>
        <w:t>, e2453. doi:</w:t>
      </w:r>
      <w:hyperlink r:id="rId42" w:history="1">
        <w:r w:rsidRPr="00F6298A">
          <w:rPr>
            <w:rStyle w:val="Hyperlink"/>
            <w:noProof/>
          </w:rPr>
          <w:t>https://doi.org/10.7717/peerj.2453</w:t>
        </w:r>
      </w:hyperlink>
    </w:p>
    <w:p w14:paraId="27C60076" w14:textId="77777777" w:rsidR="00F6298A" w:rsidRPr="00F6298A" w:rsidRDefault="00F6298A" w:rsidP="00F6298A">
      <w:pPr>
        <w:pStyle w:val="EndNoteBibliography"/>
        <w:ind w:left="720" w:hanging="720"/>
        <w:rPr>
          <w:noProof/>
        </w:rPr>
      </w:pPr>
      <w:r w:rsidRPr="00F6298A">
        <w:rPr>
          <w:noProof/>
        </w:rPr>
        <w:t xml:space="preserve">Legendre, P., &amp; Legendre, L. (2012). </w:t>
      </w:r>
      <w:r w:rsidRPr="00F6298A">
        <w:rPr>
          <w:i/>
          <w:noProof/>
        </w:rPr>
        <w:t>Numerical ecology</w:t>
      </w:r>
      <w:r w:rsidRPr="00F6298A">
        <w:rPr>
          <w:noProof/>
        </w:rPr>
        <w:t xml:space="preserve"> (3rd English Edition ed.): Elsevier.</w:t>
      </w:r>
    </w:p>
    <w:p w14:paraId="62870039" w14:textId="10ECB05B" w:rsidR="00F6298A" w:rsidRPr="00F6298A" w:rsidRDefault="00F6298A" w:rsidP="00F6298A">
      <w:pPr>
        <w:pStyle w:val="EndNoteBibliography"/>
        <w:ind w:left="720" w:hanging="720"/>
        <w:rPr>
          <w:noProof/>
        </w:rPr>
      </w:pPr>
      <w:r w:rsidRPr="00F6298A">
        <w:rPr>
          <w:noProof/>
        </w:rPr>
        <w:t xml:space="preserve">Lessa, E. P., &amp; Patton, J. L. (1989). Structural constraints, recurrent shapes, and allometry in pocket gophers (genus Thomomys). </w:t>
      </w:r>
      <w:r w:rsidRPr="00F6298A">
        <w:rPr>
          <w:i/>
          <w:noProof/>
        </w:rPr>
        <w:t>Biological Journal of the Linnean Society, 36</w:t>
      </w:r>
      <w:r w:rsidRPr="00F6298A">
        <w:rPr>
          <w:noProof/>
        </w:rPr>
        <w:t>(4), 349-363. doi:</w:t>
      </w:r>
      <w:hyperlink r:id="rId43" w:history="1">
        <w:r w:rsidRPr="00F6298A">
          <w:rPr>
            <w:rStyle w:val="Hyperlink"/>
            <w:noProof/>
          </w:rPr>
          <w:t>https://doi.org/10.1111/j.1095-8312.1989.tb00500.x</w:t>
        </w:r>
      </w:hyperlink>
    </w:p>
    <w:p w14:paraId="362968C9" w14:textId="6A38A8AD" w:rsidR="00F6298A" w:rsidRPr="00F6298A" w:rsidRDefault="00F6298A" w:rsidP="00F6298A">
      <w:pPr>
        <w:pStyle w:val="EndNoteBibliography"/>
        <w:ind w:left="720" w:hanging="720"/>
        <w:rPr>
          <w:noProof/>
        </w:rPr>
      </w:pPr>
      <w:r w:rsidRPr="00F6298A">
        <w:rPr>
          <w:noProof/>
        </w:rPr>
        <w:t xml:space="preserve">Marcy, A. E., Fruciano, C., Phillips, M. J., Mardon, K., &amp; Weisbecker, V. (2018). Low resolution scans can provide a sufficiently accurate, cost- and time-effective alternative to high resolution scans for 3D shape analyses. </w:t>
      </w:r>
      <w:r w:rsidRPr="00F6298A">
        <w:rPr>
          <w:i/>
          <w:noProof/>
        </w:rPr>
        <w:t>PeerJ, 6</w:t>
      </w:r>
      <w:r w:rsidRPr="00F6298A">
        <w:rPr>
          <w:noProof/>
        </w:rPr>
        <w:t>, e5032. doi:</w:t>
      </w:r>
      <w:hyperlink r:id="rId44" w:history="1">
        <w:r w:rsidRPr="00F6298A">
          <w:rPr>
            <w:rStyle w:val="Hyperlink"/>
            <w:noProof/>
          </w:rPr>
          <w:t>https://doi.org/10.7717/peerj.5032</w:t>
        </w:r>
      </w:hyperlink>
    </w:p>
    <w:p w14:paraId="23C059F5" w14:textId="78EEB81F" w:rsidR="00F6298A" w:rsidRPr="00F6298A" w:rsidRDefault="00F6298A" w:rsidP="00F6298A">
      <w:pPr>
        <w:pStyle w:val="EndNoteBibliography"/>
        <w:ind w:left="720" w:hanging="720"/>
        <w:rPr>
          <w:noProof/>
        </w:rPr>
      </w:pPr>
      <w:r w:rsidRPr="00F6298A">
        <w:rPr>
          <w:noProof/>
        </w:rPr>
        <w:t xml:space="preserve">Marcy, A. E., Guillerme, T., Sherratt, E., Rowe, K. C., Phillips, M. J., &amp; Weisbecker, V. (2020). Australian rodents reveal conserved cranial evolutionary allometry across 10 million years of Murid evolution. </w:t>
      </w:r>
      <w:r w:rsidRPr="00F6298A">
        <w:rPr>
          <w:i/>
          <w:noProof/>
        </w:rPr>
        <w:t>The American Naturalist, 196</w:t>
      </w:r>
      <w:r w:rsidRPr="00F6298A">
        <w:rPr>
          <w:noProof/>
        </w:rPr>
        <w:t>(6), 755-768. doi:</w:t>
      </w:r>
      <w:hyperlink r:id="rId45" w:history="1">
        <w:r w:rsidRPr="00F6298A">
          <w:rPr>
            <w:rStyle w:val="Hyperlink"/>
            <w:noProof/>
          </w:rPr>
          <w:t>https://doi.org/10.1086/711398</w:t>
        </w:r>
      </w:hyperlink>
    </w:p>
    <w:p w14:paraId="56EF5C20" w14:textId="70BD1584" w:rsidR="00F6298A" w:rsidRPr="00F6298A" w:rsidRDefault="00F6298A" w:rsidP="00F6298A">
      <w:pPr>
        <w:pStyle w:val="EndNoteBibliography"/>
        <w:ind w:left="720" w:hanging="720"/>
        <w:rPr>
          <w:noProof/>
        </w:rPr>
      </w:pPr>
      <w:r w:rsidRPr="00F6298A">
        <w:rPr>
          <w:noProof/>
        </w:rPr>
        <w:t>Marcy, A. E., Hadly, E. A., Sherratt, E., Garland, K., &amp; Weisbecker, V. (2016). Getting a head in hard soils: Convergent skull evolution and divergent allometric patterns explain shape variation in a highly diverse genus of pocket gophers (</w:t>
      </w:r>
      <w:r w:rsidRPr="00F6298A">
        <w:rPr>
          <w:i/>
          <w:noProof/>
        </w:rPr>
        <w:t>Thomomys</w:t>
      </w:r>
      <w:r w:rsidRPr="00F6298A">
        <w:rPr>
          <w:noProof/>
        </w:rPr>
        <w:t xml:space="preserve">). </w:t>
      </w:r>
      <w:r w:rsidRPr="00F6298A">
        <w:rPr>
          <w:i/>
          <w:noProof/>
        </w:rPr>
        <w:t>BMC Evolutionary Biology, 16</w:t>
      </w:r>
      <w:r w:rsidRPr="00F6298A">
        <w:rPr>
          <w:noProof/>
        </w:rPr>
        <w:t>(1), 207. doi:</w:t>
      </w:r>
      <w:hyperlink r:id="rId46" w:history="1">
        <w:r w:rsidRPr="00F6298A">
          <w:rPr>
            <w:rStyle w:val="Hyperlink"/>
            <w:noProof/>
          </w:rPr>
          <w:t>https://doi.org/10.1186/s12862-016-0782-1</w:t>
        </w:r>
      </w:hyperlink>
    </w:p>
    <w:p w14:paraId="17E584A2" w14:textId="4CFDC922" w:rsidR="00F6298A" w:rsidRPr="00F6298A" w:rsidRDefault="00F6298A" w:rsidP="00F6298A">
      <w:pPr>
        <w:pStyle w:val="EndNoteBibliography"/>
        <w:ind w:left="720" w:hanging="720"/>
        <w:rPr>
          <w:noProof/>
        </w:rPr>
      </w:pPr>
      <w:r w:rsidRPr="00F6298A">
        <w:rPr>
          <w:noProof/>
        </w:rPr>
        <w:t xml:space="preserve">Marroig, G., &amp; Cheverud, J. M. (2005). Size as a line of least evolutionary resistance: diet and adaptive morphological radiation in new world monkeys. </w:t>
      </w:r>
      <w:r w:rsidRPr="00F6298A">
        <w:rPr>
          <w:i/>
          <w:noProof/>
        </w:rPr>
        <w:t>Evolution, 59</w:t>
      </w:r>
      <w:r w:rsidRPr="00F6298A">
        <w:rPr>
          <w:noProof/>
        </w:rPr>
        <w:t>(5), 1128-1142. doi:</w:t>
      </w:r>
      <w:hyperlink r:id="rId47" w:history="1">
        <w:r w:rsidRPr="00F6298A">
          <w:rPr>
            <w:rStyle w:val="Hyperlink"/>
            <w:noProof/>
          </w:rPr>
          <w:t>https://doi.org/10.1111/j.0014-3820.2005.tb01049.x</w:t>
        </w:r>
      </w:hyperlink>
    </w:p>
    <w:p w14:paraId="6F40035B" w14:textId="28D660AF" w:rsidR="00F6298A" w:rsidRPr="00F6298A" w:rsidRDefault="00F6298A" w:rsidP="00F6298A">
      <w:pPr>
        <w:pStyle w:val="EndNoteBibliography"/>
        <w:ind w:left="720" w:hanging="720"/>
        <w:rPr>
          <w:noProof/>
        </w:rPr>
      </w:pPr>
      <w:r w:rsidRPr="00F6298A">
        <w:rPr>
          <w:noProof/>
        </w:rPr>
        <w:lastRenderedPageBreak/>
        <w:t xml:space="preserve">Mitchell, D. R. (2019). The anatomy of a crushing bite: The specialised cranial mechanics of a giant extinct kangaroo. </w:t>
      </w:r>
      <w:r w:rsidRPr="00F6298A">
        <w:rPr>
          <w:i/>
          <w:noProof/>
        </w:rPr>
        <w:t>PLOS ONE, 14</w:t>
      </w:r>
      <w:r w:rsidRPr="00F6298A">
        <w:rPr>
          <w:noProof/>
        </w:rPr>
        <w:t>(9), e0221287. doi:</w:t>
      </w:r>
      <w:hyperlink r:id="rId48" w:history="1">
        <w:r w:rsidRPr="00F6298A">
          <w:rPr>
            <w:rStyle w:val="Hyperlink"/>
            <w:noProof/>
          </w:rPr>
          <w:t>https://doi.org/10.1371/journal.pone.0221287</w:t>
        </w:r>
      </w:hyperlink>
    </w:p>
    <w:p w14:paraId="1C6681DE" w14:textId="312A929D" w:rsidR="00F6298A" w:rsidRPr="00F6298A" w:rsidRDefault="00F6298A" w:rsidP="00F6298A">
      <w:pPr>
        <w:pStyle w:val="EndNoteBibliography"/>
        <w:ind w:left="720" w:hanging="720"/>
        <w:rPr>
          <w:noProof/>
        </w:rPr>
      </w:pPr>
      <w:r w:rsidRPr="00F6298A">
        <w:rPr>
          <w:noProof/>
        </w:rPr>
        <w:t xml:space="preserve">Mitchell, D. R., Sherratt, E., Ledogar, J. A., &amp; Wroe, S. (2018). The biomechanics of foraging determines face length among kangaroos and their relatives. </w:t>
      </w:r>
      <w:r w:rsidRPr="00F6298A">
        <w:rPr>
          <w:i/>
          <w:noProof/>
        </w:rPr>
        <w:t>Proceedings of the Royal Society B: Biological Sciences, 285</w:t>
      </w:r>
      <w:r w:rsidRPr="00F6298A">
        <w:rPr>
          <w:noProof/>
        </w:rPr>
        <w:t>(1881), 20180845. doi:</w:t>
      </w:r>
      <w:hyperlink r:id="rId49" w:history="1">
        <w:r w:rsidRPr="00F6298A">
          <w:rPr>
            <w:rStyle w:val="Hyperlink"/>
            <w:noProof/>
          </w:rPr>
          <w:t>https://doi.org/10.1098/rspb.2018.0845</w:t>
        </w:r>
      </w:hyperlink>
    </w:p>
    <w:p w14:paraId="65C96BA3" w14:textId="77777777" w:rsidR="00F6298A" w:rsidRPr="00F6298A" w:rsidRDefault="00F6298A" w:rsidP="00F6298A">
      <w:pPr>
        <w:pStyle w:val="EndNoteBibliography"/>
        <w:ind w:left="720" w:hanging="720"/>
        <w:rPr>
          <w:noProof/>
        </w:rPr>
      </w:pPr>
      <w:r w:rsidRPr="00F6298A">
        <w:rPr>
          <w:noProof/>
        </w:rPr>
        <w:t xml:space="preserve">Mitchell, D. R., Sherratt, E., &amp; Weisbecker, V. (2024). Facing the facts: Adaptive trade-offs along body size ranges determine mammalian craniofacial scaling </w:t>
      </w:r>
      <w:r w:rsidRPr="00F6298A">
        <w:rPr>
          <w:i/>
          <w:noProof/>
        </w:rPr>
        <w:t>Biological Reviews, 99</w:t>
      </w:r>
      <w:r w:rsidRPr="00F6298A">
        <w:rPr>
          <w:noProof/>
        </w:rPr>
        <w:t>(2), 496-524. doi:10.1111/brv.13032</w:t>
      </w:r>
    </w:p>
    <w:p w14:paraId="75810AA9" w14:textId="69D0F9E5" w:rsidR="00F6298A" w:rsidRPr="00F6298A" w:rsidRDefault="00F6298A" w:rsidP="00F6298A">
      <w:pPr>
        <w:pStyle w:val="EndNoteBibliography"/>
        <w:ind w:left="720" w:hanging="720"/>
        <w:rPr>
          <w:noProof/>
        </w:rPr>
      </w:pPr>
      <w:r w:rsidRPr="00F6298A">
        <w:rPr>
          <w:noProof/>
        </w:rPr>
        <w:t xml:space="preserve">Murray, B. R., Dickman, C. R., Watts, C. H. S., &amp; Morton, S. R. (1999). The dietary ecology of Australian rodents. </w:t>
      </w:r>
      <w:r w:rsidRPr="00F6298A">
        <w:rPr>
          <w:i/>
          <w:noProof/>
        </w:rPr>
        <w:t>Wildlife Research, 26</w:t>
      </w:r>
      <w:r w:rsidRPr="00F6298A">
        <w:rPr>
          <w:noProof/>
        </w:rPr>
        <w:t>(6), 857-858. doi:</w:t>
      </w:r>
      <w:hyperlink r:id="rId50" w:history="1">
        <w:r w:rsidRPr="00F6298A">
          <w:rPr>
            <w:rStyle w:val="Hyperlink"/>
            <w:noProof/>
          </w:rPr>
          <w:t>https://doi.org/10.1071/WR97046_CO</w:t>
        </w:r>
      </w:hyperlink>
    </w:p>
    <w:p w14:paraId="100C81EA" w14:textId="00EAB7F5" w:rsidR="00F6298A" w:rsidRPr="00F6298A" w:rsidRDefault="00F6298A" w:rsidP="00F6298A">
      <w:pPr>
        <w:pStyle w:val="EndNoteBibliography"/>
        <w:ind w:left="720" w:hanging="720"/>
        <w:rPr>
          <w:noProof/>
        </w:rPr>
      </w:pPr>
      <w:r w:rsidRPr="00F6298A">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F6298A">
        <w:rPr>
          <w:i/>
          <w:noProof/>
        </w:rPr>
        <w:t xml:space="preserve">R package version 2.6-4 </w:t>
      </w:r>
      <w:hyperlink r:id="rId51" w:history="1">
        <w:r w:rsidRPr="00F6298A">
          <w:rPr>
            <w:rStyle w:val="Hyperlink"/>
            <w:i/>
            <w:noProof/>
          </w:rPr>
          <w:t>https://CRAN.R-project.org/package=vegan</w:t>
        </w:r>
      </w:hyperlink>
      <w:r w:rsidRPr="00F6298A">
        <w:rPr>
          <w:noProof/>
        </w:rPr>
        <w:t xml:space="preserve">. </w:t>
      </w:r>
    </w:p>
    <w:p w14:paraId="27D935A0" w14:textId="60F47C9C" w:rsidR="00F6298A" w:rsidRPr="00F6298A" w:rsidRDefault="00F6298A" w:rsidP="00F6298A">
      <w:pPr>
        <w:pStyle w:val="EndNoteBibliography"/>
        <w:ind w:left="720" w:hanging="720"/>
        <w:rPr>
          <w:noProof/>
        </w:rPr>
      </w:pPr>
      <w:r w:rsidRPr="00F6298A">
        <w:rPr>
          <w:noProof/>
        </w:rPr>
        <w:t xml:space="preserve">R Core Team. (2023). R: A Language and Environment for Statistical Computing_. . </w:t>
      </w:r>
      <w:r w:rsidRPr="00F6298A">
        <w:rPr>
          <w:i/>
          <w:noProof/>
        </w:rPr>
        <w:t xml:space="preserve">R Foundation for Statistical Computing, Vienna, Austria. </w:t>
      </w:r>
      <w:hyperlink r:id="rId52" w:history="1">
        <w:r w:rsidRPr="00F6298A">
          <w:rPr>
            <w:rStyle w:val="Hyperlink"/>
            <w:i/>
            <w:noProof/>
          </w:rPr>
          <w:t>https://www.R-project.org/</w:t>
        </w:r>
      </w:hyperlink>
      <w:r w:rsidRPr="00F6298A">
        <w:rPr>
          <w:noProof/>
        </w:rPr>
        <w:t xml:space="preserve">. </w:t>
      </w:r>
    </w:p>
    <w:p w14:paraId="02ACBC28" w14:textId="3363CB8F" w:rsidR="00F6298A" w:rsidRPr="00F6298A" w:rsidRDefault="00F6298A" w:rsidP="00F6298A">
      <w:pPr>
        <w:pStyle w:val="EndNoteBibliography"/>
        <w:ind w:left="720" w:hanging="720"/>
        <w:rPr>
          <w:noProof/>
        </w:rPr>
      </w:pPr>
      <w:r w:rsidRPr="00F6298A">
        <w:rPr>
          <w:noProof/>
        </w:rPr>
        <w:t xml:space="preserve">Samuels, J. X. (2009). Cranial morphology and dietary habits of rodents. </w:t>
      </w:r>
      <w:r w:rsidRPr="00F6298A">
        <w:rPr>
          <w:i/>
          <w:noProof/>
        </w:rPr>
        <w:t>Zoological Journal of the Linnean Society, 156</w:t>
      </w:r>
      <w:r w:rsidRPr="00F6298A">
        <w:rPr>
          <w:noProof/>
        </w:rPr>
        <w:t>(4), 864-888. doi:</w:t>
      </w:r>
      <w:hyperlink r:id="rId53" w:history="1">
        <w:r w:rsidRPr="00F6298A">
          <w:rPr>
            <w:rStyle w:val="Hyperlink"/>
            <w:noProof/>
          </w:rPr>
          <w:t>https://doi.org/10.1111/j.1096-3642.2009.00502.x</w:t>
        </w:r>
      </w:hyperlink>
    </w:p>
    <w:p w14:paraId="5FDF6833" w14:textId="6A1A4CAB" w:rsidR="00F6298A" w:rsidRPr="00F6298A" w:rsidRDefault="00F6298A" w:rsidP="00F6298A">
      <w:pPr>
        <w:pStyle w:val="EndNoteBibliography"/>
        <w:ind w:left="720" w:hanging="720"/>
        <w:rPr>
          <w:noProof/>
        </w:rPr>
      </w:pPr>
      <w:r w:rsidRPr="00F6298A">
        <w:rPr>
          <w:noProof/>
        </w:rPr>
        <w:t xml:space="preserve">Sansalone, G., Colangelo, P., Loy, A., Raia, P., Wroe, S., &amp; Piras, P. (2019). Impact of transition to a subterranean lifestyle on morphological disparity and integration in talpid moles (Mammalia, Talpidae). </w:t>
      </w:r>
      <w:r w:rsidRPr="00F6298A">
        <w:rPr>
          <w:i/>
          <w:noProof/>
        </w:rPr>
        <w:t>BMC Evolutionary Biology, 19</w:t>
      </w:r>
      <w:r w:rsidRPr="00F6298A">
        <w:rPr>
          <w:noProof/>
        </w:rPr>
        <w:t>(1), 179. doi:</w:t>
      </w:r>
      <w:hyperlink r:id="rId54" w:history="1">
        <w:r w:rsidRPr="00F6298A">
          <w:rPr>
            <w:rStyle w:val="Hyperlink"/>
            <w:noProof/>
          </w:rPr>
          <w:t>https://doi.org/10.1186/s12862-019-1506-0</w:t>
        </w:r>
      </w:hyperlink>
    </w:p>
    <w:p w14:paraId="770F4E9D" w14:textId="785AB665" w:rsidR="00F6298A" w:rsidRPr="00F6298A" w:rsidRDefault="00F6298A" w:rsidP="00F6298A">
      <w:pPr>
        <w:pStyle w:val="EndNoteBibliography"/>
        <w:ind w:left="720" w:hanging="720"/>
        <w:rPr>
          <w:noProof/>
        </w:rPr>
      </w:pPr>
      <w:r w:rsidRPr="00F6298A">
        <w:rPr>
          <w:noProof/>
        </w:rPr>
        <w:t xml:space="preserve">Satoh, K., &amp; Iwaku, F. (2006). Jaw muscle functional anatomy in northern grasshopper mouse, Onychomys leucogaster, a carnivorous murid. </w:t>
      </w:r>
      <w:r w:rsidRPr="00F6298A">
        <w:rPr>
          <w:i/>
          <w:noProof/>
        </w:rPr>
        <w:t>Journal of Morphology, 267</w:t>
      </w:r>
      <w:r w:rsidRPr="00F6298A">
        <w:rPr>
          <w:noProof/>
        </w:rPr>
        <w:t>(8), 987-999. doi:</w:t>
      </w:r>
      <w:hyperlink r:id="rId55" w:history="1">
        <w:r w:rsidRPr="00F6298A">
          <w:rPr>
            <w:rStyle w:val="Hyperlink"/>
            <w:noProof/>
          </w:rPr>
          <w:t>https://doi.org/10.1002/jmor.10443</w:t>
        </w:r>
      </w:hyperlink>
    </w:p>
    <w:p w14:paraId="78F5B965" w14:textId="39B00F92" w:rsidR="00F6298A" w:rsidRPr="00F6298A" w:rsidRDefault="00F6298A" w:rsidP="00F6298A">
      <w:pPr>
        <w:pStyle w:val="EndNoteBibliography"/>
        <w:ind w:left="720" w:hanging="720"/>
        <w:rPr>
          <w:noProof/>
        </w:rPr>
      </w:pPr>
      <w:r w:rsidRPr="00F6298A">
        <w:rPr>
          <w:noProof/>
        </w:rPr>
        <w:t xml:space="preserve">Schlis-Elias, M. C., &amp; Malaney, J. L. (2022). Island biogeography predicts skull gigantism and shape variation in meadow voles Microtus pennsylvanicus through ecological release and allometry. </w:t>
      </w:r>
      <w:r w:rsidRPr="00F6298A">
        <w:rPr>
          <w:i/>
          <w:noProof/>
        </w:rPr>
        <w:t>Oikos, 2022</w:t>
      </w:r>
      <w:r w:rsidRPr="00F6298A">
        <w:rPr>
          <w:noProof/>
        </w:rPr>
        <w:t>(4), e08777. doi:</w:t>
      </w:r>
      <w:hyperlink r:id="rId56" w:history="1">
        <w:r w:rsidRPr="00F6298A">
          <w:rPr>
            <w:rStyle w:val="Hyperlink"/>
            <w:noProof/>
          </w:rPr>
          <w:t>https://doi.org/10.1111/oik.08777</w:t>
        </w:r>
      </w:hyperlink>
    </w:p>
    <w:p w14:paraId="1203E4B2" w14:textId="77777777" w:rsidR="00F6298A" w:rsidRPr="00F6298A" w:rsidRDefault="00F6298A" w:rsidP="00F6298A">
      <w:pPr>
        <w:pStyle w:val="EndNoteBibliography"/>
        <w:ind w:left="720" w:hanging="720"/>
        <w:rPr>
          <w:noProof/>
        </w:rPr>
      </w:pPr>
      <w:r w:rsidRPr="00F6298A">
        <w:rPr>
          <w:noProof/>
        </w:rPr>
        <w:t xml:space="preserve">Segura, V., Flores, D., &amp; Deferrari, G. (2023). Comparison of skull growth in two ecosystem modifiers: beavers Castor canadensis (Rodentia: Castoridae) and muskrats Ondatra zibethicus (Rodentia: Cricetidae). </w:t>
      </w:r>
      <w:r w:rsidRPr="00F6298A">
        <w:rPr>
          <w:i/>
          <w:noProof/>
        </w:rPr>
        <w:t>Zoologischer Anzeiger, 304</w:t>
      </w:r>
      <w:r w:rsidRPr="00F6298A">
        <w:rPr>
          <w:noProof/>
        </w:rPr>
        <w:t xml:space="preserve">, 61-72. </w:t>
      </w:r>
    </w:p>
    <w:p w14:paraId="712D80E2" w14:textId="77777777" w:rsidR="00F6298A" w:rsidRPr="00F6298A" w:rsidRDefault="00F6298A" w:rsidP="00F6298A">
      <w:pPr>
        <w:pStyle w:val="EndNoteBibliography"/>
        <w:ind w:left="720" w:hanging="720"/>
        <w:rPr>
          <w:noProof/>
        </w:rPr>
      </w:pPr>
      <w:r w:rsidRPr="00F6298A">
        <w:rPr>
          <w:noProof/>
        </w:rPr>
        <w:t xml:space="preserve">Singleton, M. (2005). Functional shape variation in the Cercopithecine masticatory complex. In D. E. Slice (Ed.), </w:t>
      </w:r>
      <w:r w:rsidRPr="00F6298A">
        <w:rPr>
          <w:i/>
          <w:noProof/>
        </w:rPr>
        <w:t>Modern Morphometrics in Physical Anthropology</w:t>
      </w:r>
      <w:r w:rsidRPr="00F6298A">
        <w:rPr>
          <w:noProof/>
        </w:rPr>
        <w:t xml:space="preserve"> (pp. 319-348). Boston, MA: Springer US.</w:t>
      </w:r>
    </w:p>
    <w:p w14:paraId="7C4751A3" w14:textId="7600AEC2" w:rsidR="00F6298A" w:rsidRPr="00F6298A" w:rsidRDefault="00F6298A" w:rsidP="00F6298A">
      <w:pPr>
        <w:pStyle w:val="EndNoteBibliography"/>
        <w:ind w:left="720" w:hanging="720"/>
        <w:rPr>
          <w:noProof/>
        </w:rPr>
      </w:pPr>
      <w:r w:rsidRPr="00F6298A">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w:t>
      </w:r>
      <w:r w:rsidRPr="00F6298A">
        <w:rPr>
          <w:noProof/>
        </w:rPr>
        <w:lastRenderedPageBreak/>
        <w:t xml:space="preserve">brain size. </w:t>
      </w:r>
      <w:r w:rsidRPr="00F6298A">
        <w:rPr>
          <w:i/>
          <w:noProof/>
        </w:rPr>
        <w:t>Science Advances, 7</w:t>
      </w:r>
      <w:r w:rsidRPr="00F6298A">
        <w:rPr>
          <w:noProof/>
        </w:rPr>
        <w:t>(18), eabe2101. doi:</w:t>
      </w:r>
      <w:hyperlink r:id="rId57" w:history="1">
        <w:r w:rsidRPr="00F6298A">
          <w:rPr>
            <w:rStyle w:val="Hyperlink"/>
            <w:noProof/>
          </w:rPr>
          <w:t>https://doi.org/10.1126/sciadv.abe2101</w:t>
        </w:r>
      </w:hyperlink>
    </w:p>
    <w:p w14:paraId="08C916A9" w14:textId="0570391C" w:rsidR="00F6298A" w:rsidRPr="00F6298A" w:rsidRDefault="00F6298A" w:rsidP="00F6298A">
      <w:pPr>
        <w:pStyle w:val="EndNoteBibliography"/>
        <w:ind w:left="720" w:hanging="720"/>
        <w:rPr>
          <w:noProof/>
        </w:rPr>
      </w:pPr>
      <w:r w:rsidRPr="00F6298A">
        <w:rPr>
          <w:noProof/>
        </w:rPr>
        <w:t xml:space="preserve">Smissen, P. J., &amp; Rowe, K. C. (2018). Repeated biome transitions in the evolution of Australian rodents. </w:t>
      </w:r>
      <w:r w:rsidRPr="00F6298A">
        <w:rPr>
          <w:i/>
          <w:noProof/>
        </w:rPr>
        <w:t>Molecular Phylogenetics and Evolution, 128</w:t>
      </w:r>
      <w:r w:rsidRPr="00F6298A">
        <w:rPr>
          <w:noProof/>
        </w:rPr>
        <w:t>, 182-191. doi:</w:t>
      </w:r>
      <w:hyperlink r:id="rId58" w:history="1">
        <w:r w:rsidRPr="00F6298A">
          <w:rPr>
            <w:rStyle w:val="Hyperlink"/>
            <w:noProof/>
          </w:rPr>
          <w:t>https://doi.org/10.1016/j.ympev.2018.07.015</w:t>
        </w:r>
      </w:hyperlink>
    </w:p>
    <w:p w14:paraId="38A01F63" w14:textId="7229263F" w:rsidR="00F6298A" w:rsidRPr="00F6298A" w:rsidRDefault="00F6298A" w:rsidP="00F6298A">
      <w:pPr>
        <w:pStyle w:val="EndNoteBibliography"/>
        <w:ind w:left="720" w:hanging="720"/>
        <w:rPr>
          <w:noProof/>
        </w:rPr>
      </w:pPr>
      <w:r w:rsidRPr="00F6298A">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F6298A">
        <w:rPr>
          <w:i/>
          <w:noProof/>
        </w:rPr>
        <w:t>Australopithecus africanus</w:t>
      </w:r>
      <w:r w:rsidRPr="00F6298A">
        <w:rPr>
          <w:noProof/>
        </w:rPr>
        <w:t xml:space="preserve">. </w:t>
      </w:r>
      <w:r w:rsidRPr="00F6298A">
        <w:rPr>
          <w:i/>
          <w:noProof/>
        </w:rPr>
        <w:t>Proceedings of the National Academy of Sciences, 106</w:t>
      </w:r>
      <w:r w:rsidRPr="00F6298A">
        <w:rPr>
          <w:noProof/>
        </w:rPr>
        <w:t>(7), 2124-2129. doi:</w:t>
      </w:r>
      <w:hyperlink r:id="rId59" w:history="1">
        <w:r w:rsidRPr="00F6298A">
          <w:rPr>
            <w:rStyle w:val="Hyperlink"/>
            <w:noProof/>
          </w:rPr>
          <w:t>https://doi.org/10.1073/pnas.0808730106</w:t>
        </w:r>
      </w:hyperlink>
    </w:p>
    <w:p w14:paraId="753C2872" w14:textId="77777777" w:rsidR="00F6298A" w:rsidRPr="00F6298A" w:rsidRDefault="00F6298A" w:rsidP="00F6298A">
      <w:pPr>
        <w:pStyle w:val="EndNoteBibliography"/>
        <w:ind w:left="720" w:hanging="720"/>
        <w:rPr>
          <w:noProof/>
        </w:rPr>
      </w:pPr>
      <w:r w:rsidRPr="00F6298A">
        <w:rPr>
          <w:noProof/>
        </w:rPr>
        <w:t xml:space="preserve">Van Valkenburgh, B. (1989). Carnivore dental adaptations and diet: A study of trophic diversity within Guilds. In J. L. Gittleman (Ed.), </w:t>
      </w:r>
      <w:r w:rsidRPr="00F6298A">
        <w:rPr>
          <w:i/>
          <w:noProof/>
        </w:rPr>
        <w:t>Carnivore Behavior, Ecology, and Evolution</w:t>
      </w:r>
      <w:r w:rsidRPr="00F6298A">
        <w:rPr>
          <w:noProof/>
        </w:rPr>
        <w:t xml:space="preserve"> (pp. 410-436). Boston, MA: Springer US.</w:t>
      </w:r>
    </w:p>
    <w:p w14:paraId="78BF57D3" w14:textId="325B3E52" w:rsidR="00F6298A" w:rsidRPr="00F6298A" w:rsidRDefault="00F6298A" w:rsidP="00F6298A">
      <w:pPr>
        <w:pStyle w:val="EndNoteBibliography"/>
        <w:ind w:left="720" w:hanging="720"/>
        <w:rPr>
          <w:noProof/>
        </w:rPr>
      </w:pPr>
      <w:r w:rsidRPr="00F6298A">
        <w:rPr>
          <w:noProof/>
        </w:rPr>
        <w:t xml:space="preserve">Voje, K. L., Hansen, T. F., Egset, C. K., Bolstad, G. H., &amp; Pélabon, C. (2014). Allometric constraints and the evolution of allometry. </w:t>
      </w:r>
      <w:r w:rsidRPr="00F6298A">
        <w:rPr>
          <w:i/>
          <w:noProof/>
        </w:rPr>
        <w:t>Evolution, 68</w:t>
      </w:r>
      <w:r w:rsidRPr="00F6298A">
        <w:rPr>
          <w:noProof/>
        </w:rPr>
        <w:t>(3), 866-885. doi:</w:t>
      </w:r>
      <w:hyperlink r:id="rId60" w:history="1">
        <w:r w:rsidRPr="00F6298A">
          <w:rPr>
            <w:rStyle w:val="Hyperlink"/>
            <w:noProof/>
          </w:rPr>
          <w:t>https://doi.org/10.1111/evo.12312</w:t>
        </w:r>
      </w:hyperlink>
    </w:p>
    <w:p w14:paraId="54B5408A" w14:textId="46ED98A6" w:rsidR="00F6298A" w:rsidRPr="00F6298A" w:rsidRDefault="00F6298A" w:rsidP="00F6298A">
      <w:pPr>
        <w:pStyle w:val="EndNoteBibliography"/>
        <w:ind w:left="720" w:hanging="720"/>
        <w:rPr>
          <w:noProof/>
        </w:rPr>
      </w:pPr>
      <w:r w:rsidRPr="00F6298A">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F6298A">
        <w:rPr>
          <w:i/>
          <w:noProof/>
        </w:rPr>
        <w:t>Frontiers in Zoology, 16</w:t>
      </w:r>
      <w:r w:rsidRPr="00F6298A">
        <w:rPr>
          <w:noProof/>
        </w:rPr>
        <w:t>(1), 41. doi:</w:t>
      </w:r>
      <w:hyperlink r:id="rId61" w:history="1">
        <w:r w:rsidRPr="00F6298A">
          <w:rPr>
            <w:rStyle w:val="Hyperlink"/>
            <w:noProof/>
          </w:rPr>
          <w:t>https://doi.org/10.1186/s12983-019-0338-5</w:t>
        </w:r>
      </w:hyperlink>
    </w:p>
    <w:p w14:paraId="210D676A" w14:textId="6D9666F3" w:rsidR="00F6298A" w:rsidRPr="00F6298A" w:rsidRDefault="00F6298A" w:rsidP="00F6298A">
      <w:pPr>
        <w:pStyle w:val="EndNoteBibliography"/>
        <w:ind w:left="720" w:hanging="720"/>
        <w:rPr>
          <w:noProof/>
        </w:rPr>
      </w:pPr>
      <w:r w:rsidRPr="00F6298A">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F6298A">
        <w:rPr>
          <w:i/>
          <w:noProof/>
        </w:rPr>
        <w:t>Evolution, 75</w:t>
      </w:r>
      <w:r w:rsidRPr="00F6298A">
        <w:rPr>
          <w:noProof/>
        </w:rPr>
        <w:t>(3), 625-640. doi:</w:t>
      </w:r>
      <w:hyperlink r:id="rId62" w:history="1">
        <w:r w:rsidRPr="00F6298A">
          <w:rPr>
            <w:rStyle w:val="Hyperlink"/>
            <w:noProof/>
          </w:rPr>
          <w:t>https://doi.org/10.1111/evo.14163</w:t>
        </w:r>
      </w:hyperlink>
    </w:p>
    <w:p w14:paraId="2360D8E9" w14:textId="1B7BFF0C" w:rsidR="00F6298A" w:rsidRPr="00F6298A" w:rsidRDefault="00F6298A" w:rsidP="00F6298A">
      <w:pPr>
        <w:pStyle w:val="EndNoteBibliography"/>
        <w:ind w:left="720" w:hanging="720"/>
        <w:rPr>
          <w:noProof/>
        </w:rPr>
      </w:pPr>
      <w:r w:rsidRPr="00F6298A">
        <w:rPr>
          <w:noProof/>
        </w:rPr>
        <w:t xml:space="preserve">Williams, S. H., Peiffer, E., &amp; Ford, S. (2009). Gape and bite force in the rodents </w:t>
      </w:r>
      <w:r w:rsidRPr="00F6298A">
        <w:rPr>
          <w:i/>
          <w:noProof/>
        </w:rPr>
        <w:t>Onychomys leucogaster</w:t>
      </w:r>
      <w:r w:rsidRPr="00F6298A">
        <w:rPr>
          <w:noProof/>
        </w:rPr>
        <w:t xml:space="preserve"> and </w:t>
      </w:r>
      <w:r w:rsidRPr="00F6298A">
        <w:rPr>
          <w:i/>
          <w:noProof/>
        </w:rPr>
        <w:t>Peromyscus maniculatus</w:t>
      </w:r>
      <w:r w:rsidRPr="00F6298A">
        <w:rPr>
          <w:noProof/>
        </w:rPr>
        <w:t xml:space="preserve">: Does jaw-muscle anatomy predict performance? </w:t>
      </w:r>
      <w:r w:rsidRPr="00F6298A">
        <w:rPr>
          <w:i/>
          <w:noProof/>
        </w:rPr>
        <w:t>Journal of Morphology, 270</w:t>
      </w:r>
      <w:r w:rsidRPr="00F6298A">
        <w:rPr>
          <w:noProof/>
        </w:rPr>
        <w:t>(11), 1338-1347. doi:</w:t>
      </w:r>
      <w:hyperlink r:id="rId63" w:history="1">
        <w:r w:rsidRPr="00F6298A">
          <w:rPr>
            <w:rStyle w:val="Hyperlink"/>
            <w:noProof/>
          </w:rPr>
          <w:t>https://doi.org/10.1002/jmor.10761</w:t>
        </w:r>
      </w:hyperlink>
    </w:p>
    <w:p w14:paraId="7B8CF258" w14:textId="231E4522" w:rsidR="00F6298A" w:rsidRPr="00F6298A" w:rsidRDefault="00F6298A" w:rsidP="00F6298A">
      <w:pPr>
        <w:pStyle w:val="EndNoteBibliography"/>
        <w:ind w:left="720" w:hanging="720"/>
        <w:rPr>
          <w:noProof/>
        </w:rPr>
      </w:pPr>
      <w:r w:rsidRPr="00F6298A">
        <w:rPr>
          <w:noProof/>
        </w:rPr>
        <w:t xml:space="preserve">Wilson, L. A. B. (2013). Allometric disparity in rodent evolution. </w:t>
      </w:r>
      <w:r w:rsidRPr="00F6298A">
        <w:rPr>
          <w:i/>
          <w:noProof/>
        </w:rPr>
        <w:t>Ecology and Evolution, 3</w:t>
      </w:r>
      <w:r w:rsidRPr="00F6298A">
        <w:rPr>
          <w:noProof/>
        </w:rPr>
        <w:t>(4), 971-984. doi:</w:t>
      </w:r>
      <w:hyperlink r:id="rId64" w:history="1">
        <w:r w:rsidRPr="00F6298A">
          <w:rPr>
            <w:rStyle w:val="Hyperlink"/>
            <w:noProof/>
          </w:rPr>
          <w:t>https://doi.org/10.1002/ece3.521</w:t>
        </w:r>
      </w:hyperlink>
    </w:p>
    <w:p w14:paraId="4ADAD7B9" w14:textId="77777777" w:rsidR="00F6298A" w:rsidRPr="00F6298A" w:rsidRDefault="00F6298A" w:rsidP="00F6298A">
      <w:pPr>
        <w:pStyle w:val="EndNoteBibliography"/>
        <w:ind w:left="720" w:hanging="720"/>
        <w:rPr>
          <w:noProof/>
        </w:rPr>
      </w:pPr>
      <w:r w:rsidRPr="00F6298A">
        <w:rPr>
          <w:noProof/>
        </w:rPr>
        <w:t xml:space="preserve">Winkler, D. E., Schulz-Kornas, E., Kaiser, T. M., De Cuyper, A., Clauss, M., &amp; Tütken, T. (2019). Forage silica and water content control dental surface texture in guinea pigs and provide implications for dietary reconstruction. </w:t>
      </w:r>
      <w:r w:rsidRPr="00F6298A">
        <w:rPr>
          <w:i/>
          <w:noProof/>
        </w:rPr>
        <w:t>Proceedings of the National Academy of Sciences, 116</w:t>
      </w:r>
      <w:r w:rsidRPr="00F6298A">
        <w:rPr>
          <w:noProof/>
        </w:rPr>
        <w:t>(4), 1325-1330. doi:doi:10.1073/pnas.1814081116</w:t>
      </w:r>
    </w:p>
    <w:p w14:paraId="2C600CC9" w14:textId="5E530F3D" w:rsidR="00F6298A" w:rsidRPr="00F6298A" w:rsidRDefault="00F6298A" w:rsidP="00F6298A">
      <w:pPr>
        <w:pStyle w:val="EndNoteBibliography"/>
        <w:ind w:left="720" w:hanging="720"/>
        <w:rPr>
          <w:noProof/>
        </w:rPr>
      </w:pPr>
      <w:r w:rsidRPr="00F6298A">
        <w:rPr>
          <w:noProof/>
        </w:rPr>
        <w:t xml:space="preserve">Young, N. M., Linde-Medina, M., Fondon, J. W., Hallgrímsson, B., &amp; Marcucio, R. S. (2017). Craniofacial diversification in the domestic pigeon and the evolution of the avian skull. </w:t>
      </w:r>
      <w:r w:rsidRPr="00F6298A">
        <w:rPr>
          <w:i/>
          <w:noProof/>
        </w:rPr>
        <w:t>Nature Ecology &amp; Evolution, 1</w:t>
      </w:r>
      <w:r w:rsidRPr="00F6298A">
        <w:rPr>
          <w:noProof/>
        </w:rPr>
        <w:t>(4), 0095. doi:</w:t>
      </w:r>
      <w:hyperlink r:id="rId65" w:history="1">
        <w:r w:rsidRPr="00F6298A">
          <w:rPr>
            <w:rStyle w:val="Hyperlink"/>
            <w:noProof/>
          </w:rPr>
          <w:t>https://doi.org/10.1038/s41559-017-0095</w:t>
        </w:r>
      </w:hyperlink>
    </w:p>
    <w:p w14:paraId="0C446B9A" w14:textId="77777777" w:rsidR="00F6298A" w:rsidRPr="00F6298A" w:rsidRDefault="00F6298A" w:rsidP="00F6298A">
      <w:pPr>
        <w:pStyle w:val="EndNoteBibliography"/>
        <w:ind w:left="720" w:hanging="720"/>
        <w:rPr>
          <w:noProof/>
        </w:rPr>
      </w:pPr>
      <w:r w:rsidRPr="00F6298A">
        <w:rPr>
          <w:noProof/>
        </w:rPr>
        <w:t xml:space="preserve">Zelditch, M. L., &amp; Swiderski, D. L. (2023). The predictable complexity of evolutionary allometry. </w:t>
      </w:r>
      <w:r w:rsidRPr="00F6298A">
        <w:rPr>
          <w:i/>
          <w:noProof/>
        </w:rPr>
        <w:t>Evolutionary Biology, 50</w:t>
      </w:r>
      <w:r w:rsidRPr="00F6298A">
        <w:rPr>
          <w:noProof/>
        </w:rPr>
        <w:t xml:space="preserve">(1), 56-77. </w:t>
      </w:r>
    </w:p>
    <w:p w14:paraId="30972CFF" w14:textId="7BD74379"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6"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7"/>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8"/>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2B5FA9">
      <w:footerReference w:type="default" r:id="rId69"/>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D1673" w14:textId="77777777" w:rsidR="002B5FA9" w:rsidRDefault="002B5FA9">
      <w:r>
        <w:separator/>
      </w:r>
    </w:p>
  </w:endnote>
  <w:endnote w:type="continuationSeparator" w:id="0">
    <w:p w14:paraId="1E59822D" w14:textId="77777777" w:rsidR="002B5FA9" w:rsidRDefault="002B5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99557" w14:textId="77777777" w:rsidR="002B5FA9" w:rsidRDefault="002B5FA9">
      <w:r>
        <w:separator/>
      </w:r>
    </w:p>
  </w:footnote>
  <w:footnote w:type="continuationSeparator" w:id="0">
    <w:p w14:paraId="2CAA4C8C" w14:textId="77777777" w:rsidR="002B5FA9" w:rsidRDefault="002B5F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record-ids&gt;&lt;/item&gt;&lt;/Libraries&gt;"/>
  </w:docVars>
  <w:rsids>
    <w:rsidRoot w:val="008922AE"/>
    <w:rsid w:val="00002B33"/>
    <w:rsid w:val="000033BE"/>
    <w:rsid w:val="00014915"/>
    <w:rsid w:val="0006003B"/>
    <w:rsid w:val="000640A4"/>
    <w:rsid w:val="000650EE"/>
    <w:rsid w:val="00076B55"/>
    <w:rsid w:val="0008082D"/>
    <w:rsid w:val="00092FE1"/>
    <w:rsid w:val="000B2823"/>
    <w:rsid w:val="000B302A"/>
    <w:rsid w:val="000B6A67"/>
    <w:rsid w:val="000D500A"/>
    <w:rsid w:val="000E15A6"/>
    <w:rsid w:val="000E694B"/>
    <w:rsid w:val="000E7AF4"/>
    <w:rsid w:val="001035B6"/>
    <w:rsid w:val="001040E1"/>
    <w:rsid w:val="00112A41"/>
    <w:rsid w:val="00122978"/>
    <w:rsid w:val="00127236"/>
    <w:rsid w:val="0013479C"/>
    <w:rsid w:val="0014692A"/>
    <w:rsid w:val="00155A92"/>
    <w:rsid w:val="00163C9C"/>
    <w:rsid w:val="00174EF9"/>
    <w:rsid w:val="0019349F"/>
    <w:rsid w:val="00196A9E"/>
    <w:rsid w:val="001A1C0F"/>
    <w:rsid w:val="001B3685"/>
    <w:rsid w:val="001D2733"/>
    <w:rsid w:val="001D4B99"/>
    <w:rsid w:val="001D5FD2"/>
    <w:rsid w:val="001D75A2"/>
    <w:rsid w:val="001D7B39"/>
    <w:rsid w:val="001F08AE"/>
    <w:rsid w:val="00216AC5"/>
    <w:rsid w:val="002173E8"/>
    <w:rsid w:val="002173F8"/>
    <w:rsid w:val="00226921"/>
    <w:rsid w:val="002453A9"/>
    <w:rsid w:val="00245C5E"/>
    <w:rsid w:val="0025189D"/>
    <w:rsid w:val="00261883"/>
    <w:rsid w:val="00261ED6"/>
    <w:rsid w:val="00263DD3"/>
    <w:rsid w:val="00264F04"/>
    <w:rsid w:val="00272C92"/>
    <w:rsid w:val="00297793"/>
    <w:rsid w:val="002A34C7"/>
    <w:rsid w:val="002B000F"/>
    <w:rsid w:val="002B5FA9"/>
    <w:rsid w:val="002C29CB"/>
    <w:rsid w:val="002E42C0"/>
    <w:rsid w:val="002E7775"/>
    <w:rsid w:val="002F2D31"/>
    <w:rsid w:val="00305153"/>
    <w:rsid w:val="00317F8E"/>
    <w:rsid w:val="00323E39"/>
    <w:rsid w:val="00323F8B"/>
    <w:rsid w:val="003266F8"/>
    <w:rsid w:val="003408C3"/>
    <w:rsid w:val="0034292C"/>
    <w:rsid w:val="003455E2"/>
    <w:rsid w:val="003543F6"/>
    <w:rsid w:val="00366596"/>
    <w:rsid w:val="00380507"/>
    <w:rsid w:val="00381040"/>
    <w:rsid w:val="003A188B"/>
    <w:rsid w:val="003A5829"/>
    <w:rsid w:val="003B0500"/>
    <w:rsid w:val="003B404E"/>
    <w:rsid w:val="003B7E1E"/>
    <w:rsid w:val="003C14C3"/>
    <w:rsid w:val="003C7F90"/>
    <w:rsid w:val="003E4105"/>
    <w:rsid w:val="00411130"/>
    <w:rsid w:val="00422522"/>
    <w:rsid w:val="0043398A"/>
    <w:rsid w:val="004550BE"/>
    <w:rsid w:val="00480F1D"/>
    <w:rsid w:val="00481B35"/>
    <w:rsid w:val="00491B6E"/>
    <w:rsid w:val="00492FE4"/>
    <w:rsid w:val="00493544"/>
    <w:rsid w:val="004C3067"/>
    <w:rsid w:val="004C7554"/>
    <w:rsid w:val="004D0A02"/>
    <w:rsid w:val="004D38FD"/>
    <w:rsid w:val="004D6CED"/>
    <w:rsid w:val="004E1AAB"/>
    <w:rsid w:val="004F4B48"/>
    <w:rsid w:val="004F5580"/>
    <w:rsid w:val="00527971"/>
    <w:rsid w:val="0053012A"/>
    <w:rsid w:val="00533639"/>
    <w:rsid w:val="00537CA3"/>
    <w:rsid w:val="0056323C"/>
    <w:rsid w:val="00564AD8"/>
    <w:rsid w:val="00566919"/>
    <w:rsid w:val="00573D24"/>
    <w:rsid w:val="00581044"/>
    <w:rsid w:val="00582E1F"/>
    <w:rsid w:val="005B181F"/>
    <w:rsid w:val="005B661F"/>
    <w:rsid w:val="005D14AF"/>
    <w:rsid w:val="005D171E"/>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A14F8"/>
    <w:rsid w:val="006B7490"/>
    <w:rsid w:val="006E4A5B"/>
    <w:rsid w:val="00721492"/>
    <w:rsid w:val="007215C9"/>
    <w:rsid w:val="00743F31"/>
    <w:rsid w:val="00744975"/>
    <w:rsid w:val="00751EC7"/>
    <w:rsid w:val="0075246D"/>
    <w:rsid w:val="0075257D"/>
    <w:rsid w:val="00775EF2"/>
    <w:rsid w:val="0079408D"/>
    <w:rsid w:val="007B38FA"/>
    <w:rsid w:val="007C1E0B"/>
    <w:rsid w:val="007D2A7D"/>
    <w:rsid w:val="007D4622"/>
    <w:rsid w:val="007F3B28"/>
    <w:rsid w:val="007F4F9A"/>
    <w:rsid w:val="007F54EC"/>
    <w:rsid w:val="007F6BB1"/>
    <w:rsid w:val="0080015A"/>
    <w:rsid w:val="00805130"/>
    <w:rsid w:val="00807F77"/>
    <w:rsid w:val="00824F7A"/>
    <w:rsid w:val="00837FC7"/>
    <w:rsid w:val="00866A5E"/>
    <w:rsid w:val="0087042B"/>
    <w:rsid w:val="008922AE"/>
    <w:rsid w:val="0089641F"/>
    <w:rsid w:val="008B1B35"/>
    <w:rsid w:val="008B4CD1"/>
    <w:rsid w:val="008D0A12"/>
    <w:rsid w:val="008E0A28"/>
    <w:rsid w:val="008F3C9D"/>
    <w:rsid w:val="008F58D9"/>
    <w:rsid w:val="009063D8"/>
    <w:rsid w:val="0090753B"/>
    <w:rsid w:val="009145B2"/>
    <w:rsid w:val="00916840"/>
    <w:rsid w:val="00924ECB"/>
    <w:rsid w:val="00932518"/>
    <w:rsid w:val="00935EFD"/>
    <w:rsid w:val="009502DF"/>
    <w:rsid w:val="00956157"/>
    <w:rsid w:val="00960507"/>
    <w:rsid w:val="00976A94"/>
    <w:rsid w:val="0098026F"/>
    <w:rsid w:val="00994273"/>
    <w:rsid w:val="009942D1"/>
    <w:rsid w:val="009A4266"/>
    <w:rsid w:val="009A5291"/>
    <w:rsid w:val="009A7581"/>
    <w:rsid w:val="009D6B1F"/>
    <w:rsid w:val="009E41FE"/>
    <w:rsid w:val="009E4BDB"/>
    <w:rsid w:val="009F559E"/>
    <w:rsid w:val="00A15124"/>
    <w:rsid w:val="00A21F2A"/>
    <w:rsid w:val="00A24879"/>
    <w:rsid w:val="00A253B7"/>
    <w:rsid w:val="00A30C95"/>
    <w:rsid w:val="00A40202"/>
    <w:rsid w:val="00A42C86"/>
    <w:rsid w:val="00A44BA0"/>
    <w:rsid w:val="00A6497B"/>
    <w:rsid w:val="00A65F2F"/>
    <w:rsid w:val="00A71B05"/>
    <w:rsid w:val="00A81B39"/>
    <w:rsid w:val="00A859F5"/>
    <w:rsid w:val="00A861D3"/>
    <w:rsid w:val="00A959CF"/>
    <w:rsid w:val="00AA6F15"/>
    <w:rsid w:val="00AB10B4"/>
    <w:rsid w:val="00AE0DCE"/>
    <w:rsid w:val="00AF057B"/>
    <w:rsid w:val="00AF59F6"/>
    <w:rsid w:val="00AF74E7"/>
    <w:rsid w:val="00B02AC1"/>
    <w:rsid w:val="00B0609F"/>
    <w:rsid w:val="00B1097F"/>
    <w:rsid w:val="00B27788"/>
    <w:rsid w:val="00B4001F"/>
    <w:rsid w:val="00B43042"/>
    <w:rsid w:val="00B4519F"/>
    <w:rsid w:val="00B508B1"/>
    <w:rsid w:val="00B86823"/>
    <w:rsid w:val="00BA753C"/>
    <w:rsid w:val="00BB4074"/>
    <w:rsid w:val="00BD54DD"/>
    <w:rsid w:val="00BE1B29"/>
    <w:rsid w:val="00BE4905"/>
    <w:rsid w:val="00BF18AC"/>
    <w:rsid w:val="00BF1D5C"/>
    <w:rsid w:val="00BF36EE"/>
    <w:rsid w:val="00BF6875"/>
    <w:rsid w:val="00BF780A"/>
    <w:rsid w:val="00C014AE"/>
    <w:rsid w:val="00C124ED"/>
    <w:rsid w:val="00C20C4B"/>
    <w:rsid w:val="00C248A2"/>
    <w:rsid w:val="00C41EB0"/>
    <w:rsid w:val="00C46768"/>
    <w:rsid w:val="00C62D76"/>
    <w:rsid w:val="00C75404"/>
    <w:rsid w:val="00C76B4F"/>
    <w:rsid w:val="00C77C9D"/>
    <w:rsid w:val="00C8529A"/>
    <w:rsid w:val="00CA15B6"/>
    <w:rsid w:val="00CA4AD8"/>
    <w:rsid w:val="00CC6B57"/>
    <w:rsid w:val="00CD6888"/>
    <w:rsid w:val="00CF55FC"/>
    <w:rsid w:val="00CF662F"/>
    <w:rsid w:val="00D0603F"/>
    <w:rsid w:val="00D2526B"/>
    <w:rsid w:val="00D37864"/>
    <w:rsid w:val="00D40434"/>
    <w:rsid w:val="00D54F21"/>
    <w:rsid w:val="00D63252"/>
    <w:rsid w:val="00D678AA"/>
    <w:rsid w:val="00D70DF0"/>
    <w:rsid w:val="00D769D6"/>
    <w:rsid w:val="00D7787B"/>
    <w:rsid w:val="00D95117"/>
    <w:rsid w:val="00DB09F3"/>
    <w:rsid w:val="00DB1D12"/>
    <w:rsid w:val="00DB27F9"/>
    <w:rsid w:val="00DB4D1C"/>
    <w:rsid w:val="00DB7BF9"/>
    <w:rsid w:val="00DC75D6"/>
    <w:rsid w:val="00DD72E6"/>
    <w:rsid w:val="00DF3B52"/>
    <w:rsid w:val="00E00B56"/>
    <w:rsid w:val="00E00FF4"/>
    <w:rsid w:val="00E2097B"/>
    <w:rsid w:val="00E24766"/>
    <w:rsid w:val="00E40BB6"/>
    <w:rsid w:val="00E5650C"/>
    <w:rsid w:val="00E91143"/>
    <w:rsid w:val="00E92636"/>
    <w:rsid w:val="00EC5854"/>
    <w:rsid w:val="00EC6815"/>
    <w:rsid w:val="00ED08DD"/>
    <w:rsid w:val="00ED28C2"/>
    <w:rsid w:val="00EE1CC5"/>
    <w:rsid w:val="00EE6B7A"/>
    <w:rsid w:val="00F02BB5"/>
    <w:rsid w:val="00F1272E"/>
    <w:rsid w:val="00F17323"/>
    <w:rsid w:val="00F372B1"/>
    <w:rsid w:val="00F40A98"/>
    <w:rsid w:val="00F43948"/>
    <w:rsid w:val="00F54CA6"/>
    <w:rsid w:val="00F560B0"/>
    <w:rsid w:val="00F6298A"/>
    <w:rsid w:val="00F637F6"/>
    <w:rsid w:val="00F723FD"/>
    <w:rsid w:val="00F72D9A"/>
    <w:rsid w:val="00F74A54"/>
    <w:rsid w:val="00F8733B"/>
    <w:rsid w:val="00F96C91"/>
    <w:rsid w:val="00FA7D66"/>
    <w:rsid w:val="00FB409C"/>
    <w:rsid w:val="00FB56A4"/>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CRAN.R-project.org/package=RRPP" TargetMode="External"/><Relationship Id="rId39" Type="http://schemas.openxmlformats.org/officeDocument/2006/relationships/hyperlink" Target="https://doi.org/10.1093/bioinformatics/btq166" TargetMode="External"/><Relationship Id="rId21" Type="http://schemas.openxmlformats.org/officeDocument/2006/relationships/hyperlink" Target="https://doi.org/10.1073/pnas.1602683113" TargetMode="External"/><Relationship Id="rId34" Type="http://schemas.openxmlformats.org/officeDocument/2006/relationships/hyperlink" Target="https://doi.org/10.1126/science.abm7525" TargetMode="External"/><Relationship Id="rId42" Type="http://schemas.openxmlformats.org/officeDocument/2006/relationships/hyperlink" Target="https://doi.org/10.7717/peerj.2453" TargetMode="External"/><Relationship Id="rId47" Type="http://schemas.openxmlformats.org/officeDocument/2006/relationships/hyperlink" Target="https://doi.org/10.1111/j.0014-3820.2005.tb01049.x" TargetMode="External"/><Relationship Id="rId50" Type="http://schemas.openxmlformats.org/officeDocument/2006/relationships/hyperlink" Target="https://doi.org/10.1071/WR97046_CO" TargetMode="External"/><Relationship Id="rId55" Type="http://schemas.openxmlformats.org/officeDocument/2006/relationships/hyperlink" Target="https://doi.org/10.1002/jmor.10443" TargetMode="External"/><Relationship Id="rId63" Type="http://schemas.openxmlformats.org/officeDocument/2006/relationships/hyperlink" Target="https://doi.org/10.1002/jmor.10761" TargetMode="External"/><Relationship Id="rId6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02/ece3.27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02/wics.1460" TargetMode="External"/><Relationship Id="rId32" Type="http://schemas.openxmlformats.org/officeDocument/2006/relationships/hyperlink" Target="https://doi.org/10.1002/jmor.20845" TargetMode="External"/><Relationship Id="rId37" Type="http://schemas.openxmlformats.org/officeDocument/2006/relationships/hyperlink" Target="https://doi.org/10.1098/rspb.2020.2085" TargetMode="External"/><Relationship Id="rId40" Type="http://schemas.openxmlformats.org/officeDocument/2006/relationships/hyperlink" Target="https://doi.org/10.1111/j.1525-142X.2009.00347.x" TargetMode="External"/><Relationship Id="rId45" Type="http://schemas.openxmlformats.org/officeDocument/2006/relationships/hyperlink" Target="https://doi.org/10.1086/711398" TargetMode="External"/><Relationship Id="rId53" Type="http://schemas.openxmlformats.org/officeDocument/2006/relationships/hyperlink" Target="https://doi.org/10.1111/j.1096-3642.2009.00502.x" TargetMode="External"/><Relationship Id="rId58" Type="http://schemas.openxmlformats.org/officeDocument/2006/relationships/hyperlink" Target="https://doi.org/10.1016/j.ympev.2018.07.015" TargetMode="External"/><Relationship Id="rId66" Type="http://schemas.openxmlformats.org/officeDocument/2006/relationships/hyperlink" Target="https://doi.org/10.5281/zenodo.10211695" TargetMode="Externa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7/s11692-015-9308-9" TargetMode="External"/><Relationship Id="rId28" Type="http://schemas.openxmlformats.org/officeDocument/2006/relationships/hyperlink" Target="https://doi.org/10.1098/rsbl.2012.0574" TargetMode="External"/><Relationship Id="rId36" Type="http://schemas.openxmlformats.org/officeDocument/2006/relationships/hyperlink" Target="https://doi.org/10.1111/j.1558-5646.2010.01025.x" TargetMode="External"/><Relationship Id="rId49" Type="http://schemas.openxmlformats.org/officeDocument/2006/relationships/hyperlink" Target="https://doi.org/10.1098/rspb.2018.0845" TargetMode="External"/><Relationship Id="rId57" Type="http://schemas.openxmlformats.org/officeDocument/2006/relationships/hyperlink" Target="https://doi.org/10.1126/sciadv.abe2101" TargetMode="External"/><Relationship Id="rId61" Type="http://schemas.openxmlformats.org/officeDocument/2006/relationships/hyperlink" Target="https://doi.org/10.1186/s12983-019-0338-5" TargetMode="External"/><Relationship Id="rId10" Type="http://schemas.openxmlformats.org/officeDocument/2006/relationships/image" Target="media/image1.png"/><Relationship Id="rId19" Type="http://schemas.openxmlformats.org/officeDocument/2006/relationships/hyperlink" Target="https://doi.org/10.1016/j.zool.2022.126066" TargetMode="External"/><Relationship Id="rId31" Type="http://schemas.openxmlformats.org/officeDocument/2006/relationships/hyperlink" Target="https://doi.org/10.1111/j.1469-7998.2008.00459.x" TargetMode="External"/><Relationship Id="rId44" Type="http://schemas.openxmlformats.org/officeDocument/2006/relationships/hyperlink" Target="https://doi.org/10.7717/peerj.5032" TargetMode="External"/><Relationship Id="rId52" Type="http://schemas.openxmlformats.org/officeDocument/2006/relationships/hyperlink" Target="https://www.R-project.org/" TargetMode="External"/><Relationship Id="rId60" Type="http://schemas.openxmlformats.org/officeDocument/2006/relationships/hyperlink" Target="https://doi.org/10.1111/evo.12312" TargetMode="External"/><Relationship Id="rId65" Type="http://schemas.openxmlformats.org/officeDocument/2006/relationships/hyperlink" Target="https://doi.org/10.1038/s41559-017-0095"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9-09477-7" TargetMode="External"/><Relationship Id="rId27" Type="http://schemas.openxmlformats.org/officeDocument/2006/relationships/hyperlink" Target="https://doi.org/10.1371/journal.pone.0036299" TargetMode="External"/><Relationship Id="rId30" Type="http://schemas.openxmlformats.org/officeDocument/2006/relationships/hyperlink" Target="https://doi.org/10.1098/rsbl.2014.0196" TargetMode="External"/><Relationship Id="rId35" Type="http://schemas.openxmlformats.org/officeDocument/2006/relationships/hyperlink" Target="https://doi.org/10.5281/zenodo.2620785" TargetMode="External"/><Relationship Id="rId43" Type="http://schemas.openxmlformats.org/officeDocument/2006/relationships/hyperlink" Target="https://doi.org/10.1111/j.1095-8312.1989.tb00500.x" TargetMode="External"/><Relationship Id="rId48" Type="http://schemas.openxmlformats.org/officeDocument/2006/relationships/hyperlink" Target="https://doi.org/10.1371/journal.pone.0221287" TargetMode="External"/><Relationship Id="rId56" Type="http://schemas.openxmlformats.org/officeDocument/2006/relationships/hyperlink" Target="https://doi.org/10.1111/oik.08777" TargetMode="External"/><Relationship Id="rId64" Type="http://schemas.openxmlformats.org/officeDocument/2006/relationships/hyperlink" Target="https://doi.org/10.1002/ece3.521"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CRAN.R-project.org/package=vega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111/2041-210X.13029" TargetMode="External"/><Relationship Id="rId33" Type="http://schemas.openxmlformats.org/officeDocument/2006/relationships/hyperlink" Target="https://doi.org/10.1086/505758" TargetMode="External"/><Relationship Id="rId38" Type="http://schemas.openxmlformats.org/officeDocument/2006/relationships/hyperlink" Target="https://doi.org/10.1111/pala.12159" TargetMode="External"/><Relationship Id="rId46" Type="http://schemas.openxmlformats.org/officeDocument/2006/relationships/hyperlink" Target="https://doi.org/10.1186/s12862-016-0782-1" TargetMode="External"/><Relationship Id="rId59" Type="http://schemas.openxmlformats.org/officeDocument/2006/relationships/hyperlink" Target="https://doi.org/10.1073/pnas.0808730106" TargetMode="External"/><Relationship Id="rId67" Type="http://schemas.openxmlformats.org/officeDocument/2006/relationships/image" Target="media/image5.png"/><Relationship Id="rId20" Type="http://schemas.openxmlformats.org/officeDocument/2006/relationships/hyperlink" Target="https://doi.org/10.1007/s11692-015-9317-8" TargetMode="External"/><Relationship Id="rId41" Type="http://schemas.openxmlformats.org/officeDocument/2006/relationships/hyperlink" Target="https://doi.org/10.1093/sysbio/syt025" TargetMode="External"/><Relationship Id="rId54" Type="http://schemas.openxmlformats.org/officeDocument/2006/relationships/hyperlink" Target="https://doi.org/10.1186/s12862-019-1506-0" TargetMode="External"/><Relationship Id="rId62" Type="http://schemas.openxmlformats.org/officeDocument/2006/relationships/hyperlink" Target="https://doi.org/10.1111/evo.1416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41</Pages>
  <Words>25286</Words>
  <Characters>144132</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137</cp:revision>
  <cp:lastPrinted>2024-04-02T09:24:00Z</cp:lastPrinted>
  <dcterms:created xsi:type="dcterms:W3CDTF">2023-11-21T06:21:00Z</dcterms:created>
  <dcterms:modified xsi:type="dcterms:W3CDTF">2024-04-09T04:30:00Z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