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0000">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161CF0F7" w:rsidR="008922AE" w:rsidRDefault="00000000">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r w:rsidR="00196A9E">
        <w:rPr>
          <w:vertAlign w:val="superscript"/>
        </w:rPr>
        <w:t>*</w:t>
      </w:r>
    </w:p>
    <w:p w14:paraId="7320DBF5" w14:textId="77777777" w:rsidR="008922AE" w:rsidRDefault="008922AE">
      <w:pPr>
        <w:spacing w:line="480" w:lineRule="auto"/>
      </w:pPr>
    </w:p>
    <w:p w14:paraId="4EA346BB" w14:textId="09E682E3" w:rsidR="008922AE" w:rsidRDefault="00000000">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sidR="00196A9E">
        <w:rPr>
          <w:rStyle w:val="Hyperlink"/>
        </w:rPr>
        <w:t>vera.weisbecker@flinders.edu.au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0000">
      <w:r>
        <w:br w:type="page"/>
      </w:r>
    </w:p>
    <w:p w14:paraId="26B6BA51" w14:textId="77777777" w:rsidR="008922AE" w:rsidRDefault="00000000">
      <w:pPr>
        <w:spacing w:line="480" w:lineRule="auto"/>
        <w:rPr>
          <w:b/>
        </w:rPr>
      </w:pPr>
      <w:bookmarkStart w:id="1" w:name="_heading=h.gjdgxs"/>
      <w:bookmarkEnd w:id="1"/>
      <w:r>
        <w:rPr>
          <w:b/>
        </w:rPr>
        <w:lastRenderedPageBreak/>
        <w:t>Abstract</w:t>
      </w:r>
    </w:p>
    <w:p w14:paraId="4B168586" w14:textId="14E3A1B4" w:rsidR="008922AE" w:rsidRDefault="00000000">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rostra and smaller braincases than smaller relatives</w:t>
      </w:r>
      <w:r w:rsidRPr="000D500A">
        <w:t xml:space="preserve">. It was recently proposed that CREA </w:t>
      </w:r>
      <w:r w:rsidR="001A1C0F" w:rsidRPr="000D500A">
        <w:t>arises from the biomechanical effects of cranial scaling when diets are constant, so that it should only appear in</w:t>
      </w:r>
      <w:r w:rsidRPr="000D500A">
        <w:t xml:space="preserve"> species with similar 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specialisation reduces selection on gnawing function.</w:t>
      </w:r>
    </w:p>
    <w:p w14:paraId="3A0D4630" w14:textId="77777777" w:rsidR="008922AE" w:rsidRDefault="008922AE">
      <w:pPr>
        <w:spacing w:line="480" w:lineRule="auto"/>
      </w:pPr>
    </w:p>
    <w:p w14:paraId="2A4A777B" w14:textId="77777777" w:rsidR="008922AE" w:rsidRDefault="00000000">
      <w:pPr>
        <w:spacing w:line="480" w:lineRule="auto"/>
        <w:rPr>
          <w:b/>
        </w:rPr>
      </w:pPr>
      <w:r>
        <w:rPr>
          <w:b/>
        </w:rPr>
        <w:lastRenderedPageBreak/>
        <w:t xml:space="preserve">Keywords: </w:t>
      </w:r>
      <w:r>
        <w:t>allometry, CREA, geometric morphometrics, integration, modularity, Muridae, stabilizing selection</w:t>
      </w:r>
      <w:r>
        <w:br w:type="page"/>
      </w:r>
    </w:p>
    <w:p w14:paraId="05D66D93" w14:textId="77777777" w:rsidR="008922AE" w:rsidRDefault="00000000">
      <w:pPr>
        <w:pStyle w:val="Heading2"/>
        <w:numPr>
          <w:ilvl w:val="1"/>
          <w:numId w:val="2"/>
        </w:numPr>
        <w:spacing w:line="480" w:lineRule="auto"/>
      </w:pPr>
      <w:bookmarkStart w:id="2" w:name="_heading=h.30j0zll"/>
      <w:bookmarkEnd w:id="2"/>
      <w:r>
        <w:lastRenderedPageBreak/>
        <w:t>Background</w:t>
      </w:r>
    </w:p>
    <w:p w14:paraId="0E36433F" w14:textId="08047CBD" w:rsidR="008922AE" w:rsidRDefault="00000000">
      <w:pPr>
        <w:spacing w:line="480" w:lineRule="auto"/>
      </w:pPr>
      <w:r>
        <w:t xml:space="preserve">The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display longer rostra and smaller braincases relative to smaller species, particularly in closely related species </w:t>
      </w:r>
      <w:r>
        <w:fldChar w:fldCharType="begin"/>
      </w:r>
      <w:r w:rsidR="004550BE">
        <w:instrText xml:space="preserve"> ADDIN EN.CITE &lt;EndNote&gt;&lt;Cite&gt;&lt;Author&gt;Cardini&lt;/Author&gt;&lt;Year&gt;2015&lt;/Year&gt;&lt;RecNum&gt;1&lt;/RecNum&gt;&lt;DisplayText&gt;(Cardini&lt;style face="italic"&gt; et al.&lt;/style&gt;,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4550BE">
        <w:rPr>
          <w:noProof/>
        </w:rPr>
        <w:t>(Cardini</w:t>
      </w:r>
      <w:r w:rsidR="004550BE" w:rsidRPr="004550BE">
        <w:rPr>
          <w:i/>
          <w:noProof/>
        </w:rPr>
        <w:t xml:space="preserve"> et al.</w:t>
      </w:r>
      <w:r w:rsidR="004550BE">
        <w:rPr>
          <w:noProof/>
        </w:rPr>
        <w:t>, 2015)</w:t>
      </w:r>
      <w:r>
        <w:fldChar w:fldCharType="end"/>
      </w:r>
      <w:r>
        <w:t>. This pattern, termed craniofacial evolutionary allometry (CREA), has been found in a diverse range of vertebrates representing 11 different orders, especially those of mammals</w:t>
      </w:r>
      <w:r w:rsidR="000D500A">
        <w:t xml:space="preserve"> </w:t>
      </w:r>
      <w:r w:rsidR="000D500A">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 </w:instrText>
      </w:r>
      <w:r w:rsidR="004550BE">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EN.CITE.DATA </w:instrText>
      </w:r>
      <w:r w:rsidR="004550BE">
        <w:fldChar w:fldCharType="end"/>
      </w:r>
      <w:r w:rsidR="000D500A">
        <w:fldChar w:fldCharType="separate"/>
      </w:r>
      <w:r w:rsidR="004550BE">
        <w:rPr>
          <w:noProof/>
        </w:rPr>
        <w:t>(Bright</w:t>
      </w:r>
      <w:r w:rsidR="004550BE" w:rsidRPr="004550BE">
        <w:rPr>
          <w:i/>
          <w:noProof/>
        </w:rPr>
        <w:t xml:space="preserve"> et al.</w:t>
      </w:r>
      <w:r w:rsidR="004550BE">
        <w:rPr>
          <w:noProof/>
        </w:rPr>
        <w:t>, 2016; Cardini, 2019; Cardini</w:t>
      </w:r>
      <w:r w:rsidR="004550BE" w:rsidRPr="004550BE">
        <w:rPr>
          <w:i/>
          <w:noProof/>
        </w:rPr>
        <w:t xml:space="preserve"> et al.</w:t>
      </w:r>
      <w:r w:rsidR="004550BE">
        <w:rPr>
          <w:noProof/>
        </w:rPr>
        <w:t>, 2015)</w:t>
      </w:r>
      <w:r w:rsidR="000D500A">
        <w:fldChar w:fldCharType="end"/>
      </w:r>
      <w:r w:rsidR="00BE1B29">
        <w:t>.</w:t>
      </w:r>
    </w:p>
    <w:p w14:paraId="6263809B" w14:textId="77777777" w:rsidR="00BE1B29" w:rsidRDefault="00BE1B29">
      <w:pPr>
        <w:spacing w:line="480" w:lineRule="auto"/>
      </w:pPr>
    </w:p>
    <w:p w14:paraId="7338B1CE" w14:textId="4A974114" w:rsidR="008922AE" w:rsidRDefault="000D500A">
      <w:pPr>
        <w:spacing w:line="480" w:lineRule="auto"/>
      </w:pPr>
      <w:r>
        <w:fldChar w:fldCharType="begin"/>
      </w:r>
      <w:r w:rsidR="004550BE">
        <w:instrText xml:space="preserve"> ADDIN EN.CITE &lt;EndNote&gt;&lt;Cite AuthorYear="1"&gt;&lt;Author&gt;Mitchell&lt;/Author&gt;&lt;Year&gt;2024&lt;/Year&gt;&lt;RecNum&gt;57&lt;/RecNum&gt;&lt;DisplayText&gt;Mitchell&lt;style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xml:space="preserve"> (2024)</w:t>
      </w:r>
      <w:r>
        <w:fldChar w:fldCharType="end"/>
      </w:r>
      <w:r>
        <w:t xml:space="preserve"> suggest</w:t>
      </w:r>
      <w:r w:rsidR="002453A9">
        <w:t>ed</w:t>
      </w:r>
      <w:r>
        <w:t xml:space="preserve"> that</w:t>
      </w:r>
      <w:r w:rsidR="002453A9">
        <w:t xml:space="preserve"> CREA</w:t>
      </w:r>
      <w:r w:rsidR="00E91143">
        <w:t xml:space="preserve"> is</w:t>
      </w:r>
      <w:r>
        <w:t xml:space="preserve"> likely a product of bite force allometry and phylogenetic niche conservatism. Briefly, closely related species tend to have</w:t>
      </w:r>
      <w:r w:rsidR="002453A9">
        <w:t xml:space="preserve"> similar diets and are thus likely to encounter foods with similar mechanical properties, such as hardness. For similar food items, a small and a large species therefore </w:t>
      </w:r>
      <w:proofErr w:type="gramStart"/>
      <w:r w:rsidR="002453A9">
        <w:t>have to</w:t>
      </w:r>
      <w:proofErr w:type="gramEnd"/>
      <w:r w:rsidR="002453A9">
        <w:t xml:space="preserve"> apply the same absolut</w:t>
      </w:r>
      <w:r w:rsidR="00CD6888">
        <w:t>e</w:t>
      </w:r>
      <w:r w:rsidR="002453A9">
        <w:t xml:space="preserve"> bite force, but the mechanical demand on the cranium will be lower for the larger species simply because of its larger size. This would allow larger species to </w:t>
      </w:r>
      <w:r>
        <w:t>sacrifice some capacity for bite force generation in their craniofacial architecture in response of other selective pressures</w:t>
      </w:r>
      <w:r w:rsidR="002453A9">
        <w:t>. This trade-off appears to most commonly manifest as the CREA pattern of more gracile crania</w:t>
      </w:r>
      <w:r>
        <w:t xml:space="preserve"> </w:t>
      </w:r>
      <w:r>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sidR="004550BE">
        <w:rPr>
          <w:noProof/>
        </w:rPr>
        <w:t>(Mitchell</w:t>
      </w:r>
      <w:r w:rsidR="004550BE" w:rsidRPr="004550BE">
        <w:rPr>
          <w:i/>
          <w:noProof/>
        </w:rPr>
        <w:t xml:space="preserve"> et al.</w:t>
      </w:r>
      <w:r w:rsidR="004550BE">
        <w:rPr>
          <w:noProof/>
        </w:rPr>
        <w:t>, 2024)</w:t>
      </w:r>
      <w:r>
        <w:fldChar w:fldCharType="end"/>
      </w:r>
      <w:r w:rsidR="00E91143">
        <w:t xml:space="preserve">. </w:t>
      </w:r>
      <w:r w:rsidR="001D7B39" w:rsidRPr="001D7B39">
        <w:t xml:space="preserve">Independently, the negative scaling of brain and orbit size relative to body mass tends to reduce the relative size of vault and orbital area, potentially increasing the </w:t>
      </w:r>
      <w:r w:rsidR="001D7B39" w:rsidRPr="001D7B39">
        <w:lastRenderedPageBreak/>
        <w:t>length of the nasomaxillary region and the appearance of facial elongation</w:t>
      </w:r>
      <w:r w:rsidR="001D7B39">
        <w:t xml:space="preserve"> </w:t>
      </w:r>
      <w:r w:rsidR="001D7B39">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4550BE">
        <w:rPr>
          <w:noProof/>
        </w:rPr>
        <w:t>(Mitchell</w:t>
      </w:r>
      <w:r w:rsidR="004550BE" w:rsidRPr="004550BE">
        <w:rPr>
          <w:i/>
          <w:noProof/>
        </w:rPr>
        <w:t xml:space="preserve"> et al.</w:t>
      </w:r>
      <w:r w:rsidR="004550BE">
        <w:rPr>
          <w:noProof/>
        </w:rPr>
        <w:t>, 2024)</w:t>
      </w:r>
      <w:r w:rsidR="001D7B39">
        <w:fldChar w:fldCharType="end"/>
      </w:r>
      <w:r w:rsidR="00E91143">
        <w:t>. U</w:t>
      </w:r>
      <w:r>
        <w:t xml:space="preserve">nder this </w:t>
      </w:r>
      <w:r w:rsidR="002453A9">
        <w:t>scenario</w:t>
      </w:r>
      <w:r>
        <w:t xml:space="preserve">, morphological shifts in cranial morphology that deviate from the CREA pattern are only predicted to occur in association with substantial changes in ecology that alter bite force demands, regardless of body size. </w:t>
      </w:r>
    </w:p>
    <w:p w14:paraId="6871EF08" w14:textId="77777777" w:rsidR="00BE1B29" w:rsidRDefault="00BE1B29">
      <w:pPr>
        <w:spacing w:line="480" w:lineRule="auto"/>
      </w:pPr>
    </w:p>
    <w:p w14:paraId="06A2ED2B" w14:textId="77777777" w:rsidR="00BE1B29" w:rsidRDefault="00000000">
      <w:pPr>
        <w:spacing w:line="480" w:lineRule="auto"/>
      </w:pPr>
      <w:r>
        <w:t xml:space="preserve">Among mammals, rodent skulls </w:t>
      </w:r>
      <w:r w:rsidR="0053012A">
        <w:t xml:space="preserve">are </w:t>
      </w:r>
      <w:r w:rsidR="00E91143">
        <w:t>among the</w:t>
      </w:r>
      <w:r>
        <w:t xml:space="preserve"> most striking cases of allometry coinciding with a CREA pattern. A </w:t>
      </w:r>
      <w:r w:rsidR="002453A9">
        <w:t xml:space="preserve">previous </w:t>
      </w:r>
      <w:r>
        <w:t xml:space="preserve">study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t xml:space="preserve"> showed that a sample of mostly Australian rodents, diverging as early as ten million years ago, </w:t>
      </w:r>
      <w:r w:rsidR="002453A9">
        <w:t xml:space="preserve">has </w:t>
      </w:r>
      <w:r>
        <w:t xml:space="preserve">a highly conserved slope of allometry explaining over a third of their overall shape variation. The shape variation explained by allometry is also aligned with CREA, both in the definition adopted in </w:t>
      </w:r>
      <w:r>
        <w:fldChar w:fldCharType="begin"/>
      </w:r>
      <w:r>
        <w:instrText>ADDIN EN.CITE &lt;EndNote&gt;&lt;Cite AuthorYear="1"&gt;&lt;Author&gt;Marcy&lt;/Author&gt;&lt;Year&gt;2020&lt;/Year&gt;&lt;RecNum&gt;6&lt;/RecNum&gt;&lt;Suffix&gt;`; referring to a longer/elongated rostrum/muzzle/snout&lt;/Suffix&gt;&lt;DisplayText&gt;Marcy et al. (2020; referring to a longer/elongated rostrum/muzzle/snout)&lt;/DisplayText&gt;&lt;record&gt;&lt;rec-number&gt;6&lt;/rec-number&gt;&lt;foreign-keys&gt;&lt;key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 referring to a longer/elongated rostrum/muzzle/snout)</w:t>
      </w:r>
      <w:r>
        <w:fldChar w:fldCharType="end"/>
      </w:r>
      <w:r>
        <w:t xml:space="preserve"> and </w:t>
      </w:r>
      <w:r w:rsidR="000D500A">
        <w:fldChar w:fldCharType="begin"/>
      </w:r>
      <w:r w:rsidR="004550BE">
        <w:instrText xml:space="preserve"> ADDIN EN.CITE &lt;EndNote&gt;&lt;Cite AuthorYear="1"&gt;&lt;Author&gt;Mitchell&lt;/Author&gt;&lt;Year&gt;2024&lt;/Year&gt;&lt;RecNum&gt;57&lt;/RecNum&gt;&lt;Suffix&gt;`; referring to hyperallometric gracilization more generally and involving the braincase&lt;/Suffix&gt;&lt;DisplayText&gt;Mitchell&lt;style face="italic"&gt; et al.&lt;/style&gt; (2024; referring to hyperallometric gracilization more generally and involving the braincase)&lt;/DisplayText&gt;&lt;record&gt;&lt;rec-number&gt;57&lt;/rec-number&gt;&lt;foreign-keys&gt;&lt;key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xml:space="preserve"> (2024; referring to hyperallometric gracilization more generally and involving the braincase)</w:t>
      </w:r>
      <w:r w:rsidR="000D500A">
        <w:fldChar w:fldCharType="end"/>
      </w:r>
      <w:r>
        <w:t xml:space="preserve">. This supports previous work suggesting that the strong allometry occurs as a result of </w:t>
      </w:r>
      <w:proofErr w:type="spellStart"/>
      <w:r>
        <w:t>stabilising</w:t>
      </w:r>
      <w:proofErr w:type="spellEnd"/>
      <w:r>
        <w:t xml:space="preserve"> selection on the rodent gnawing apparatus, which is highly specialized but allows for substantial dietary breadth </w:t>
      </w:r>
      <w:r w:rsidR="000D500A">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 </w:instrText>
      </w:r>
      <w:r w:rsidR="004550BE">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4550BE">
        <w:instrText xml:space="preserve"> ADDIN EN.CITE.DATA </w:instrText>
      </w:r>
      <w:r w:rsidR="004550BE">
        <w:fldChar w:fldCharType="end"/>
      </w:r>
      <w:r w:rsidR="000D500A">
        <w:fldChar w:fldCharType="separate"/>
      </w:r>
      <w:r w:rsidR="004550BE">
        <w:rPr>
          <w:noProof/>
        </w:rPr>
        <w:t>(Druzinsky, 2015; Marcy</w:t>
      </w:r>
      <w:r w:rsidR="004550BE" w:rsidRPr="004550BE">
        <w:rPr>
          <w:i/>
          <w:noProof/>
        </w:rPr>
        <w:t xml:space="preserve"> et al.</w:t>
      </w:r>
      <w:r w:rsidR="004550BE">
        <w:rPr>
          <w:noProof/>
        </w:rPr>
        <w:t>, 2020; Zelditch &amp; Swiderski, 2023)</w:t>
      </w:r>
      <w:r w:rsidR="000D500A">
        <w:fldChar w:fldCharType="end"/>
      </w:r>
      <w:r>
        <w:fldChar w:fldCharType="begin"/>
      </w:r>
      <w:r w:rsidR="000D500A">
        <w:instrText xml:space="preserve"> </w:instrText>
      </w:r>
      <w:r>
        <w:instrText>ADDIN EN.CITE</w:instrText>
      </w:r>
      <w:r>
        <w:fldChar w:fldCharType="begin"/>
      </w:r>
      <w:r>
        <w:instrText>ADDIN EN.CITE.DATA</w:instrText>
      </w:r>
      <w:r>
        <w:fldChar w:fldCharType="separate"/>
      </w:r>
      <w:r>
        <w:fldChar w:fldCharType="end"/>
      </w:r>
      <w:r>
        <w:fldChar w:fldCharType="separate"/>
      </w:r>
      <w:r>
        <w:fldChar w:fldCharType="end"/>
      </w:r>
      <w:r>
        <w:t xml:space="preserve">. It might also explain the clade’s unique overall shape but slow morphological evolution through time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rsidR="00807F77">
        <w:t xml:space="preserve">, and finds that radical changes in </w:t>
      </w:r>
      <w:r w:rsidR="0053012A">
        <w:t>shape</w:t>
      </w:r>
      <w:r w:rsidR="00807F77">
        <w:t xml:space="preserve">, such as island gigantism, </w:t>
      </w:r>
      <w:r w:rsidR="0053012A">
        <w:t>are possible within species along the allometric line</w:t>
      </w:r>
      <w:r w:rsidR="00807F77">
        <w:t xml:space="preserve"> </w:t>
      </w:r>
      <w:r w:rsidR="00807F77">
        <w:fldChar w:fldCharType="begin"/>
      </w:r>
      <w:r w:rsidR="00807F77">
        <w:instrText xml:space="preserve"> ADDIN EN.CITE &lt;EndNote&gt;&lt;Cite&gt;&lt;Author&gt;Schlis-Elias&lt;/Author&gt;&lt;Year&gt;2022&lt;/Year&gt;&lt;RecNum&gt;66&lt;/RecNum&gt;&lt;DisplayText&gt;(Schlis-Elias &amp;amp; Malaney, 2022)&lt;/DisplayText&gt;&lt;record&gt;&lt;rec-number&gt;66&lt;/rec-number&gt;&lt;foreign-keys&gt;&lt;key app="EN" db-id="p9vfsf2vj2tvwjevww9pzwfazxfv5txvw5ap" timestamp="1712291413"&gt;66&lt;/key&gt;&lt;/foreign-keys&gt;&lt;ref-type name="Journal Article"&gt;17&lt;/ref-type&gt;&lt;contributors&gt;&lt;authors&gt;&lt;author&gt;Schlis-Elias, Mariah C.&lt;/author&gt;&lt;author&gt;Malaney, Jason L.&lt;/author&gt;&lt;/authors&gt;&lt;/contributors&gt;&lt;titles&gt;&lt;title&gt;Island biogeography predicts skull gigantism and shape variation in meadow voles Microtus pennsylvanicus through ecological release and allometry&lt;/title&gt;&lt;secondary-title&gt;Oikos&lt;/secondary-title&gt;&lt;/titles&gt;&lt;periodical&gt;&lt;full-title&gt;Oikos&lt;/full-title&gt;&lt;/periodical&gt;&lt;pages&gt;e08777&lt;/pages&gt;&lt;volume&gt;2022&lt;/volume&gt;&lt;number&gt;4&lt;/number&gt;&lt;dates&gt;&lt;year&gt;2022&lt;/year&gt;&lt;/dates&gt;&lt;isbn&gt;0030-1299&lt;/isbn&gt;&lt;urls&gt;&lt;related-urls&gt;&lt;url&gt;https://nsojournals.onlinelibrary.wiley.com/doi/abs/10.1111/oik.08777&lt;/url&gt;&lt;/related-urls&gt;&lt;/urls&gt;&lt;electronic-resource-num&gt;https://doi.org/10.1111/oik.08777&lt;/electronic-resource-num&gt;&lt;/record&gt;&lt;/Cite&gt;&lt;/EndNote&gt;</w:instrText>
      </w:r>
      <w:r w:rsidR="00807F77">
        <w:fldChar w:fldCharType="separate"/>
      </w:r>
      <w:r w:rsidR="00807F77">
        <w:rPr>
          <w:noProof/>
        </w:rPr>
        <w:t>(Schlis-Elias &amp; Malaney, 2022)</w:t>
      </w:r>
      <w:r w:rsidR="00807F77">
        <w:fldChar w:fldCharType="end"/>
      </w:r>
      <w:r>
        <w:t>.</w:t>
      </w:r>
    </w:p>
    <w:p w14:paraId="0E6A0A13" w14:textId="77777777" w:rsidR="00BE1B29" w:rsidRDefault="00BE1B29">
      <w:pPr>
        <w:spacing w:line="480" w:lineRule="auto"/>
      </w:pPr>
    </w:p>
    <w:p w14:paraId="30B0037C" w14:textId="4B4CAFA0" w:rsidR="00163C9C" w:rsidRDefault="00000000" w:rsidP="00163C9C">
      <w:pPr>
        <w:spacing w:line="480" w:lineRule="auto"/>
      </w:pPr>
      <w:r>
        <w:t xml:space="preserve">Support for stabilizing selection on cranial function, rather than any intrinsic developmental constraints, comes from studies showing that cranial growth allometry varies substantially among rodents, such that similar </w:t>
      </w:r>
      <w:proofErr w:type="spellStart"/>
      <w:r>
        <w:t>specialisations</w:t>
      </w:r>
      <w:proofErr w:type="spellEnd"/>
      <w:r>
        <w:t xml:space="preserve"> can arise from different growth patterns </w:t>
      </w:r>
      <w:r>
        <w:fldChar w:fldCharType="begin"/>
      </w:r>
      <w:r w:rsidR="004550BE">
        <w:instrText xml:space="preserve"> ADDIN EN.CITE &lt;EndNote&gt;&lt;Cite&gt;&lt;Author&gt;Wilson&lt;/Author&gt;&lt;Year&gt;2013&lt;/Year&gt;&lt;RecNum&gt;9&lt;/RecNum&gt;&lt;DisplayText&gt;(Segura&lt;style face="italic"&gt; et al.&lt;/style&gt;,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fldChar w:fldCharType="separate"/>
      </w:r>
      <w:r w:rsidR="004550BE">
        <w:rPr>
          <w:noProof/>
        </w:rPr>
        <w:t>(Segura</w:t>
      </w:r>
      <w:r w:rsidR="004550BE" w:rsidRPr="004550BE">
        <w:rPr>
          <w:i/>
          <w:noProof/>
        </w:rPr>
        <w:t xml:space="preserve"> et al.</w:t>
      </w:r>
      <w:r w:rsidR="004550BE">
        <w:rPr>
          <w:noProof/>
        </w:rPr>
        <w:t>, 2023; Wilson, 2013)</w:t>
      </w:r>
      <w:r>
        <w:fldChar w:fldCharType="end"/>
      </w:r>
      <w:r>
        <w:t xml:space="preserve">. Moreover, Marcy et al.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showed that species whose shape </w:t>
      </w:r>
      <w:r w:rsidR="00163C9C">
        <w:lastRenderedPageBreak/>
        <w:t>departed most</w:t>
      </w:r>
      <w:r>
        <w:t xml:space="preserve"> from the common evolutionary allometric pattern tended to be ecological specialists with distinct diets and locomotor modes. </w:t>
      </w:r>
      <w:r w:rsidR="00163C9C">
        <w:t xml:space="preserve">This is consistent with Mitchell et al.’s </w:t>
      </w:r>
      <w:r w:rsidR="00163C9C">
        <w:fldChar w:fldCharType="begin"/>
      </w:r>
      <w:r w:rsidR="00163C9C">
        <w:instrText xml:space="preserve"> ADDIN EN.CITE &lt;EndNote&gt;&lt;Cite ExcludeAuth="1"&gt;&lt;Author&gt;Mitchell&lt;/Author&gt;&lt;Year&gt;2024&lt;/Year&gt;&lt;RecNum&gt;57&lt;/RecNum&gt;&lt;DisplayText&gt;(2024)&lt;/DisplayText&gt;&lt;record&gt;&lt;rec-number&gt;57&lt;/rec-number&gt;&lt;foreign-keys&gt;&lt;key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63C9C">
        <w:fldChar w:fldCharType="separate"/>
      </w:r>
      <w:r w:rsidR="00163C9C">
        <w:rPr>
          <w:noProof/>
        </w:rPr>
        <w:t>(2024)</w:t>
      </w:r>
      <w:r w:rsidR="00163C9C">
        <w:fldChar w:fldCharType="end"/>
      </w:r>
      <w:r w:rsidR="00163C9C">
        <w:t xml:space="preserve"> hypothesis that CREA </w:t>
      </w:r>
      <w:r w:rsidR="009D6B1F">
        <w:t xml:space="preserve">patterns can be “interrupted” </w:t>
      </w:r>
      <w:r w:rsidR="00163C9C">
        <w:t>by abrupt shifts in dietary hardness, and also highlights that variation beyond allometric scaling is an important part of investigation.</w:t>
      </w:r>
    </w:p>
    <w:p w14:paraId="1F734713" w14:textId="7B8D688A" w:rsidR="0014692A" w:rsidRPr="004D6CED" w:rsidRDefault="00163C9C">
      <w:pPr>
        <w:spacing w:line="480" w:lineRule="auto"/>
        <w:rPr>
          <w:i/>
          <w:iCs/>
        </w:rPr>
      </w:pPr>
      <w:r>
        <w:t>Examples</w:t>
      </w:r>
      <w:r w:rsidR="0014692A">
        <w:t xml:space="preserve"> include the specialized </w:t>
      </w:r>
      <w:proofErr w:type="spellStart"/>
      <w:r w:rsidR="0014692A">
        <w:rPr>
          <w:i/>
          <w:iCs/>
        </w:rPr>
        <w:t>Mastacomys</w:t>
      </w:r>
      <w:proofErr w:type="spellEnd"/>
      <w:r w:rsidR="0014692A">
        <w:rPr>
          <w:i/>
          <w:iCs/>
        </w:rPr>
        <w:t xml:space="preserve"> </w:t>
      </w:r>
      <w:proofErr w:type="spellStart"/>
      <w:r w:rsidR="0014692A">
        <w:rPr>
          <w:i/>
          <w:iCs/>
        </w:rPr>
        <w:t>fuscus</w:t>
      </w:r>
      <w:proofErr w:type="spellEnd"/>
      <w:r w:rsidR="0014692A">
        <w:t xml:space="preserve">, whose diet nearly entirely consists of grass </w:t>
      </w:r>
      <w:r w:rsidR="0014692A">
        <w:fldChar w:fldCharType="begin"/>
      </w:r>
      <w:r w:rsidR="0014692A">
        <w:instrText xml:space="preserve"> ADDIN EN.CITE &lt;EndNote&gt;&lt;Cite&gt;&lt;Author&gt;Calaby&lt;/Author&gt;&lt;Year&gt;1964&lt;/Year&gt;&lt;RecNum&gt;69&lt;/RecNum&gt;&lt;DisplayText&gt;(Calaby &amp;amp; Wimbush, 1964; Green&lt;style face="italic"&gt; et al.&lt;/style&gt;, 2014)&lt;/DisplayText&gt;&lt;record&gt;&lt;rec-number&gt;69&lt;/rec-number&gt;&lt;foreign-keys&gt;&lt;key app="EN" db-id="p9vfsf2vj2tvwjevww9pzwfazxfv5txvw5ap" timestamp="1712300070"&gt;69&lt;/key&gt;&lt;/foreign-keys&gt;&lt;ref-type name="Journal Article"&gt;17&lt;/ref-type&gt;&lt;contributors&gt;&lt;authors&gt;&lt;author&gt;Calaby, JH&lt;/author&gt;&lt;author&gt;Wimbush, DJ&lt;/author&gt;&lt;/authors&gt;&lt;/contributors&gt;&lt;titles&gt;&lt;title&gt;Observations on the broad-toothed rat, Mastacomys fuscus Thomas&lt;/title&gt;&lt;secondary-title&gt;CSIRO Wildlife Research&lt;/secondary-title&gt;&lt;/titles&gt;&lt;periodical&gt;&lt;full-title&gt;CSIRO Wildlife Research&lt;/full-title&gt;&lt;/periodical&gt;&lt;pages&gt;123-133&lt;/pages&gt;&lt;volume&gt;9&lt;/volume&gt;&lt;number&gt;2&lt;/number&gt;&lt;dates&gt;&lt;year&gt;1964&lt;/year&gt;&lt;/dates&gt;&lt;urls&gt;&lt;/urls&gt;&lt;/record&gt;&lt;/Cite&gt;&lt;Cite&gt;&lt;Author&gt;Green&lt;/Author&gt;&lt;Year&gt;2014&lt;/Year&gt;&lt;RecNum&gt;70&lt;/RecNum&gt;&lt;record&gt;&lt;rec-number&gt;70&lt;/rec-number&gt;&lt;foreign-keys&gt;&lt;key app="EN" db-id="p9vfsf2vj2tvwjevww9pzwfazxfv5txvw5ap" timestamp="1712300242"&gt;70&lt;/key&gt;&lt;/foreign-keys&gt;&lt;ref-type name="Journal Article"&gt;17&lt;/ref-type&gt;&lt;contributors&gt;&lt;authors&gt;&lt;author&gt;Green, K&lt;/author&gt;&lt;author&gt;Davis, NE&lt;/author&gt;&lt;author&gt;Robinson, WA&lt;/author&gt;&lt;/authors&gt;&lt;/contributors&gt;&lt;titles&gt;&lt;title&gt;Diet of the Broad-toothed Rat Mastacomys fuscus (Rodentia:Muridae) in the alpine zone of the Snowy Mountains, Australia&lt;/title&gt;&lt;secondary-title&gt;Australian Zoologist&lt;/secondary-title&gt;&lt;/titles&gt;&lt;periodical&gt;&lt;full-title&gt;Australian Zoologist&lt;/full-title&gt;&lt;/periodical&gt;&lt;pages&gt;225-233&lt;/pages&gt;&lt;volume&gt;37&lt;/volume&gt;&lt;number&gt;2&lt;/number&gt;&lt;dates&gt;&lt;year&gt;2014&lt;/year&gt;&lt;/dates&gt;&lt;isbn&gt;0067-2238&lt;/isbn&gt;&lt;urls&gt;&lt;related-urls&gt;&lt;url&gt;https://doi.org/10.7882/AZ.2014.023&lt;/url&gt;&lt;/related-urls&gt;&lt;/urls&gt;&lt;electronic-resource-num&gt;10.7882/az.2014.023&lt;/electronic-resource-num&gt;&lt;access-date&gt;4/5/2024&lt;/access-date&gt;&lt;/record&gt;&lt;/Cite&gt;&lt;/EndNote&gt;</w:instrText>
      </w:r>
      <w:r w:rsidR="0014692A">
        <w:fldChar w:fldCharType="separate"/>
      </w:r>
      <w:r w:rsidR="0014692A">
        <w:rPr>
          <w:noProof/>
        </w:rPr>
        <w:t>(Calaby &amp; Wimbush, 1964; Green</w:t>
      </w:r>
      <w:r w:rsidR="0014692A" w:rsidRPr="0014692A">
        <w:rPr>
          <w:i/>
          <w:noProof/>
        </w:rPr>
        <w:t xml:space="preserve"> et al.</w:t>
      </w:r>
      <w:r w:rsidR="0014692A">
        <w:rPr>
          <w:noProof/>
        </w:rPr>
        <w:t>, 2014)</w:t>
      </w:r>
      <w:r w:rsidR="0014692A">
        <w:fldChar w:fldCharType="end"/>
      </w:r>
      <w:r w:rsidR="0014692A">
        <w:t xml:space="preserve"> which is highly abrasive to dentition  </w:t>
      </w:r>
      <w:r w:rsidR="0014692A">
        <w:fldChar w:fldCharType="begin"/>
      </w:r>
      <w:r w:rsidR="00F72D9A">
        <w:instrText xml:space="preserve"> ADDIN EN.CITE &lt;EndNote&gt;&lt;Cite&gt;&lt;Author&gt;Winkler&lt;/Author&gt;&lt;Year&gt;2019&lt;/Year&gt;&lt;RecNum&gt;71&lt;/RecNum&gt;&lt;Prefix&gt;e.g. &lt;/Prefix&gt;&lt;DisplayText&gt;(e.g. Winkler&lt;style face="italic"&gt; et al.&lt;/style&gt;, 2019)&lt;/DisplayText&gt;&lt;record&gt;&lt;rec-number&gt;71&lt;/rec-number&gt;&lt;foreign-keys&gt;&lt;key app="EN" db-id="p9vfsf2vj2tvwjevww9pzwfazxfv5txvw5ap" timestamp="1712300668"&gt;71&lt;/key&gt;&lt;/foreign-keys&gt;&lt;ref-type name="Journal Article"&gt;17&lt;/ref-type&gt;&lt;contributors&gt;&lt;authors&gt;&lt;author&gt;Winkler, Daniela E.&lt;/author&gt;&lt;author&gt;Schulz-Kornas, Ellen&lt;/author&gt;&lt;author&gt;Kaiser, Thomas M.&lt;/author&gt;&lt;author&gt;De Cuyper, Annelies&lt;/author&gt;&lt;author&gt;Clauss, Marcus&lt;/author&gt;&lt;author&gt;Tütken, Thomas&lt;/author&gt;&lt;/authors&gt;&lt;/contributors&gt;&lt;titles&gt;&lt;title&gt;Forage silica and water content control dental surface texture in guinea pigs and provide implications for dietary reconstruction&lt;/title&gt;&lt;secondary-title&gt;Proceedings of the National Academy of Sciences&lt;/secondary-title&gt;&lt;/titles&gt;&lt;periodical&gt;&lt;full-title&gt;Proceedings of the National Academy of Sciences&lt;/full-title&gt;&lt;/periodical&gt;&lt;pages&gt;1325-1330&lt;/pages&gt;&lt;volume&gt;116&lt;/volume&gt;&lt;number&gt;4&lt;/number&gt;&lt;dates&gt;&lt;year&gt;2019&lt;/year&gt;&lt;/dates&gt;&lt;urls&gt;&lt;related-urls&gt;&lt;url&gt;https://www.pnas.org/doi/abs/10.1073/pnas.1814081116&lt;/url&gt;&lt;/related-urls&gt;&lt;/urls&gt;&lt;electronic-resource-num&gt;doi:10.1073/pnas.1814081116&lt;/electronic-resource-num&gt;&lt;/record&gt;&lt;/Cite&gt;&lt;/EndNote&gt;</w:instrText>
      </w:r>
      <w:r w:rsidR="0014692A">
        <w:fldChar w:fldCharType="separate"/>
      </w:r>
      <w:r w:rsidR="00F72D9A">
        <w:rPr>
          <w:noProof/>
        </w:rPr>
        <w:t>(e.g. Winkler</w:t>
      </w:r>
      <w:r w:rsidR="00F72D9A" w:rsidRPr="00F72D9A">
        <w:rPr>
          <w:i/>
          <w:noProof/>
        </w:rPr>
        <w:t xml:space="preserve"> et al.</w:t>
      </w:r>
      <w:r w:rsidR="00F72D9A">
        <w:rPr>
          <w:noProof/>
        </w:rPr>
        <w:t>, 2019)</w:t>
      </w:r>
      <w:r w:rsidR="0014692A">
        <w:fldChar w:fldCharType="end"/>
      </w:r>
      <w:r w:rsidR="00BE1B29">
        <w:t xml:space="preserve">. Another deviation from the common allometric line is seen in the two carnivorous </w:t>
      </w:r>
      <w:r>
        <w:t>sister species</w:t>
      </w:r>
      <w:r w:rsidR="00BE1B29">
        <w:t xml:space="preserve">, the Rakali </w:t>
      </w:r>
      <w:r w:rsidR="00BE1B29">
        <w:rPr>
          <w:i/>
          <w:iCs/>
        </w:rPr>
        <w:t>Hydromys chrysogaster</w:t>
      </w:r>
      <w:r>
        <w:t xml:space="preserve"> and water mouse </w:t>
      </w:r>
      <w:r>
        <w:rPr>
          <w:i/>
          <w:iCs/>
        </w:rPr>
        <w:t xml:space="preserve">Xeromys myoides, </w:t>
      </w:r>
      <w:r>
        <w:t>and</w:t>
      </w:r>
      <w:r w:rsidR="00BE1B29">
        <w:t xml:space="preserve"> a group of ecological specialists with distinct non-diet related locomotor modes, the hopping mice </w:t>
      </w:r>
      <w:r w:rsidR="00BE1B29">
        <w:rPr>
          <w:i/>
        </w:rPr>
        <w:t>(Notomys</w:t>
      </w:r>
      <w:r w:rsidR="00BE1B29">
        <w:t>) and the rabbit-rat (</w:t>
      </w:r>
      <w:r w:rsidR="00BE1B29">
        <w:rPr>
          <w:i/>
        </w:rPr>
        <w:t>Conilurus penicillatus</w:t>
      </w:r>
      <w:r w:rsidR="00BE1B29">
        <w:t xml:space="preserve">). </w:t>
      </w:r>
      <w:r>
        <w:t>The hopping mice are</w:t>
      </w:r>
      <w:r w:rsidR="00BE1B29">
        <w:t xml:space="preserve"> of interest because of their conspicuous “facial tilt” of the anterior cranium, an adaptation resulting in an expansion of their field of view while hopping or bounding </w:t>
      </w:r>
      <w:r w:rsidR="00BE1B29">
        <w:fldChar w:fldCharType="begin"/>
      </w:r>
      <w:r w:rsidR="00BE1B29">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rsidR="00BE1B29">
        <w:fldChar w:fldCharType="separate"/>
      </w:r>
      <w:r w:rsidR="00BE1B29">
        <w:rPr>
          <w:noProof/>
        </w:rPr>
        <w:t>(Kraatz &amp; Sherratt, 2016)</w:t>
      </w:r>
      <w:r w:rsidR="00BE1B29">
        <w:fldChar w:fldCharType="end"/>
      </w:r>
      <w:r w:rsidR="00BE1B29">
        <w:t>. This makes them intriguing cases to examine in the allometry-free morphospace, as their rostral shapes may depend on the degree to which the facial tilt is independent from CREA.</w:t>
      </w:r>
    </w:p>
    <w:p w14:paraId="369B92B6" w14:textId="68788579" w:rsidR="000650EE" w:rsidRDefault="00000000" w:rsidP="00163C9C">
      <w:pPr>
        <w:spacing w:line="480" w:lineRule="auto"/>
        <w:ind w:firstLine="720"/>
      </w:pPr>
      <w:r>
        <w:t xml:space="preserve">The rodent sample </w:t>
      </w:r>
      <w:r w:rsidR="00163C9C">
        <w:t>of</w:t>
      </w:r>
      <w:r>
        <w:t xml:space="preserve"> </w:t>
      </w:r>
      <w:r>
        <w:fldChar w:fldCharType="begin"/>
      </w:r>
      <w:r w:rsidR="004550BE">
        <w:instrText xml:space="preserve"> ADDIN EN.CITE &lt;EndNote&gt;&lt;Cite AuthorYear="1"&gt;&lt;Author&gt;Marcy&lt;/Author&gt;&lt;Year&gt;2020&lt;/Year&gt;&lt;RecNum&gt;5&lt;/RecNum&gt;&lt;DisplayText&gt;Marcy&lt;style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xml:space="preserve"> (2020)</w:t>
      </w:r>
      <w:r>
        <w:fldChar w:fldCharType="end"/>
      </w:r>
      <w:r>
        <w:t xml:space="preserve"> offers an ideal opportunity for differentiating allometric and non-allometric variation</w:t>
      </w:r>
      <w:r w:rsidR="00163C9C">
        <w:t xml:space="preserve"> (via analysis of residuals from regressions of shape against size),</w:t>
      </w:r>
      <w:r>
        <w:t xml:space="preserve"> because it </w:t>
      </w:r>
      <w:r w:rsidR="00163C9C">
        <w:t>includes a predominance of</w:t>
      </w:r>
      <w:r>
        <w:t xml:space="preserve"> allometrically highly uniform species with clear deviations from the common pattern. </w:t>
      </w:r>
      <w:r w:rsidR="00163C9C">
        <w:t xml:space="preserve">For example, it allows us to test </w:t>
      </w:r>
      <w:r w:rsidR="00163C9C" w:rsidRPr="00163C9C">
        <w:t xml:space="preserve">if </w:t>
      </w:r>
      <w:r w:rsidR="000650EE" w:rsidRPr="00163C9C">
        <w:t>diversification of rodent crania is bounded by functional allometric constraints, whereby each size has a shape optimum</w:t>
      </w:r>
      <w:r w:rsidR="00163C9C" w:rsidRPr="00163C9C">
        <w:t xml:space="preserve">. In this case, </w:t>
      </w:r>
      <w:r w:rsidR="000650EE" w:rsidRPr="00163C9C">
        <w:t>we should expect to see an Ornstein-</w:t>
      </w:r>
      <w:proofErr w:type="spellStart"/>
      <w:r w:rsidR="000650EE" w:rsidRPr="00163C9C">
        <w:t>Uhlenbeck</w:t>
      </w:r>
      <w:proofErr w:type="spellEnd"/>
      <w:r w:rsidR="000650EE" w:rsidRPr="00163C9C">
        <w:t xml:space="preserve"> pattern of shape divergence through tim</w:t>
      </w:r>
      <w:r w:rsidR="00AE0DCE" w:rsidRPr="00163C9C">
        <w:t>e</w:t>
      </w:r>
      <w:r w:rsidR="000650EE" w:rsidRPr="00163C9C">
        <w:t xml:space="preserve">. We would also expect the morphological distances among species to be associated with the evolution of optimal shapes within the samples’ maximum size range.  By contrast, if the allometry-free shape variation relates to the capacity of the cranium to diverge </w:t>
      </w:r>
      <w:r w:rsidR="000650EE" w:rsidRPr="00163C9C">
        <w:lastRenderedPageBreak/>
        <w:t xml:space="preserve">independently of allometry, </w:t>
      </w:r>
      <w:r w:rsidR="00163C9C" w:rsidRPr="00163C9C">
        <w:t xml:space="preserve">and without much functional constraint, </w:t>
      </w:r>
      <w:r w:rsidR="000650EE" w:rsidRPr="00163C9C">
        <w:t xml:space="preserve">we would expect </w:t>
      </w:r>
      <w:r w:rsidR="00163C9C" w:rsidRPr="00163C9C">
        <w:t>a Brownian-motion process and find t</w:t>
      </w:r>
      <w:r w:rsidR="000650EE" w:rsidRPr="00163C9C">
        <w:t xml:space="preserve">he </w:t>
      </w:r>
      <w:r w:rsidR="00163C9C" w:rsidRPr="00163C9C">
        <w:t>greatest</w:t>
      </w:r>
      <w:r w:rsidR="000650EE" w:rsidRPr="00163C9C">
        <w:t xml:space="preserve"> morphological distances </w:t>
      </w:r>
      <w:r w:rsidR="009D6B1F">
        <w:t xml:space="preserve">– and differentiation in shape - </w:t>
      </w:r>
      <w:r w:rsidR="000650EE" w:rsidRPr="00163C9C">
        <w:t>between species that have ecological specializations with divergent functional requirements.</w:t>
      </w:r>
      <w:r w:rsidR="009D6B1F">
        <w:t xml:space="preserve"> This effect should </w:t>
      </w:r>
      <w:r w:rsidR="005B181F">
        <w:t xml:space="preserve">also </w:t>
      </w:r>
      <w:r w:rsidR="009D6B1F">
        <w:t>be visible in ordinations of shape, both in terms of the distribution of species in Principal Components morphospaces and the shape variation associated with this distribution.</w:t>
      </w:r>
    </w:p>
    <w:p w14:paraId="33BB3AB6" w14:textId="77777777" w:rsidR="008922AE" w:rsidRDefault="008922AE">
      <w:pPr>
        <w:spacing w:line="480" w:lineRule="auto"/>
      </w:pPr>
    </w:p>
    <w:p w14:paraId="2EFCC6FF" w14:textId="30E62F0E" w:rsidR="00B43042" w:rsidRDefault="00D2526B" w:rsidP="00B43042">
      <w:pPr>
        <w:spacing w:line="480" w:lineRule="auto"/>
      </w:pPr>
      <w:r>
        <w:t xml:space="preserve">In addition, the biomechanical processes leading to CREA are expected to be reflected in high </w:t>
      </w:r>
      <w:r w:rsidR="00CC6B57">
        <w:t xml:space="preserve">allometry and high </w:t>
      </w:r>
      <w:r w:rsidR="00B43042">
        <w:t>levels of co-variation</w:t>
      </w:r>
      <w:r>
        <w:t xml:space="preserve"> </w:t>
      </w:r>
      <w:r w:rsidR="00CC6B57">
        <w:t>in cranial areas that are expected to vary most under CREA</w:t>
      </w:r>
      <w:r>
        <w:t xml:space="preserve"> – the rostrum, cranial vault, and potentially orbital region </w:t>
      </w:r>
      <w:r>
        <w:fldChar w:fldCharType="begin"/>
      </w:r>
      <w: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Pr>
          <w:noProof/>
        </w:rPr>
        <w:t>(Mitchell</w:t>
      </w:r>
      <w:r w:rsidRPr="00D2526B">
        <w:rPr>
          <w:i/>
          <w:noProof/>
        </w:rPr>
        <w:t xml:space="preserve"> et al.</w:t>
      </w:r>
      <w:r>
        <w:rPr>
          <w:noProof/>
        </w:rPr>
        <w:t>, 2024)</w:t>
      </w:r>
      <w:r>
        <w:fldChar w:fldCharType="end"/>
      </w:r>
      <w:r>
        <w:t>. By contrast, selection on functions that result in shape variation independent of CREA is expected to be more apparent in some parts of the skull but not others</w:t>
      </w:r>
      <w:r w:rsidR="00B43042">
        <w:t xml:space="preserve"> depending on cranial function</w:t>
      </w:r>
      <w:r>
        <w:t xml:space="preserve"> (e.g. the maxillary region of carnivorous species; the back of the skull in hopping or bounding species). A key question is therefore whether there are size-independent patterns alongside CREA which allow the evolution of cranial areas away from the main allometric line. This is conceivable because allometry explained a large amount (36%), but not the majority, of cranial shape variation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rsidR="0075246D">
        <w:t xml:space="preserve">. </w:t>
      </w:r>
      <w:bookmarkStart w:id="3" w:name="_Hlk160624073"/>
      <w:r w:rsidR="0075246D">
        <w:t xml:space="preserve">This unexplained variation might be related to species-specific variation without any </w:t>
      </w:r>
      <w:proofErr w:type="gramStart"/>
      <w:r w:rsidR="0075246D">
        <w:t>particular evolutionary</w:t>
      </w:r>
      <w:proofErr w:type="gramEnd"/>
      <w:r w:rsidR="0075246D">
        <w:t xml:space="preserve"> patterning (such as vicariance or founder effects), but it</w:t>
      </w:r>
      <w:r w:rsidR="003408C3">
        <w:t xml:space="preserve"> could </w:t>
      </w:r>
      <w:r w:rsidR="0075246D">
        <w:t xml:space="preserve">also be attributable to </w:t>
      </w:r>
      <w:bookmarkEnd w:id="3"/>
      <w:r w:rsidR="00B43042">
        <w:t>selection that is unrelated to CREA</w:t>
      </w:r>
      <w:r>
        <w:t xml:space="preserve">. </w:t>
      </w:r>
    </w:p>
    <w:p w14:paraId="646A7B03" w14:textId="77777777" w:rsidR="00B43042" w:rsidRDefault="00B43042" w:rsidP="00B43042">
      <w:pPr>
        <w:spacing w:line="480" w:lineRule="auto"/>
      </w:pPr>
    </w:p>
    <w:p w14:paraId="071B35E2" w14:textId="5FEB4FA0" w:rsidR="007F4F9A" w:rsidRDefault="00B43042" w:rsidP="00B43042">
      <w:pPr>
        <w:spacing w:line="480" w:lineRule="auto"/>
      </w:pPr>
      <w:r>
        <w:t xml:space="preserve">Our above predictions can be tested through assessments of cranial integration </w:t>
      </w:r>
      <w:r>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(covariation between modules; Klingenberg, 2009)</w:t>
      </w:r>
      <w:r>
        <w:fldChar w:fldCharType="end"/>
      </w:r>
      <w:r>
        <w:t xml:space="preserve"> and modularity </w:t>
      </w:r>
      <w:r>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fldChar w:fldCharType="separate"/>
      </w:r>
      <w:r w:rsidR="00B1097F">
        <w:rPr>
          <w:noProof/>
        </w:rPr>
        <w:t>(the degree of independence of shape variation within a module relative to the others; Klingenberg, 2009)</w:t>
      </w:r>
      <w:r>
        <w:fldChar w:fldCharType="end"/>
      </w:r>
      <w:r w:rsidR="00FB409C">
        <w:t xml:space="preserve">. </w:t>
      </w:r>
      <w:r>
        <w:t xml:space="preserve">Strong allometry in the </w:t>
      </w:r>
      <w:r>
        <w:lastRenderedPageBreak/>
        <w:t xml:space="preserve">rodent sample means that </w:t>
      </w:r>
      <w:r w:rsidR="003A5829">
        <w:t>the</w:t>
      </w:r>
      <w:r>
        <w:t xml:space="preserve"> skull </w:t>
      </w:r>
      <w:r w:rsidR="003A5829">
        <w:t>co-evolves with size</w:t>
      </w:r>
      <w:r w:rsidR="00B02AC1">
        <w:t xml:space="preserve"> as </w:t>
      </w:r>
      <w:r>
        <w:t xml:space="preserve">one </w:t>
      </w:r>
      <w:r w:rsidR="00B02AC1">
        <w:t xml:space="preserve">integrated </w:t>
      </w:r>
      <w:r>
        <w:t>structure</w:t>
      </w:r>
      <w:r w:rsidR="00ED28C2">
        <w:t xml:space="preserve">, </w:t>
      </w:r>
      <w:r>
        <w:t xml:space="preserve">so that the integration between modules (i.e. their co-variance)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w:t>
      </w:r>
      <w:r>
        <w:t xml:space="preserve">is expected to be higher and </w:t>
      </w:r>
      <w:proofErr w:type="spellStart"/>
      <w:r w:rsidR="00ED28C2">
        <w:t>and</w:t>
      </w:r>
      <w:proofErr w:type="spellEnd"/>
      <w:r w:rsidR="00ED28C2">
        <w:t xml:space="preserve"> modularity (i.e. independence of modules from each other)</w:t>
      </w:r>
      <w:r>
        <w:t xml:space="preserve"> potentially lower in datasets with shape information contained. </w:t>
      </w:r>
      <w:r w:rsidR="00ED28C2">
        <w:t xml:space="preserve">Integration should </w:t>
      </w:r>
      <w:r>
        <w:t xml:space="preserve">also </w:t>
      </w:r>
      <w:r w:rsidR="00ED28C2">
        <w:t xml:space="preserve">be strongest between those modules identified as affected by CREA, including the rostrum, vault, and potentially orbital region. </w:t>
      </w:r>
      <w:r w:rsidR="007F4F9A">
        <w:t xml:space="preserve">Removing the effects of size from the shape variation </w:t>
      </w:r>
      <w:r w:rsidR="00FB409C">
        <w:t xml:space="preserve">by </w:t>
      </w:r>
      <w:proofErr w:type="spellStart"/>
      <w:r w:rsidR="00FB409C">
        <w:t>analysing</w:t>
      </w:r>
      <w:proofErr w:type="spellEnd"/>
      <w:r w:rsidR="00FB409C">
        <w:t xml:space="preserve"> residuals of allometric regressions is therefore expected to reduce the integration of the cranium overall and between modules, and possibly also increase the degree of modularity. </w:t>
      </w:r>
      <w:r w:rsidR="000650EE">
        <w:t>Analysis of residuals thus can also</w:t>
      </w:r>
      <w:r w:rsidR="00FB409C">
        <w:t xml:space="preserve"> reveal patterns of integration that are not related to size, which would demonstrate that allometric variation is not the sole driver of cranial shape evolution. </w:t>
      </w:r>
    </w:p>
    <w:p w14:paraId="5EC49611" w14:textId="77777777" w:rsidR="008922AE" w:rsidRDefault="008922AE" w:rsidP="000650EE">
      <w:pPr>
        <w:spacing w:line="480" w:lineRule="auto"/>
      </w:pPr>
    </w:p>
    <w:p w14:paraId="605E6FD0" w14:textId="45D58C10" w:rsidR="000B302A" w:rsidRDefault="00000000">
      <w:pPr>
        <w:spacing w:line="480" w:lineRule="auto"/>
      </w:pPr>
      <w:r>
        <w:t xml:space="preserve">In this study, we test </w:t>
      </w:r>
      <w:r w:rsidR="00F6298A">
        <w:t>the</w:t>
      </w:r>
      <w:r>
        <w:t xml:space="preserve"> expectations</w:t>
      </w:r>
      <w:r w:rsidR="000B302A">
        <w:t xml:space="preserve"> outlined above</w:t>
      </w:r>
      <w:r>
        <w:t xml:space="preserve"> on the relationships between allometric and non-allometric shape variation on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sample of Australian murids</w:t>
      </w:r>
      <w:r w:rsidR="000B302A">
        <w:t xml:space="preserve">. Contrasting the shape variation of the dataset with allometry-free residual shape data, we characterize the mode of evolution, ordinated morphospace distribution, integration and modularity in the whole cranium and its modules. </w:t>
      </w:r>
      <w:r w:rsidR="000B302A" w:rsidRPr="00D0603F">
        <w:rPr>
          <w:highlight w:val="yellow"/>
        </w:rPr>
        <w:t xml:space="preserve">This provides the first investigation targeting </w:t>
      </w:r>
      <w:r w:rsidR="001D75A2" w:rsidRPr="00D0603F">
        <w:rPr>
          <w:highlight w:val="yellow"/>
        </w:rPr>
        <w:t>the</w:t>
      </w:r>
      <w:r w:rsidR="000B302A" w:rsidRPr="00D0603F">
        <w:rPr>
          <w:highlight w:val="yellow"/>
        </w:rPr>
        <w:t xml:space="preserve"> interpretation of shape variation after allometry removal, which serves to test the predominance of biomechanical drivers of mammalian cranial shape variation.</w:t>
      </w:r>
      <w:r w:rsidR="000B302A">
        <w:t xml:space="preserve"> </w:t>
      </w:r>
    </w:p>
    <w:p w14:paraId="47E3BF50" w14:textId="77777777" w:rsidR="00B508B1" w:rsidRDefault="00B508B1">
      <w:r>
        <w:br w:type="page"/>
      </w:r>
    </w:p>
    <w:p w14:paraId="2488838D" w14:textId="77777777" w:rsidR="008922AE" w:rsidRDefault="00000000">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76D45545" w:rsidR="008922AE" w:rsidRPr="00A861D3" w:rsidRDefault="00000000" w:rsidP="00DF3B52">
      <w:pPr>
        <w:spacing w:line="480" w:lineRule="auto"/>
      </w:pPr>
      <w:r>
        <w:t xml:space="preserve">We used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(317 individuals) that were landmarked with a protocol of 60 fixed landmarks, 141 curve semi-landmarks, and 124 patch semi-landmarks</w:t>
      </w:r>
      <w:r w:rsidR="009E41FE">
        <w:t>.</w:t>
      </w:r>
      <w:r w:rsidR="00F6298A">
        <w:t xml:space="preserve"> The species </w:t>
      </w:r>
      <w:proofErr w:type="gramStart"/>
      <w:r w:rsidR="00F6298A">
        <w:t xml:space="preserve">included </w:t>
      </w:r>
      <w:r w:rsidR="009E41FE">
        <w:t xml:space="preserve"> These</w:t>
      </w:r>
      <w:proofErr w:type="gramEnd"/>
      <w:r w:rsidR="009E41FE">
        <w:t xml:space="preserv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xml:space="preserve">. All analyses were performed in R (v.3.6.1) </w:t>
      </w:r>
      <w:r>
        <w:fldChar w:fldCharType="begin"/>
      </w:r>
      <w:r w:rsidR="0075246D">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B1097F">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4550BE">
        <w:instrText xml:space="preserve"> ADDIN EN.CITE &lt;EndNote&gt;&lt;Cite&gt;&lt;Author&gt;Adams&lt;/Author&gt;&lt;Year&gt;2022&lt;/Year&gt;&lt;RecNum&gt;16&lt;/RecNum&gt;&lt;DisplayText&gt;(Adams&lt;style face="italic"&gt; et al.&lt;/style&gt;, 2022; Baken&lt;style face="italic"&gt; et al.&lt;/style&gt;,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4550BE" w:rsidRPr="004550BE">
        <w:rPr>
          <w:noProof/>
        </w:rPr>
        <w:t>(Adams</w:t>
      </w:r>
      <w:r w:rsidR="004550BE" w:rsidRPr="004550BE">
        <w:rPr>
          <w:i/>
          <w:noProof/>
        </w:rPr>
        <w:t xml:space="preserve"> et al.</w:t>
      </w:r>
      <w:r w:rsidR="004550BE" w:rsidRPr="004550BE">
        <w:rPr>
          <w:noProof/>
        </w:rPr>
        <w:t>, 2022; Baken</w:t>
      </w:r>
      <w:r w:rsidR="004550BE" w:rsidRPr="004550BE">
        <w:rPr>
          <w:i/>
          <w:noProof/>
        </w:rPr>
        <w:t xml:space="preserve"> et al.</w:t>
      </w:r>
      <w:r w:rsidR="004550BE" w:rsidRPr="004550BE">
        <w:rPr>
          <w:noProof/>
        </w:rPr>
        <w:t>, 2021)</w:t>
      </w:r>
      <w:r>
        <w:rPr>
          <w:i/>
          <w:iCs/>
        </w:rPr>
        <w:fldChar w:fldCharType="end"/>
      </w:r>
      <w:r>
        <w:t xml:space="preserve">, </w:t>
      </w:r>
      <w:proofErr w:type="spellStart"/>
      <w:r w:rsidR="0066115D" w:rsidRPr="0066115D">
        <w:rPr>
          <w:i/>
          <w:iCs/>
        </w:rPr>
        <w:t>mvMORPH</w:t>
      </w:r>
      <w:proofErr w:type="spellEnd"/>
      <w:r w:rsidR="0066115D">
        <w:t xml:space="preserve"> </w:t>
      </w:r>
      <w:r w:rsidR="0066115D">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4550BE">
        <w:rPr>
          <w:noProof/>
        </w:rPr>
        <w:t>(Clavel</w:t>
      </w:r>
      <w:r w:rsidR="004550BE" w:rsidRPr="004550BE">
        <w:rPr>
          <w:i/>
          <w:noProof/>
        </w:rPr>
        <w:t xml:space="preserve"> et al.</w:t>
      </w:r>
      <w:r w:rsidR="004550BE">
        <w:rPr>
          <w:noProof/>
        </w:rPr>
        <w:t>, 2015)</w:t>
      </w:r>
      <w:r w:rsidR="0066115D">
        <w:fldChar w:fldCharType="end"/>
      </w:r>
      <w:r w:rsidR="0066115D">
        <w:t xml:space="preserve">, </w:t>
      </w:r>
      <w:proofErr w:type="spellStart"/>
      <w:r>
        <w:rPr>
          <w:i/>
          <w:iCs/>
        </w:rPr>
        <w:t>l</w:t>
      </w:r>
      <w:r w:rsidRPr="0079408D">
        <w:rPr>
          <w:i/>
          <w:iCs/>
        </w:rPr>
        <w:t>andvR</w:t>
      </w:r>
      <w:proofErr w:type="spellEnd"/>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4550BE">
        <w:instrText xml:space="preserve"> ADDIN EN.CITE &lt;EndNote&gt;&lt;Cite&gt;&lt;Author&gt;Oksanen&lt;/Author&gt;&lt;Year&gt;2022&lt;/Year&gt;&lt;RecNum&gt;19&lt;/RecNum&gt;&lt;DisplayText&gt;(Oksanen&lt;style face="italic"&gt; et al.&lt;/style&gt;,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4550BE" w:rsidRPr="004550BE">
        <w:rPr>
          <w:noProof/>
        </w:rPr>
        <w:t>(Oksanen</w:t>
      </w:r>
      <w:r w:rsidR="004550BE" w:rsidRPr="004550BE">
        <w:rPr>
          <w:i/>
          <w:noProof/>
        </w:rPr>
        <w:t xml:space="preserve"> et al.</w:t>
      </w:r>
      <w:r w:rsidR="004550BE" w:rsidRPr="004550BE">
        <w:rPr>
          <w:noProof/>
        </w:rPr>
        <w:t>,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4550BE">
        <w:rPr>
          <w:highlight w:val="white"/>
        </w:rPr>
        <w:instrText xml:space="preserve"> ADDIN EN.CITE &lt;EndNote&gt;&lt;Cite&gt;&lt;Author&gt;Marcy&lt;/Author&gt;&lt;Year&gt;2018&lt;/Year&gt;&lt;RecNum&gt;24&lt;/RecNum&gt;&lt;DisplayText&gt;(Marcy&lt;style face="italic"&gt; et al.&lt;/style&gt;,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fldChar w:fldCharType="separate"/>
      </w:r>
      <w:r w:rsidR="00A861D3">
        <w:rPr>
          <w:highlight w:val="white"/>
        </w:rPr>
        <w:fldChar w:fldCharType="end"/>
      </w:r>
      <w:r w:rsidR="00A861D3">
        <w:rPr>
          <w:highlight w:val="white"/>
        </w:rPr>
        <w:t>.</w:t>
      </w:r>
      <w:r w:rsidR="00A861D3">
        <w:t xml:space="preserve"> </w:t>
      </w:r>
    </w:p>
    <w:p w14:paraId="6E33EF8D" w14:textId="19EF75F7" w:rsidR="008922AE" w:rsidRDefault="008922AE" w:rsidP="0066115D">
      <w:pPr>
        <w:spacing w:line="480" w:lineRule="auto"/>
      </w:pPr>
    </w:p>
    <w:p w14:paraId="3D636C91" w14:textId="1EB9583E" w:rsidR="0066115D" w:rsidRPr="0066115D" w:rsidRDefault="003616CF" w:rsidP="00CA0428">
      <w:pPr>
        <w:spacing w:line="480" w:lineRule="auto"/>
        <w:outlineLvl w:val="2"/>
        <w:rPr>
          <w:i/>
          <w:iCs/>
        </w:rPr>
      </w:pPr>
      <w:r>
        <w:rPr>
          <w:i/>
          <w:iCs/>
        </w:rPr>
        <w:t>E</w:t>
      </w:r>
      <w:r w:rsidR="0066115D">
        <w:rPr>
          <w:i/>
          <w:iCs/>
        </w:rPr>
        <w:t>volutionary modes</w:t>
      </w:r>
    </w:p>
    <w:p w14:paraId="28F391D6" w14:textId="5153647B" w:rsidR="00C8529A" w:rsidRDefault="0066115D" w:rsidP="00E00FF4">
      <w:pPr>
        <w:spacing w:line="480" w:lineRule="auto"/>
      </w:pPr>
      <w:r>
        <w:t>To assess whether the crania in our sample follow an Ornstein-</w:t>
      </w:r>
      <w:proofErr w:type="spellStart"/>
      <w:r>
        <w:t>Uhlenbeck</w:t>
      </w:r>
      <w:proofErr w:type="spellEnd"/>
      <w:r>
        <w:t xml:space="preserve"> (OU) pattern of evolution, </w:t>
      </w:r>
      <w:r w:rsidR="00657980">
        <w:t>as predicted by our hypothesis of stabilizing selection, we</w:t>
      </w:r>
      <w:r w:rsidR="00C77C9D">
        <w:t xml:space="preserve"> used </w:t>
      </w:r>
      <w:proofErr w:type="spellStart"/>
      <w:r w:rsidR="00C77C9D">
        <w:t>mvMORPH</w:t>
      </w:r>
      <w:proofErr w:type="spellEnd"/>
      <w:r w:rsidR="00C77C9D">
        <w:t xml:space="preserve"> to fit</w:t>
      </w:r>
      <w:r w:rsidR="00657980">
        <w:t xml:space="preserve"> models of Brownian Motion (BM), Ornstein-</w:t>
      </w:r>
      <w:proofErr w:type="spellStart"/>
      <w:r w:rsidR="00657980">
        <w:t>Uhlenbeck</w:t>
      </w:r>
      <w:proofErr w:type="spellEnd"/>
      <w:r w:rsidR="00657980">
        <w:t xml:space="preserve"> (OU), </w:t>
      </w:r>
      <w:proofErr w:type="gramStart"/>
      <w:r w:rsidR="00657980">
        <w:t>and also</w:t>
      </w:r>
      <w:proofErr w:type="gramEnd"/>
      <w:r w:rsidR="00657980">
        <w:t xml:space="preserve"> Early Burst (EB). </w:t>
      </w:r>
      <w:r w:rsidR="00932518">
        <w:t xml:space="preserve">The </w:t>
      </w:r>
      <w:r w:rsidR="00657980">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4550BE">
        <w:rPr>
          <w:noProof/>
        </w:rPr>
        <w:t>(Clavel</w:t>
      </w:r>
      <w:r w:rsidR="004550BE" w:rsidRPr="004550BE">
        <w:rPr>
          <w:i/>
          <w:noProof/>
        </w:rPr>
        <w:t xml:space="preserve"> et al.</w:t>
      </w:r>
      <w:r w:rsidR="004550BE">
        <w:rPr>
          <w:noProof/>
        </w:rPr>
        <w:t>, 2015)</w:t>
      </w:r>
      <w:r w:rsidR="00932518">
        <w:fldChar w:fldCharType="end"/>
      </w:r>
      <w:r w:rsidR="00657980">
        <w:t>.</w:t>
      </w:r>
      <w:r w:rsidR="005D14AF">
        <w:t xml:space="preserve"> </w:t>
      </w:r>
      <w:r w:rsidR="00E00FF4">
        <w:t xml:space="preserve">We also fitted </w:t>
      </w:r>
      <w:proofErr w:type="spellStart"/>
      <w:r w:rsidR="00E00FF4">
        <w:t>gls</w:t>
      </w:r>
      <w:proofErr w:type="spellEnd"/>
      <w:r w:rsidR="00E00FF4">
        <w:t xml:space="preserve"> models of allometry under the three evolutionary </w:t>
      </w:r>
      <w:r w:rsidR="00E00FF4">
        <w:lastRenderedPageBreak/>
        <w:t>scenarios to find out which evolutionary mode fits the evolution of allometry best</w:t>
      </w:r>
      <w:r w:rsidR="00411130">
        <w:t xml:space="preserve">, and additionally the most likely mode of evolution of the residuals of that model. </w:t>
      </w:r>
      <w:r w:rsidR="00E00FF4">
        <w:t>To identify the best mode</w:t>
      </w:r>
      <w:r w:rsidR="00C8529A">
        <w:t>s</w:t>
      </w:r>
      <w:r w:rsidR="00E00FF4">
        <w:t xml:space="preserve">,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w:t>
      </w:r>
      <w:r w:rsidR="00C8529A">
        <w:t xml:space="preserve">Lastly, we also investigated the most likely evolutionary mode for log-transformed centroid size through functionalities in the </w:t>
      </w:r>
      <w:r w:rsidR="00C8529A">
        <w:rPr>
          <w:i/>
          <w:iCs/>
        </w:rPr>
        <w:t>Phytools</w:t>
      </w:r>
      <w:r w:rsidR="00C8529A">
        <w:t xml:space="preserve"> package</w:t>
      </w:r>
      <w:r w:rsidR="003616CF">
        <w:t>, by calculating W scores of the Akaike Information Criterion (AIC) outputs</w:t>
      </w:r>
      <w:r w:rsidR="00C8529A">
        <w:t xml:space="preserve">. </w:t>
      </w:r>
    </w:p>
    <w:p w14:paraId="7B2611A5" w14:textId="4B9832BA" w:rsidR="00E00FF4" w:rsidRPr="00B0609F" w:rsidRDefault="004550BE" w:rsidP="00C8529A">
      <w:pPr>
        <w:spacing w:line="480" w:lineRule="auto"/>
        <w:ind w:firstLine="720"/>
      </w:pPr>
      <w:r>
        <w:t xml:space="preserve">Note that estimates of evolutionary mode are unlikely to be very robust because our samples size is relatively small </w:t>
      </w:r>
      <w:r>
        <w:fldChar w:fldCharType="begin"/>
      </w:r>
      <w:r>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fldChar w:fldCharType="separate"/>
      </w:r>
      <w:r>
        <w:rPr>
          <w:noProof/>
        </w:rPr>
        <w:t>(Cooper</w:t>
      </w:r>
      <w:r w:rsidRPr="004550BE">
        <w:rPr>
          <w:i/>
          <w:noProof/>
        </w:rPr>
        <w:t xml:space="preserve"> et al.</w:t>
      </w:r>
      <w:r>
        <w:rPr>
          <w:noProof/>
        </w:rPr>
        <w:t>, 2016)</w:t>
      </w:r>
      <w:r>
        <w:fldChar w:fldCharType="end"/>
      </w:r>
      <w:r>
        <w:t xml:space="preserve">, which is why we expand on this test visually (see below) as well. </w:t>
      </w:r>
      <w:r w:rsidR="00680FC6">
        <w:t xml:space="preserve">For </w:t>
      </w:r>
      <w:r w:rsidR="00D95117">
        <w:t>any cases</w:t>
      </w:r>
      <w:r w:rsidR="00680FC6">
        <w:t xml:space="preserve"> of OU</w:t>
      </w:r>
      <w:r w:rsidR="001035B6">
        <w:t>/EB</w:t>
      </w:r>
      <w:r w:rsidR="00680FC6">
        <w:t xml:space="preserve"> model</w:t>
      </w:r>
      <w:r w:rsidR="00D95117">
        <w:t>s</w:t>
      </w:r>
      <w:r w:rsidR="00680FC6">
        <w:t xml:space="preserve"> being more likely, we also used </w:t>
      </w:r>
      <w:r>
        <w:t>Two-Block Partial Least Squares analysis</w:t>
      </w:r>
      <w:r w:rsidR="00680FC6">
        <w:t xml:space="preserve"> to assess how strongly residuals from models </w:t>
      </w:r>
      <w:r w:rsidR="001035B6">
        <w:t xml:space="preserve">of OU/EB and BM evolution </w:t>
      </w:r>
      <w:r w:rsidR="00680FC6">
        <w:t>were correlated. This is relevant because the downstream analyses of integration and modularity are only available</w:t>
      </w:r>
      <w:r w:rsidR="00A859F5">
        <w:t xml:space="preserve"> in </w:t>
      </w:r>
      <w:proofErr w:type="spellStart"/>
      <w:r w:rsidR="00A859F5">
        <w:rPr>
          <w:i/>
          <w:iCs/>
        </w:rPr>
        <w:t>geomorph</w:t>
      </w:r>
      <w:proofErr w:type="spellEnd"/>
      <w:r w:rsidR="00680FC6">
        <w:t xml:space="preserve"> in the context of Brownian Motion models</w:t>
      </w:r>
      <w:r w:rsidR="00837FC7">
        <w:t>.</w:t>
      </w:r>
      <w:r w:rsidR="00B0609F">
        <w:t xml:space="preserve"> </w:t>
      </w:r>
    </w:p>
    <w:p w14:paraId="4FD715F3" w14:textId="77777777" w:rsidR="007F54EC" w:rsidRDefault="007F54EC" w:rsidP="00E00FF4">
      <w:pPr>
        <w:spacing w:line="480" w:lineRule="auto"/>
      </w:pPr>
    </w:p>
    <w:p w14:paraId="226C8E2A" w14:textId="3707CD03" w:rsidR="007F54EC" w:rsidRDefault="007F54EC" w:rsidP="007F54EC">
      <w:pPr>
        <w:pStyle w:val="Heading3"/>
        <w:numPr>
          <w:ilvl w:val="0"/>
          <w:numId w:val="0"/>
        </w:numPr>
        <w:spacing w:line="480" w:lineRule="auto"/>
        <w:rPr>
          <w:highlight w:val="white"/>
        </w:rPr>
      </w:pPr>
      <w:proofErr w:type="spellStart"/>
      <w:r>
        <w:rPr>
          <w:highlight w:val="white"/>
        </w:rPr>
        <w:t>Visualising</w:t>
      </w:r>
      <w:proofErr w:type="spellEnd"/>
      <w:r>
        <w:rPr>
          <w:highlight w:val="white"/>
        </w:rPr>
        <w:t xml:space="preserve"> shape evolution</w:t>
      </w:r>
      <w:r w:rsidR="00CA0428">
        <w:rPr>
          <w:highlight w:val="white"/>
        </w:rPr>
        <w:t xml:space="preserve"> through </w:t>
      </w:r>
      <w:proofErr w:type="spellStart"/>
      <w:r w:rsidR="00CA0428">
        <w:rPr>
          <w:highlight w:val="white"/>
        </w:rPr>
        <w:t>phylo</w:t>
      </w:r>
      <w:proofErr w:type="spellEnd"/>
      <w:r w:rsidR="00CA0428">
        <w:rPr>
          <w:highlight w:val="white"/>
        </w:rPr>
        <w:t>-morphological distance plots</w:t>
      </w:r>
    </w:p>
    <w:p w14:paraId="39969688" w14:textId="77777777" w:rsidR="007F54EC" w:rsidRDefault="007F54EC" w:rsidP="007F54EC">
      <w:pPr>
        <w:spacing w:line="480" w:lineRule="auto"/>
        <w:rPr>
          <w:highlight w:val="white"/>
        </w:rPr>
      </w:pPr>
    </w:p>
    <w:p w14:paraId="5A12D0A3" w14:textId="52B6F12E" w:rsidR="00E00FF4" w:rsidRDefault="000E7AF4" w:rsidP="007F54EC">
      <w:pPr>
        <w:spacing w:line="480" w:lineRule="auto"/>
      </w:pPr>
      <w:r>
        <w:rPr>
          <w:highlight w:val="white"/>
        </w:rPr>
        <w:t xml:space="preserve">As noted above, the sample size available to us (n=37 species) makes estimations of evolutionary modes potentially unreliable. </w:t>
      </w:r>
      <w:r w:rsidR="008364CA">
        <w:rPr>
          <w:highlight w:val="white"/>
        </w:rPr>
        <w:t>We therefore also visualized change of shape relative to time by plotting</w:t>
      </w:r>
      <w:r w:rsidR="007F54EC">
        <w:rPr>
          <w:highlight w:val="white"/>
        </w:rPr>
        <w:t xml:space="preserve"> the </w:t>
      </w:r>
      <w:r>
        <w:rPr>
          <w:highlight w:val="white"/>
        </w:rPr>
        <w:t>Procrustes distances between species against evolutionary time</w:t>
      </w:r>
      <w:r w:rsidR="007F54EC">
        <w:rPr>
          <w:highlight w:val="white"/>
        </w:rPr>
        <w:t xml:space="preserve">. For this, we retrieved a matrix of pairwise phylogenetic distances using the </w:t>
      </w:r>
      <w:r w:rsidR="007F54EC">
        <w:rPr>
          <w:i/>
          <w:highlight w:val="white"/>
        </w:rPr>
        <w:t>picante</w:t>
      </w:r>
      <w:r w:rsidR="007F54EC">
        <w:rPr>
          <w:highlight w:val="white"/>
        </w:rPr>
        <w:t xml:space="preserve"> function </w:t>
      </w:r>
      <w:proofErr w:type="spellStart"/>
      <w:r w:rsidR="007F54EC">
        <w:rPr>
          <w:i/>
          <w:highlight w:val="white"/>
        </w:rPr>
        <w:t>cophenic</w:t>
      </w:r>
      <w:proofErr w:type="spellEnd"/>
      <w:r w:rsidR="007F54EC">
        <w:rPr>
          <w:highlight w:val="white"/>
        </w:rPr>
        <w:t xml:space="preserve"> </w:t>
      </w:r>
      <w:r w:rsidR="007F54EC">
        <w:fldChar w:fldCharType="begin"/>
      </w:r>
      <w:r w:rsidR="004550BE">
        <w:instrText xml:space="preserve"> ADDIN EN.CITE &lt;EndNote&gt;&lt;Cite&gt;&lt;Author&gt;Kembel&lt;/Author&gt;&lt;Year&gt;2010&lt;/Year&gt;&lt;RecNum&gt;36&lt;/RecNum&gt;&lt;DisplayText&gt;(Kembel&lt;style face="italic"&gt; et al.&lt;/style&gt;,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7F54EC">
        <w:rPr>
          <w:highlight w:val="white"/>
        </w:rPr>
        <w:fldChar w:fldCharType="separate"/>
      </w:r>
      <w:r w:rsidR="004550BE" w:rsidRPr="004550BE">
        <w:rPr>
          <w:noProof/>
        </w:rPr>
        <w:t>(Kembel</w:t>
      </w:r>
      <w:r w:rsidR="004550BE" w:rsidRPr="004550BE">
        <w:rPr>
          <w:i/>
          <w:noProof/>
        </w:rPr>
        <w:t xml:space="preserve"> et al.</w:t>
      </w:r>
      <w:r w:rsidR="004550BE" w:rsidRPr="004550BE">
        <w:rPr>
          <w:noProof/>
        </w:rPr>
        <w:t>, 2010)</w:t>
      </w:r>
      <w:r w:rsidR="007F54EC">
        <w:rPr>
          <w:highlight w:val="white"/>
        </w:rPr>
        <w:fldChar w:fldCharType="end"/>
      </w:r>
      <w:r w:rsidR="007F54EC">
        <w:rPr>
          <w:highlight w:val="white"/>
        </w:rPr>
        <w:t xml:space="preserve"> on our </w:t>
      </w:r>
      <w:proofErr w:type="spellStart"/>
      <w:r w:rsidR="007F54EC">
        <w:rPr>
          <w:highlight w:val="white"/>
        </w:rPr>
        <w:t>ultrametric</w:t>
      </w:r>
      <w:proofErr w:type="spellEnd"/>
      <w:r w:rsidR="007F54EC">
        <w:rPr>
          <w:highlight w:val="white"/>
        </w:rPr>
        <w:t xml:space="preserve"> time-calibrated phylogeny </w:t>
      </w:r>
      <w:r w:rsidR="007F54EC">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F54EC">
        <w:rPr>
          <w:highlight w:val="white"/>
        </w:rPr>
      </w:r>
      <w:r w:rsidR="007F54EC">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F54EC">
        <w:rPr>
          <w:highlight w:val="white"/>
        </w:rPr>
        <w:fldChar w:fldCharType="end"/>
      </w:r>
      <w:r w:rsidR="007F54EC">
        <w:rPr>
          <w:highlight w:val="white"/>
        </w:rPr>
        <w:t xml:space="preserve">. Values were divided in half to give values in millions of years since last common ancestor. The pairwise Procrustes distances – i.e. morphological distances – were </w:t>
      </w:r>
      <w:r w:rsidR="007F54EC">
        <w:rPr>
          <w:highlight w:val="white"/>
        </w:rPr>
        <w:lastRenderedPageBreak/>
        <w:t xml:space="preserve">derived from the GPA of shapes. We then plotted every pairwise combination of the phylogenetic and morphological distances between two species in our dataset for both the full shape and shape residual datasets. </w:t>
      </w:r>
      <w:r w:rsidR="007F54EC">
        <w:t xml:space="preserve">We expected this to provide a broad estimate of morphological divergences with and without allometry, but there are two caveats to this method: 1) </w:t>
      </w:r>
      <w:proofErr w:type="spellStart"/>
      <w:r w:rsidR="007F54EC">
        <w:t>pseudoreplication</w:t>
      </w:r>
      <w:proofErr w:type="spellEnd"/>
      <w:r w:rsidR="007F54EC">
        <w:t xml:space="preserve"> due to the high volume of pairwise comparisons within the sample and 2) non-uniform sampling of time due to the phylogeny’s structure, with</w:t>
      </w:r>
      <w:r w:rsidR="007F54EC">
        <w:rPr>
          <w:highlight w:val="white"/>
        </w:rPr>
        <w:t xml:space="preserve"> </w:t>
      </w:r>
      <w:r w:rsidR="007F54EC">
        <w:t>most coverage occurring between 0.3-4.2 Ma. We therefore interpret the results with these caveats in mind.</w:t>
      </w:r>
      <w:bookmarkStart w:id="4" w:name="_heading=h.1t3h5sf"/>
      <w:bookmarkEnd w:id="4"/>
    </w:p>
    <w:p w14:paraId="149237A7" w14:textId="77777777" w:rsidR="005D14AF" w:rsidRPr="0066115D" w:rsidRDefault="005D14AF" w:rsidP="0066115D">
      <w:pPr>
        <w:spacing w:line="480" w:lineRule="auto"/>
      </w:pPr>
    </w:p>
    <w:p w14:paraId="5979F09A" w14:textId="60061868" w:rsidR="008922AE" w:rsidRDefault="00000000"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361031DE" w14:textId="77777777" w:rsidR="008922AE" w:rsidRDefault="008922AE">
      <w:pPr>
        <w:spacing w:line="480" w:lineRule="auto"/>
      </w:pPr>
    </w:p>
    <w:p w14:paraId="2655D709" w14:textId="6982D3F3" w:rsidR="008922AE" w:rsidRDefault="00000000">
      <w:pPr>
        <w:spacing w:line="480" w:lineRule="auto"/>
        <w:rPr>
          <w:highlight w:val="white"/>
        </w:rPr>
      </w:pPr>
      <w:r>
        <w:rPr>
          <w:highlight w:val="white"/>
        </w:rPr>
        <w:t xml:space="preserve">In order to visually assess </w:t>
      </w:r>
      <w:r w:rsidR="00DD2CDF">
        <w:rPr>
          <w:highlight w:val="white"/>
        </w:rPr>
        <w:t>distribution of species in the</w:t>
      </w:r>
      <w:r>
        <w:rPr>
          <w:highlight w:val="white"/>
        </w:rPr>
        <w:t xml:space="preserve"> allometric and non-allometric morphospaces, we performed principal component analyses (PCA) on three different shape datasets of mean species </w:t>
      </w:r>
      <w:proofErr w:type="gramStart"/>
      <w:r>
        <w:rPr>
          <w:highlight w:val="white"/>
        </w:rPr>
        <w:t>shapes, and</w:t>
      </w:r>
      <w:proofErr w:type="gramEnd"/>
      <w:r>
        <w:rPr>
          <w:highlight w:val="white"/>
        </w:rPr>
        <w:t xml:space="preserve"> </w:t>
      </w:r>
      <w:proofErr w:type="spellStart"/>
      <w:r>
        <w:rPr>
          <w:highlight w:val="white"/>
        </w:rPr>
        <w:t>visualised</w:t>
      </w:r>
      <w:proofErr w:type="spellEnd"/>
      <w:r>
        <w:rPr>
          <w:highlight w:val="white"/>
        </w:rPr>
        <w:t xml:space="preserve"> each morphospace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 and includes the allometric component of shape. Second, the ‘shape residual dataset’ includes the components of shape that remain once allometric shape is removed and it provides a ‘size-less’ or ‘allometry-free’ comparison of the mean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w:t>
      </w:r>
      <w:r>
        <w:rPr>
          <w:highlight w:val="white"/>
        </w:rPr>
        <w:lastRenderedPageBreak/>
        <w:t xml:space="preserve">(genus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0000">
      <w:pPr>
        <w:pStyle w:val="Heading3"/>
        <w:numPr>
          <w:ilvl w:val="0"/>
          <w:numId w:val="0"/>
        </w:numPr>
        <w:spacing w:line="480" w:lineRule="auto"/>
        <w:rPr>
          <w:highlight w:val="white"/>
        </w:rPr>
      </w:pPr>
      <w:r>
        <w:rPr>
          <w:highlight w:val="white"/>
        </w:rPr>
        <w:t>Assessment of allometric vs. allometry-free shape variation via heat maps</w:t>
      </w:r>
    </w:p>
    <w:p w14:paraId="0ABF6A46" w14:textId="77777777" w:rsidR="008922AE" w:rsidRDefault="008922AE">
      <w:pPr>
        <w:spacing w:line="480" w:lineRule="auto"/>
      </w:pPr>
    </w:p>
    <w:p w14:paraId="6C5CAD49" w14:textId="3638D5B7" w:rsidR="008922AE" w:rsidRDefault="00000000">
      <w:pPr>
        <w:spacing w:line="480" w:lineRule="auto"/>
        <w:rPr>
          <w:b/>
          <w:bCs/>
          <w:highlight w:val="white"/>
        </w:rPr>
      </w:pPr>
      <w:proofErr w:type="gramStart"/>
      <w:r>
        <w:rPr>
          <w:highlight w:val="white"/>
        </w:rPr>
        <w:t>In order to</w:t>
      </w:r>
      <w:proofErr w:type="gramEnd"/>
      <w:r>
        <w:rPr>
          <w:highlight w:val="white"/>
        </w:rPr>
        <w:t xml:space="preserve">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 </w:instrText>
      </w:r>
      <w:r w:rsidR="004550BE">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(Guillerme &amp; Weisbecker, 2019; 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compared three different visualizations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4550BE">
        <w:rPr>
          <w:highlight w:val="white"/>
        </w:rPr>
        <w:instrText xml:space="preserve"> ADDIN EN.CITE &lt;EndNote&gt;&lt;Cite&gt;&lt;Author&gt;Weisbecker&lt;/Author&gt;&lt;Year&gt;2019&lt;/Year&gt;&lt;RecNum&gt;22&lt;/RecNum&gt;&lt;DisplayText&gt;(Weisbecker&lt;style face="italic"&gt; et al.&lt;/style&gt;,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4550BE">
        <w:rPr>
          <w:noProof/>
          <w:highlight w:val="white"/>
        </w:rPr>
        <w:t>(Weisbecker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visualizations of allometric variation, we </w:t>
      </w:r>
      <w:proofErr w:type="spellStart"/>
      <w:r>
        <w:rPr>
          <w:highlight w:val="white"/>
        </w:rPr>
        <w:t>visualised</w:t>
      </w:r>
      <w:proofErr w:type="spellEnd"/>
      <w:r>
        <w:rPr>
          <w:highlight w:val="white"/>
        </w:rPr>
        <w:t xml:space="preserve"> the hypothetical shapes for PC1 minimum and maximum.</w:t>
      </w:r>
    </w:p>
    <w:p w14:paraId="3A70A9A7" w14:textId="77777777" w:rsidR="008922AE" w:rsidRDefault="008922AE">
      <w:pPr>
        <w:spacing w:line="480" w:lineRule="auto"/>
        <w:ind w:firstLine="720"/>
        <w:rPr>
          <w:highlight w:val="white"/>
        </w:rPr>
      </w:pPr>
    </w:p>
    <w:p w14:paraId="0F29474F" w14:textId="77777777" w:rsidR="008922AE" w:rsidRDefault="00000000">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w:t>
      </w:r>
      <w:r>
        <w:rPr>
          <w:highlight w:val="white"/>
        </w:rPr>
        <w:lastRenderedPageBreak/>
        <w:t xml:space="preserve">dataset. We also </w:t>
      </w:r>
      <w:proofErr w:type="spellStart"/>
      <w:r>
        <w:rPr>
          <w:highlight w:val="white"/>
        </w:rPr>
        <w:t>visualised</w:t>
      </w:r>
      <w:proofErr w:type="spellEnd"/>
      <w:r>
        <w:rPr>
          <w:highlight w:val="white"/>
        </w:rPr>
        <w:t xml:space="preserve"> heatmaps for the shape residual PC2 without the four species of </w:t>
      </w:r>
      <w:r>
        <w:rPr>
          <w:i/>
          <w:highlight w:val="white"/>
        </w:rPr>
        <w:t>Notomys</w:t>
      </w:r>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p>
    <w:p w14:paraId="3DA15ACC" w14:textId="77777777" w:rsidR="008922AE" w:rsidRDefault="008922AE">
      <w:pPr>
        <w:spacing w:line="480" w:lineRule="auto"/>
        <w:rPr>
          <w:highlight w:val="white"/>
        </w:rPr>
      </w:pPr>
    </w:p>
    <w:p w14:paraId="72250751" w14:textId="09A80708" w:rsidR="008922AE" w:rsidRDefault="00FC4A4E">
      <w:pPr>
        <w:pStyle w:val="Heading3"/>
        <w:numPr>
          <w:ilvl w:val="6"/>
          <w:numId w:val="2"/>
        </w:numPr>
        <w:spacing w:line="480" w:lineRule="auto"/>
        <w:rPr>
          <w:highlight w:val="white"/>
        </w:rPr>
      </w:pPr>
      <w:r>
        <w:rPr>
          <w:highlight w:val="white"/>
        </w:rPr>
        <w:t xml:space="preserve">Allometry, </w:t>
      </w:r>
      <w:r w:rsidR="00DD2CDF">
        <w:rPr>
          <w:highlight w:val="white"/>
        </w:rPr>
        <w:t xml:space="preserve">disparity, </w:t>
      </w:r>
      <w:proofErr w:type="gramStart"/>
      <w:r>
        <w:rPr>
          <w:highlight w:val="white"/>
        </w:rPr>
        <w:t>modularity</w:t>
      </w:r>
      <w:proofErr w:type="gramEnd"/>
      <w:r>
        <w:rPr>
          <w:highlight w:val="white"/>
        </w:rPr>
        <w:t xml:space="preserve"> and integration </w:t>
      </w:r>
    </w:p>
    <w:p w14:paraId="35561065" w14:textId="1F142427" w:rsidR="00DD2CDF" w:rsidRDefault="00FC4A4E" w:rsidP="00FC4A4E">
      <w:pPr>
        <w:spacing w:line="480" w:lineRule="auto"/>
        <w:ind w:firstLine="720"/>
      </w:pPr>
      <w:r>
        <w:t xml:space="preserve">Because CREA is expected to affect the rostral, cranial vault, and possibly orbit areas, we asked if size explained more variation in these three compared to the molar and basicranial modules. </w:t>
      </w:r>
      <w:r w:rsidR="00DD2CDF">
        <w:t>These analyses can be done after separate GPA/asymmetry removals for each module; however, this risks not capturing allometric size change between modules, which is an important part of our question. We therefore here report the results of allometry analyses of shape versus log-transformed centroid size for each module based on joint GPA and separate GPAs, each with an asymmetry removal step included.</w:t>
      </w:r>
      <w:r w:rsidR="00AF40C5">
        <w:t xml:space="preserve"> </w:t>
      </w:r>
    </w:p>
    <w:p w14:paraId="42FE7DA4" w14:textId="25C5FAC8" w:rsidR="00AF40C5" w:rsidRDefault="00AF40C5" w:rsidP="00FC4A4E">
      <w:pPr>
        <w:spacing w:line="480" w:lineRule="auto"/>
        <w:ind w:firstLine="720"/>
      </w:pPr>
      <w:r>
        <w:t xml:space="preserve">To further </w:t>
      </w:r>
      <w:proofErr w:type="spellStart"/>
      <w:r>
        <w:t>contextualise</w:t>
      </w:r>
      <w:proofErr w:type="spellEnd"/>
      <w:r>
        <w:t xml:space="preserve"> effect sizes of allometry per module, we compared disparity among modules (from a joint GPA) before and after adjustment of size. This was done by computing each module’s disparity and adjusting this value by the number of landmarks. The aim here was to </w:t>
      </w:r>
      <w:r w:rsidR="00B64AF5">
        <w:t>understand how variable individual modules were</w:t>
      </w:r>
      <w:r>
        <w:t xml:space="preserve"> in the raw dataset, and </w:t>
      </w:r>
      <w:r w:rsidR="00B64AF5">
        <w:t>whether these relationships change after adjustment by size.</w:t>
      </w:r>
    </w:p>
    <w:p w14:paraId="7212743B" w14:textId="77777777" w:rsidR="002620D3" w:rsidRDefault="00FC4A4E" w:rsidP="00FC4A4E">
      <w:pPr>
        <w:spacing w:line="480" w:lineRule="auto"/>
        <w:ind w:firstLine="720"/>
        <w:rPr>
          <w:highlight w:val="white"/>
        </w:rPr>
      </w:pPr>
      <w:r>
        <w:rPr>
          <w:highlight w:val="white"/>
        </w:rPr>
        <w:t xml:space="preserve">The impact of allometry on shape variation was further contextualized by assessing integration </w:t>
      </w:r>
      <w:r w:rsidR="00DD2CDF">
        <w:t xml:space="preserve">(degree of co-variation) </w:t>
      </w:r>
      <w:r>
        <w:rPr>
          <w:highlight w:val="white"/>
        </w:rPr>
        <w:t xml:space="preserve">and </w:t>
      </w:r>
      <w:proofErr w:type="gramStart"/>
      <w:r>
        <w:rPr>
          <w:highlight w:val="white"/>
        </w:rPr>
        <w:t xml:space="preserve">modularity </w:t>
      </w:r>
      <w:r w:rsidR="00DD2CDF">
        <w:rPr>
          <w:highlight w:val="white"/>
        </w:rPr>
        <w:t xml:space="preserve"> (</w:t>
      </w:r>
      <w:proofErr w:type="gramEnd"/>
      <w:r w:rsidR="00DD2CDF">
        <w:rPr>
          <w:highlight w:val="white"/>
        </w:rPr>
        <w:t xml:space="preserve">degree of module independence) </w:t>
      </w:r>
      <w:r>
        <w:rPr>
          <w:highlight w:val="white"/>
        </w:rPr>
        <w:t>across the cranium and between modules. Integration</w:t>
      </w:r>
      <w:r w:rsidR="00573D24">
        <w:rPr>
          <w:highlight w:val="white"/>
        </w:rPr>
        <w:t xml:space="preserve"> was measured using partial least squares (PLS) correlation coefficients between multiple modules, taking into account phylogeny </w:t>
      </w:r>
      <w:r w:rsidR="00573D24">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573D24">
        <w:rPr>
          <w:highlight w:val="white"/>
        </w:rPr>
        <w:fldChar w:fldCharType="separate"/>
      </w:r>
      <w:r w:rsidR="00960507" w:rsidRPr="00960507">
        <w:rPr>
          <w:noProof/>
        </w:rPr>
        <w:t>(Adams &amp; Felice, 2014)</w:t>
      </w:r>
      <w:r w:rsidR="00573D24">
        <w:rPr>
          <w:highlight w:val="white"/>
        </w:rPr>
        <w:fldChar w:fldCharType="end"/>
      </w:r>
      <w:r w:rsidR="00DD2CDF">
        <w:rPr>
          <w:highlight w:val="white"/>
        </w:rPr>
        <w:t>; v</w:t>
      </w:r>
      <w:r w:rsidR="00573D24">
        <w:rPr>
          <w:highlight w:val="white"/>
        </w:rPr>
        <w:t xml:space="preserve">alues towards 1 indicate a higher PLS coefficient. </w:t>
      </w:r>
      <w:r w:rsidR="00A81B39">
        <w:rPr>
          <w:highlight w:val="white"/>
        </w:rPr>
        <w:t xml:space="preserve">To quantify modularity, </w:t>
      </w:r>
      <w:r w:rsidR="00581044">
        <w:rPr>
          <w:highlight w:val="white"/>
        </w:rPr>
        <w:t xml:space="preserve">we used </w:t>
      </w:r>
      <w:proofErr w:type="spellStart"/>
      <w:r w:rsidR="00581044">
        <w:rPr>
          <w:highlight w:val="white"/>
        </w:rPr>
        <w:t>geomorph</w:t>
      </w:r>
      <w:proofErr w:type="spellEnd"/>
      <w:r w:rsidR="00581044">
        <w:rPr>
          <w:highlight w:val="white"/>
        </w:rPr>
        <w:t xml:space="preserve">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w:t>
      </w:r>
      <w:r w:rsidR="00A81B39">
        <w:lastRenderedPageBreak/>
        <w:t xml:space="preserve">as covariation within modules. Therefore, highly modular structures, with higher covariation within than between modules, will have small CR values within the unit interval. By contrast, structures with low modularity will have CR values close to 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w:t>
      </w:r>
      <w:proofErr w:type="spellStart"/>
      <w:r w:rsidR="00A81B39">
        <w:rPr>
          <w:highlight w:val="white"/>
        </w:rPr>
        <w:t>ultrametric</w:t>
      </w:r>
      <w:proofErr w:type="spellEnd"/>
      <w:r w:rsidR="00A81B39">
        <w:rPr>
          <w:highlight w:val="white"/>
        </w:rPr>
        <w:t xml:space="preserve"> molecular phylogeny </w:t>
      </w:r>
      <w:r w:rsidR="0079408D">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xml:space="preserve">. </w:t>
      </w:r>
    </w:p>
    <w:p w14:paraId="78AE515A" w14:textId="17E1923F" w:rsidR="00916840" w:rsidRDefault="002620D3" w:rsidP="002620D3">
      <w:pPr>
        <w:spacing w:line="480" w:lineRule="auto"/>
        <w:ind w:firstLine="720"/>
        <w:rPr>
          <w:highlight w:val="white"/>
        </w:rPr>
      </w:pPr>
      <w:r>
        <w:rPr>
          <w:highlight w:val="white"/>
        </w:rPr>
        <w:t>To</w:t>
      </w:r>
      <w:r w:rsidR="00323E39">
        <w:rPr>
          <w:highlight w:val="white"/>
        </w:rPr>
        <w:t xml:space="preserve"> assess if the removal of the integrating influence of allometry results in a significant reduction in cranial integration</w:t>
      </w:r>
      <w:r w:rsidR="00960507">
        <w:rPr>
          <w:highlight w:val="white"/>
        </w:rPr>
        <w:t>, we also conducted c</w:t>
      </w:r>
      <w:r w:rsidR="00C20C4B">
        <w:rPr>
          <w:highlight w:val="white"/>
        </w:rPr>
        <w:t>omparisons of integration strengths</w:t>
      </w:r>
      <w:r w:rsidR="00960507">
        <w:rPr>
          <w:highlight w:val="white"/>
        </w:rPr>
        <w:t xml:space="preserve"> </w:t>
      </w:r>
      <w:r w:rsidR="0037415C">
        <w:rPr>
          <w:highlight w:val="white"/>
        </w:rPr>
        <w:t xml:space="preserve">between modules in the full </w:t>
      </w:r>
      <w:r w:rsidR="0037415C">
        <w:rPr>
          <w:i/>
          <w:iCs/>
          <w:highlight w:val="white"/>
        </w:rPr>
        <w:t xml:space="preserve">vs </w:t>
      </w:r>
      <w:r w:rsidR="0037415C">
        <w:rPr>
          <w:highlight w:val="white"/>
        </w:rPr>
        <w:t xml:space="preserve">the residual dataset as </w:t>
      </w:r>
      <w:r w:rsidR="00960507">
        <w:rPr>
          <w:highlight w:val="white"/>
        </w:rPr>
        <w:t xml:space="preserve">implemented in </w:t>
      </w:r>
      <w:proofErr w:type="spellStart"/>
      <w:r w:rsidR="00960507">
        <w:rPr>
          <w:i/>
          <w:iCs/>
          <w:highlight w:val="white"/>
        </w:rPr>
        <w:t>geomorph</w:t>
      </w:r>
      <w:proofErr w:type="spellEnd"/>
      <w:r w:rsidR="00960507">
        <w:rPr>
          <w:i/>
          <w:iCs/>
          <w:highlight w:val="white"/>
        </w:rPr>
        <w:t xml:space="preserve">;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r w:rsidR="00916840">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sidR="00916840">
        <w:rPr>
          <w:highlight w:val="white"/>
        </w:rPr>
        <w:fldChar w:fldCharType="begin"/>
      </w:r>
      <w:r w:rsidR="00916840">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916840">
        <w:rPr>
          <w:highlight w:val="white"/>
        </w:rPr>
        <w:fldChar w:fldCharType="separate"/>
      </w:r>
      <w:r w:rsidR="00916840">
        <w:rPr>
          <w:noProof/>
          <w:highlight w:val="white"/>
        </w:rPr>
        <w:t>(Adams &amp; Collyer, 2019)</w:t>
      </w:r>
      <w:r w:rsidR="00916840">
        <w:rPr>
          <w:highlight w:val="white"/>
        </w:rPr>
        <w:fldChar w:fldCharType="end"/>
      </w:r>
      <w:r w:rsidR="00916840">
        <w:rPr>
          <w:highlight w:val="white"/>
        </w:rPr>
        <w:t xml:space="preserve">. </w:t>
      </w:r>
    </w:p>
    <w:p w14:paraId="3CD6EB58" w14:textId="7CF2771F" w:rsidR="00BE4905" w:rsidRDefault="00BE4905" w:rsidP="002620D3">
      <w:pPr>
        <w:spacing w:line="480" w:lineRule="auto"/>
        <w:ind w:firstLine="720"/>
        <w:rPr>
          <w:highlight w:val="white"/>
        </w:rPr>
      </w:pPr>
      <w:r>
        <w:rPr>
          <w:highlight w:val="white"/>
        </w:rPr>
        <w:lastRenderedPageBreak/>
        <w:t>The CR-</w:t>
      </w:r>
      <w:proofErr w:type="spellStart"/>
      <w:r>
        <w:rPr>
          <w:highlight w:val="white"/>
        </w:rPr>
        <w:t>coefficent</w:t>
      </w:r>
      <w:proofErr w:type="spellEnd"/>
      <w:r>
        <w:rPr>
          <w:highlight w:val="white"/>
        </w:rPr>
        <w:t>-based</w:t>
      </w:r>
      <w:r w:rsidR="006550EF">
        <w:rPr>
          <w:highlight w:val="white"/>
        </w:rPr>
        <w:t xml:space="preserve"> modularity analyses</w:t>
      </w:r>
      <w:r>
        <w:rPr>
          <w:highlight w:val="white"/>
        </w:rPr>
        <w:t xml:space="preserve"> in </w:t>
      </w:r>
      <w:proofErr w:type="spellStart"/>
      <w:r>
        <w:rPr>
          <w:highlight w:val="white"/>
        </w:rPr>
        <w:t>geomorph</w:t>
      </w:r>
      <w:proofErr w:type="spellEnd"/>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have</w:t>
      </w:r>
      <w:r w:rsidR="006550EF">
        <w:rPr>
          <w:highlight w:val="white"/>
        </w:rPr>
        <w:t xml:space="preserve"> the same hypothesized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4550BE">
        <w:instrText xml:space="preserve"> ADDIN EN.CITE &lt;EndNote&gt;&lt;Cite&gt;&lt;Author&gt;Hetherington&lt;/Author&gt;&lt;Year&gt;2015&lt;/Year&gt;&lt;RecNum&gt;31&lt;/RecNum&gt;&lt;DisplayText&gt;(Hetherington&lt;style face="italic"&gt; et al.&lt;/style&gt;,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4550BE" w:rsidRPr="004550BE">
        <w:rPr>
          <w:noProof/>
        </w:rPr>
        <w:t>(Hetherington</w:t>
      </w:r>
      <w:r w:rsidR="004550BE" w:rsidRPr="004550BE">
        <w:rPr>
          <w:i/>
          <w:noProof/>
        </w:rPr>
        <w:t xml:space="preserve"> et al.</w:t>
      </w:r>
      <w:r w:rsidR="004550BE" w:rsidRPr="004550BE">
        <w:rPr>
          <w:noProof/>
        </w:rPr>
        <w:t>,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49FA3FB8" w14:textId="59D50E05" w:rsidR="000E694B" w:rsidRDefault="006550EF" w:rsidP="007D2A7D">
      <w:pPr>
        <w:spacing w:line="480" w:lineRule="auto"/>
        <w:ind w:firstLine="720"/>
        <w:rPr>
          <w:highlight w:val="white"/>
        </w:rPr>
      </w:pPr>
      <w:r>
        <w:rPr>
          <w:highlight w:val="yellow"/>
        </w:rPr>
        <w:t>Lastly,</w:t>
      </w:r>
      <w:r w:rsidR="00573D24" w:rsidRPr="00573D24">
        <w:rPr>
          <w:highlight w:val="yellow"/>
        </w:rPr>
        <w:t xml:space="preserve"> also</w:t>
      </w:r>
      <w:r w:rsidR="000E694B" w:rsidRPr="00573D24">
        <w:rPr>
          <w:highlight w:val="yellow"/>
        </w:rPr>
        <w:t xml:space="preserve"> tested for global integration </w:t>
      </w:r>
      <w:r w:rsidR="000E694B">
        <w:rPr>
          <w:highlight w:val="white"/>
        </w:rPr>
        <w:t xml:space="preserve">of the crania in both the full shape and shape residual datasets using the </w:t>
      </w:r>
      <w:proofErr w:type="spellStart"/>
      <w:r w:rsidR="000E694B">
        <w:rPr>
          <w:i/>
          <w:highlight w:val="white"/>
        </w:rPr>
        <w:t>geomorph</w:t>
      </w:r>
      <w:proofErr w:type="spellEnd"/>
      <w:r w:rsidR="000E694B">
        <w:rPr>
          <w:highlight w:val="white"/>
        </w:rPr>
        <w:t xml:space="preserve"> function </w:t>
      </w:r>
      <w:proofErr w:type="spellStart"/>
      <w:r w:rsidR="000E694B">
        <w:rPr>
          <w:i/>
          <w:highlight w:val="white"/>
        </w:rPr>
        <w:t>globalIntegration</w:t>
      </w:r>
      <w:proofErr w:type="spellEnd"/>
      <w:r w:rsidR="000E694B">
        <w:rPr>
          <w:highlight w:val="white"/>
        </w:rPr>
        <w:t xml:space="preserve"> based on </w:t>
      </w:r>
      <w:r w:rsidR="000E694B">
        <w:fldChar w:fldCharType="begin"/>
      </w:r>
      <w:r w:rsidR="000E694B">
        <w:instrText xml:space="preserve"> ADDIN EN.CITE &lt;EndNote&gt;&lt;Cite AuthorYear="1"&gt;&lt;Author&gt;Bookstein&lt;/Author&gt;&lt;Year&gt;2015&lt;/Year&gt;&lt;RecNum&gt;13&lt;/RecNum&gt;&lt;DisplayText&gt;Bookstein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Pr>
          <w:noProof/>
          <w:highlight w:val="white"/>
        </w:rPr>
        <w:t>Bookstein (2015)</w:t>
      </w:r>
      <w:r w:rsidR="000E694B">
        <w:rPr>
          <w:highlight w:val="white"/>
        </w:rPr>
        <w:fldChar w:fldCharType="end"/>
      </w:r>
      <w:r w:rsidR="000E694B">
        <w:rPr>
          <w:highlight w:val="white"/>
        </w:rPr>
        <w:t xml:space="preserve">. This test distinguishes between integration and a null hypothesis for self-similarity, which is the absence of any interpretable change at any spatial scale. Self-similarity in a morphological dataset is the spatial equivalent of a temporal random walk based on Brownian motion </w:t>
      </w:r>
      <w:r w:rsidR="000E694B">
        <w:fldChar w:fldCharType="begin"/>
      </w:r>
      <w:r w:rsidR="000E694B">
        <w:instrText xml:space="preserve"> ADDIN EN.CITE &lt;EndNote&gt;&lt;Cite&gt;&lt;Author&gt;Bookstein&lt;/Author&gt;&lt;Year&gt;2015&lt;/Year&gt;&lt;RecNum&gt;13&lt;/RecNum&gt;&lt;DisplayText&gt;(Bookstein, 2015)&lt;/DisplayText&gt;&lt;record&gt;&lt;rec-number&gt;13&lt;/rec-number&gt;&lt;foreign-keys&gt;&lt;key app="EN" db-id="p9vfsf2vj2tvwjevww9pzwfazxfv5txvw5ap" timestamp="1709692331"&gt;13&lt;/key&gt;&lt;/foreign-keys&gt;&lt;ref-type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rsidR="000E694B">
        <w:rPr>
          <w:highlight w:val="white"/>
        </w:rPr>
        <w:fldChar w:fldCharType="separate"/>
      </w:r>
      <w:r w:rsidR="000E694B" w:rsidRPr="00B1097F">
        <w:rPr>
          <w:noProof/>
        </w:rPr>
        <w:t>(Bookstein, 2015)</w:t>
      </w:r>
      <w:r w:rsidR="000E694B">
        <w:rPr>
          <w:highlight w:val="white"/>
        </w:rPr>
        <w:fldChar w:fldCharType="end"/>
      </w:r>
      <w:r w:rsidR="000E694B">
        <w:rPr>
          <w:highlight w:val="white"/>
        </w:rPr>
        <w:t xml:space="preserve">. The degree of integration versus self-similarity is quantified by the regression slope between the </w:t>
      </w:r>
      <w:r w:rsidR="000E694B" w:rsidRPr="00573D24">
        <w:t xml:space="preserve">sample’s (n = 37) bending energy and its partial warp variance </w:t>
      </w:r>
      <w:r w:rsidR="000E694B" w:rsidRPr="00573D24">
        <w:fldChar w:fldCharType="begin">
          <w:fldData xml:space="preserve">PEVuZE5vdGU+PENpdGU+PEF1dGhvcj5Cb29rc3RlaW48L0F1dGhvcj48WWVhcj4yMDE1PC9ZZWFy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</w:fldData>
        </w:fldChar>
      </w:r>
      <w:r w:rsidR="0014692A">
        <w:instrText xml:space="preserve"> ADDIN EN.CITE </w:instrText>
      </w:r>
      <w:r w:rsidR="0014692A">
        <w:fldChar w:fldCharType="begin">
          <w:fldData xml:space="preserve">PEVuZE5vdGU+PENpdGU+PEF1dGhvcj5Cb29rc3RlaW48L0F1dGhvcj48WWVhcj4yMDE1PC9ZZWFy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</w:fldData>
        </w:fldChar>
      </w:r>
      <w:r w:rsidR="0014692A">
        <w:instrText xml:space="preserve"> ADDIN EN.CITE.DATA </w:instrText>
      </w:r>
      <w:r w:rsidR="0014692A">
        <w:fldChar w:fldCharType="end"/>
      </w:r>
      <w:r w:rsidR="000E694B" w:rsidRPr="00573D24">
        <w:fldChar w:fldCharType="separate"/>
      </w:r>
      <w:r w:rsidR="0014692A">
        <w:rPr>
          <w:noProof/>
        </w:rPr>
        <w:t>(Bookstein, 2015; e.g. Evans</w:t>
      </w:r>
      <w:r w:rsidR="0014692A" w:rsidRPr="0014692A">
        <w:rPr>
          <w:i/>
          <w:noProof/>
        </w:rPr>
        <w:t xml:space="preserve"> et al.</w:t>
      </w:r>
      <w:r w:rsidR="0014692A">
        <w:rPr>
          <w:noProof/>
        </w:rPr>
        <w:t>, 2017; Sansalone</w:t>
      </w:r>
      <w:r w:rsidR="0014692A" w:rsidRPr="0014692A">
        <w:rPr>
          <w:i/>
          <w:noProof/>
        </w:rPr>
        <w:t xml:space="preserve"> et al.</w:t>
      </w:r>
      <w:r w:rsidR="0014692A">
        <w:rPr>
          <w:noProof/>
        </w:rPr>
        <w:t>, 2019; Young</w:t>
      </w:r>
      <w:r w:rsidR="0014692A" w:rsidRPr="0014692A">
        <w:rPr>
          <w:i/>
          <w:noProof/>
        </w:rPr>
        <w:t xml:space="preserve"> et al.</w:t>
      </w:r>
      <w:r w:rsidR="0014692A">
        <w:rPr>
          <w:noProof/>
        </w:rPr>
        <w:t>, 2017)</w:t>
      </w:r>
      <w:r w:rsidR="000E694B" w:rsidRPr="00573D24">
        <w:fldChar w:fldCharType="end"/>
      </w:r>
      <w:r w:rsidR="000E694B">
        <w:rPr>
          <w:highlight w:val="white"/>
        </w:rPr>
        <w:t xml:space="preserve">. The null expectation of self-similarity would give a regression slope of -1 so if the slope is steeper – i.e. greater absolute </w:t>
      </w:r>
      <w:r w:rsidR="000E694B">
        <w:rPr>
          <w:highlight w:val="white"/>
        </w:rPr>
        <w:lastRenderedPageBreak/>
        <w:t>value – this indicates global integration due to low independence in each cranial module relative to the other cranial modules.</w:t>
      </w:r>
    </w:p>
    <w:p w14:paraId="5C518CAF" w14:textId="206B487E" w:rsidR="008922AE" w:rsidRDefault="008922AE">
      <w:pPr>
        <w:spacing w:line="480" w:lineRule="auto"/>
        <w:rPr>
          <w:highlight w:val="white"/>
        </w:rPr>
      </w:pPr>
    </w:p>
    <w:p w14:paraId="3E7E7E33" w14:textId="18A4828E" w:rsidR="002620D3" w:rsidRDefault="002620D3">
      <w:pPr>
        <w:rPr>
          <w:highlight w:val="white"/>
        </w:rPr>
      </w:pPr>
      <w:r>
        <w:rPr>
          <w:highlight w:val="white"/>
        </w:rPr>
        <w:br w:type="page"/>
      </w:r>
    </w:p>
    <w:p w14:paraId="3B6D2C3A" w14:textId="4B6299E6" w:rsidR="008922AE" w:rsidRDefault="00000000">
      <w:pPr>
        <w:pStyle w:val="Heading2"/>
        <w:numPr>
          <w:ilvl w:val="1"/>
          <w:numId w:val="2"/>
        </w:numPr>
        <w:spacing w:line="480" w:lineRule="auto"/>
      </w:pPr>
      <w:sdt>
        <w:sdtPr>
          <w:id w:val="937610385"/>
          <w:showingPlcHdr/>
        </w:sdtPr>
        <w:sdtContent>
          <w:bookmarkStart w:id="5" w:name="_heading=h.1t3h5sf1"/>
          <w:bookmarkEnd w:id="5"/>
          <w:r w:rsidR="00BF18AC">
            <w:t xml:space="preserve">     </w:t>
          </w:r>
        </w:sdtContent>
      </w:sdt>
      <w:r>
        <w:t>Results</w:t>
      </w:r>
    </w:p>
    <w:p w14:paraId="7FFDD364" w14:textId="44E7C1F4" w:rsidR="00F560B0" w:rsidRDefault="00CA0428" w:rsidP="00CA0428">
      <w:pPr>
        <w:spacing w:line="480" w:lineRule="auto"/>
        <w:outlineLvl w:val="2"/>
        <w:rPr>
          <w:i/>
          <w:iCs/>
        </w:rPr>
      </w:pPr>
      <w:r>
        <w:rPr>
          <w:i/>
          <w:iCs/>
        </w:rPr>
        <w:t>Evolutionary mode</w:t>
      </w:r>
    </w:p>
    <w:p w14:paraId="27351EA4" w14:textId="490BA963" w:rsidR="00F560B0" w:rsidRDefault="00F560B0" w:rsidP="00F560B0">
      <w:pPr>
        <w:spacing w:line="480" w:lineRule="auto"/>
      </w:pPr>
      <w:r>
        <w:t xml:space="preserve">Generalized Least Squares (GLS) models of shape variation alone and shape allometry were most likely </w:t>
      </w:r>
      <w:r w:rsidR="00AA6F15">
        <w:t>under the assumption of Ornstein-</w:t>
      </w:r>
      <w:proofErr w:type="spellStart"/>
      <w:r w:rsidR="00AA6F15">
        <w:t>Uhlenbeck</w:t>
      </w:r>
      <w:proofErr w:type="spellEnd"/>
      <w:r w:rsidR="00AA6F15">
        <w:t xml:space="preserve"> evolution; in both cases, the (W-score of 1 compared to 0 for the Brownian-Motion (BM) and Early Burst (EB) models</w:t>
      </w:r>
      <w:r w:rsidR="00A65F2F">
        <w:t xml:space="preserve">. By contrast, a Brownian-Motion model was more likely for the evolution of size, although both OU and EB models also have a moderate likelihood. </w:t>
      </w:r>
    </w:p>
    <w:tbl>
      <w:tblPr>
        <w:tblW w:w="6096" w:type="dxa"/>
        <w:jc w:val="center"/>
        <w:tblLook w:val="04A0" w:firstRow="1" w:lastRow="0" w:firstColumn="1" w:lastColumn="0" w:noHBand="0" w:noVBand="1"/>
      </w:tblPr>
      <w:tblGrid>
        <w:gridCol w:w="2225"/>
        <w:gridCol w:w="1319"/>
        <w:gridCol w:w="1276"/>
        <w:gridCol w:w="1276"/>
      </w:tblGrid>
      <w:tr w:rsidR="00A65F2F" w:rsidRPr="00A65F2F" w14:paraId="6B41DB28"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5047C2A2" w14:textId="605786EB" w:rsidR="00A65F2F" w:rsidRPr="00A65F2F" w:rsidRDefault="00EC5854" w:rsidP="00A65F2F">
            <w:pPr>
              <w:suppressAutoHyphens w:val="0"/>
              <w:rPr>
                <w:lang w:val="en-AU" w:eastAsia="en-AU"/>
              </w:rPr>
            </w:pPr>
            <w:r>
              <w:rPr>
                <w:lang w:val="en-AU" w:eastAsia="en-AU"/>
              </w:rPr>
              <w:t>DONE</w:t>
            </w:r>
          </w:p>
        </w:tc>
        <w:tc>
          <w:tcPr>
            <w:tcW w:w="1319" w:type="dxa"/>
            <w:tcBorders>
              <w:top w:val="nil"/>
              <w:left w:val="nil"/>
              <w:bottom w:val="single" w:sz="4" w:space="0" w:color="auto"/>
              <w:right w:val="nil"/>
            </w:tcBorders>
            <w:shd w:val="clear" w:color="auto" w:fill="auto"/>
            <w:noWrap/>
            <w:vAlign w:val="bottom"/>
            <w:hideMark/>
          </w:tcPr>
          <w:p w14:paraId="6C029B83" w14:textId="4BA5379E"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B</w:t>
            </w:r>
            <w:r w:rsidR="00E00B56">
              <w:rPr>
                <w:rFonts w:ascii="Calibri" w:hAnsi="Calibri" w:cs="Calibri"/>
                <w:color w:val="000000"/>
                <w:sz w:val="22"/>
                <w:szCs w:val="22"/>
                <w:lang w:val="en-AU" w:eastAsia="en-AU"/>
              </w:rPr>
              <w:t>rownian Motion</w:t>
            </w:r>
          </w:p>
        </w:tc>
        <w:tc>
          <w:tcPr>
            <w:tcW w:w="1276" w:type="dxa"/>
            <w:tcBorders>
              <w:top w:val="nil"/>
              <w:left w:val="nil"/>
              <w:bottom w:val="single" w:sz="4" w:space="0" w:color="auto"/>
              <w:right w:val="nil"/>
            </w:tcBorders>
            <w:shd w:val="clear" w:color="auto" w:fill="auto"/>
            <w:noWrap/>
            <w:vAlign w:val="bottom"/>
            <w:hideMark/>
          </w:tcPr>
          <w:p w14:paraId="3B14E88D" w14:textId="6A0F0F72"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O</w:t>
            </w:r>
            <w:r w:rsidR="00E00B56">
              <w:rPr>
                <w:rFonts w:ascii="Calibri" w:hAnsi="Calibri" w:cs="Calibri"/>
                <w:color w:val="000000"/>
                <w:sz w:val="22"/>
                <w:szCs w:val="22"/>
                <w:lang w:val="en-AU" w:eastAsia="en-AU"/>
              </w:rPr>
              <w:t>rnstein-</w:t>
            </w:r>
            <w:proofErr w:type="spellStart"/>
            <w:r w:rsidR="00E00B56">
              <w:rPr>
                <w:rFonts w:ascii="Calibri" w:hAnsi="Calibri" w:cs="Calibri"/>
                <w:color w:val="000000"/>
                <w:sz w:val="22"/>
                <w:szCs w:val="22"/>
                <w:lang w:val="en-AU" w:eastAsia="en-AU"/>
              </w:rPr>
              <w:t>Uhlenbeck</w:t>
            </w:r>
            <w:proofErr w:type="spellEnd"/>
          </w:p>
        </w:tc>
        <w:tc>
          <w:tcPr>
            <w:tcW w:w="1276" w:type="dxa"/>
            <w:tcBorders>
              <w:top w:val="nil"/>
              <w:left w:val="nil"/>
              <w:bottom w:val="single" w:sz="4" w:space="0" w:color="auto"/>
              <w:right w:val="nil"/>
            </w:tcBorders>
            <w:shd w:val="clear" w:color="auto" w:fill="auto"/>
            <w:noWrap/>
            <w:vAlign w:val="bottom"/>
            <w:hideMark/>
          </w:tcPr>
          <w:p w14:paraId="2C2A3BB8" w14:textId="7604EF2A"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E</w:t>
            </w:r>
            <w:r w:rsidR="00E00B56">
              <w:rPr>
                <w:rFonts w:ascii="Calibri" w:hAnsi="Calibri" w:cs="Calibri"/>
                <w:color w:val="000000"/>
                <w:sz w:val="22"/>
                <w:szCs w:val="22"/>
                <w:lang w:val="en-AU" w:eastAsia="en-AU"/>
              </w:rPr>
              <w:t>arly Burst</w:t>
            </w:r>
          </w:p>
        </w:tc>
      </w:tr>
      <w:tr w:rsidR="00527971" w:rsidRPr="00A65F2F" w14:paraId="4F21159D" w14:textId="77777777" w:rsidTr="00E00B56">
        <w:trPr>
          <w:trHeight w:val="290"/>
          <w:jc w:val="center"/>
        </w:trPr>
        <w:tc>
          <w:tcPr>
            <w:tcW w:w="2225" w:type="dxa"/>
            <w:tcBorders>
              <w:top w:val="single" w:sz="4" w:space="0" w:color="auto"/>
              <w:left w:val="nil"/>
              <w:bottom w:val="nil"/>
              <w:right w:val="nil"/>
            </w:tcBorders>
            <w:shd w:val="clear" w:color="auto" w:fill="auto"/>
            <w:noWrap/>
            <w:vAlign w:val="bottom"/>
            <w:hideMark/>
          </w:tcPr>
          <w:p w14:paraId="58817B26" w14:textId="6F2F44B5"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GIC</w:t>
            </w:r>
          </w:p>
        </w:tc>
        <w:tc>
          <w:tcPr>
            <w:tcW w:w="1319" w:type="dxa"/>
            <w:tcBorders>
              <w:top w:val="single" w:sz="4" w:space="0" w:color="auto"/>
              <w:left w:val="nil"/>
              <w:bottom w:val="nil"/>
              <w:right w:val="nil"/>
            </w:tcBorders>
            <w:shd w:val="clear" w:color="auto" w:fill="auto"/>
            <w:noWrap/>
            <w:vAlign w:val="bottom"/>
            <w:hideMark/>
          </w:tcPr>
          <w:p w14:paraId="7A5E571D" w14:textId="570619E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-446170</w:t>
            </w:r>
          </w:p>
        </w:tc>
        <w:tc>
          <w:tcPr>
            <w:tcW w:w="1276" w:type="dxa"/>
            <w:tcBorders>
              <w:top w:val="single" w:sz="4" w:space="0" w:color="auto"/>
              <w:left w:val="nil"/>
              <w:bottom w:val="nil"/>
              <w:right w:val="nil"/>
            </w:tcBorders>
            <w:shd w:val="clear" w:color="auto" w:fill="auto"/>
            <w:noWrap/>
            <w:vAlign w:val="bottom"/>
            <w:hideMark/>
          </w:tcPr>
          <w:p w14:paraId="1040EC79" w14:textId="0EE70F2D"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-447701</w:t>
            </w:r>
          </w:p>
        </w:tc>
        <w:tc>
          <w:tcPr>
            <w:tcW w:w="1276" w:type="dxa"/>
            <w:tcBorders>
              <w:top w:val="single" w:sz="4" w:space="0" w:color="auto"/>
              <w:left w:val="nil"/>
              <w:bottom w:val="nil"/>
              <w:right w:val="nil"/>
            </w:tcBorders>
            <w:shd w:val="clear" w:color="auto" w:fill="auto"/>
            <w:noWrap/>
            <w:vAlign w:val="bottom"/>
            <w:hideMark/>
          </w:tcPr>
          <w:p w14:paraId="25BC9807" w14:textId="51C4BEB1"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-446167</w:t>
            </w:r>
          </w:p>
        </w:tc>
      </w:tr>
      <w:tr w:rsidR="00527971" w:rsidRPr="00A65F2F" w14:paraId="633479AD"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43471668" w14:textId="04CFB6BB"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W</w:t>
            </w:r>
          </w:p>
        </w:tc>
        <w:tc>
          <w:tcPr>
            <w:tcW w:w="1319" w:type="dxa"/>
            <w:tcBorders>
              <w:top w:val="nil"/>
              <w:left w:val="nil"/>
              <w:bottom w:val="nil"/>
              <w:right w:val="nil"/>
            </w:tcBorders>
            <w:shd w:val="clear" w:color="auto" w:fill="auto"/>
            <w:noWrap/>
            <w:vAlign w:val="bottom"/>
            <w:hideMark/>
          </w:tcPr>
          <w:p w14:paraId="19335C9D" w14:textId="6E5BCE1E"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6274BBCA" w14:textId="24F2A05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33551C89" w14:textId="4A5EC60C"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5D0E835A"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6F2CCDBE" w14:textId="33AD8E2C" w:rsidR="00527971" w:rsidRPr="00A65F2F" w:rsidRDefault="00527971" w:rsidP="00527971">
            <w:pPr>
              <w:suppressAutoHyphens w:val="0"/>
              <w:rPr>
                <w:rFonts w:ascii="Calibri" w:hAnsi="Calibri" w:cs="Calibri"/>
                <w:color w:val="000000"/>
                <w:sz w:val="22"/>
                <w:szCs w:val="22"/>
                <w:lang w:val="en-AU" w:eastAsia="en-AU"/>
              </w:rPr>
            </w:pPr>
            <w:proofErr w:type="spellStart"/>
            <w:r>
              <w:rPr>
                <w:rFonts w:ascii="Calibri" w:hAnsi="Calibri" w:cs="Calibri"/>
                <w:color w:val="000000"/>
                <w:sz w:val="22"/>
                <w:szCs w:val="22"/>
              </w:rPr>
              <w:t>Shape~</w:t>
            </w:r>
            <w:proofErr w:type="gramStart"/>
            <w:r>
              <w:rPr>
                <w:rFonts w:ascii="Calibri" w:hAnsi="Calibri" w:cs="Calibri"/>
                <w:color w:val="000000"/>
                <w:sz w:val="22"/>
                <w:szCs w:val="22"/>
              </w:rPr>
              <w:t>log</w:t>
            </w:r>
            <w:proofErr w:type="spellEnd"/>
            <w:r>
              <w:rPr>
                <w:rFonts w:ascii="Calibri" w:hAnsi="Calibri" w:cs="Calibri"/>
                <w:color w:val="000000"/>
                <w:sz w:val="22"/>
                <w:szCs w:val="22"/>
              </w:rPr>
              <w:t>(</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GIC</w:t>
            </w:r>
          </w:p>
        </w:tc>
        <w:tc>
          <w:tcPr>
            <w:tcW w:w="1319" w:type="dxa"/>
            <w:tcBorders>
              <w:top w:val="nil"/>
              <w:left w:val="nil"/>
              <w:bottom w:val="nil"/>
              <w:right w:val="nil"/>
            </w:tcBorders>
            <w:shd w:val="clear" w:color="auto" w:fill="auto"/>
            <w:noWrap/>
            <w:vAlign w:val="bottom"/>
            <w:hideMark/>
          </w:tcPr>
          <w:p w14:paraId="24DDE172" w14:textId="7B1A1B7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-433056</w:t>
            </w:r>
          </w:p>
        </w:tc>
        <w:tc>
          <w:tcPr>
            <w:tcW w:w="1276" w:type="dxa"/>
            <w:tcBorders>
              <w:top w:val="nil"/>
              <w:left w:val="nil"/>
              <w:bottom w:val="nil"/>
              <w:right w:val="nil"/>
            </w:tcBorders>
            <w:shd w:val="clear" w:color="auto" w:fill="auto"/>
            <w:noWrap/>
            <w:vAlign w:val="bottom"/>
            <w:hideMark/>
          </w:tcPr>
          <w:p w14:paraId="6F1E89C9" w14:textId="04EAEA86"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-434260</w:t>
            </w:r>
          </w:p>
        </w:tc>
        <w:tc>
          <w:tcPr>
            <w:tcW w:w="1276" w:type="dxa"/>
            <w:tcBorders>
              <w:top w:val="nil"/>
              <w:left w:val="nil"/>
              <w:bottom w:val="nil"/>
              <w:right w:val="nil"/>
            </w:tcBorders>
            <w:shd w:val="clear" w:color="auto" w:fill="auto"/>
            <w:noWrap/>
            <w:vAlign w:val="bottom"/>
            <w:hideMark/>
          </w:tcPr>
          <w:p w14:paraId="0198C6C7" w14:textId="3349E470"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-433054</w:t>
            </w:r>
          </w:p>
        </w:tc>
      </w:tr>
      <w:tr w:rsidR="00527971" w:rsidRPr="00A65F2F" w14:paraId="215A19F3"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10D20358" w14:textId="4A0F41CB" w:rsidR="00527971" w:rsidRPr="00A65F2F" w:rsidRDefault="00527971" w:rsidP="00527971">
            <w:pPr>
              <w:suppressAutoHyphens w:val="0"/>
              <w:rPr>
                <w:rFonts w:ascii="Calibri" w:hAnsi="Calibri" w:cs="Calibri"/>
                <w:color w:val="000000"/>
                <w:sz w:val="22"/>
                <w:szCs w:val="22"/>
                <w:lang w:val="en-AU" w:eastAsia="en-AU"/>
              </w:rPr>
            </w:pPr>
            <w:proofErr w:type="spellStart"/>
            <w:r>
              <w:rPr>
                <w:rFonts w:ascii="Calibri" w:hAnsi="Calibri" w:cs="Calibri"/>
                <w:color w:val="000000"/>
                <w:sz w:val="22"/>
                <w:szCs w:val="22"/>
              </w:rPr>
              <w:t>Shape~</w:t>
            </w:r>
            <w:proofErr w:type="gramStart"/>
            <w:r>
              <w:rPr>
                <w:rFonts w:ascii="Calibri" w:hAnsi="Calibri" w:cs="Calibri"/>
                <w:color w:val="000000"/>
                <w:sz w:val="22"/>
                <w:szCs w:val="22"/>
              </w:rPr>
              <w:t>log</w:t>
            </w:r>
            <w:proofErr w:type="spellEnd"/>
            <w:r>
              <w:rPr>
                <w:rFonts w:ascii="Calibri" w:hAnsi="Calibri" w:cs="Calibri"/>
                <w:color w:val="000000"/>
                <w:sz w:val="22"/>
                <w:szCs w:val="22"/>
              </w:rPr>
              <w:t>(</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W</w:t>
            </w:r>
          </w:p>
        </w:tc>
        <w:tc>
          <w:tcPr>
            <w:tcW w:w="1319" w:type="dxa"/>
            <w:tcBorders>
              <w:top w:val="nil"/>
              <w:left w:val="nil"/>
              <w:bottom w:val="nil"/>
              <w:right w:val="nil"/>
            </w:tcBorders>
            <w:shd w:val="clear" w:color="auto" w:fill="auto"/>
            <w:noWrap/>
            <w:vAlign w:val="bottom"/>
            <w:hideMark/>
          </w:tcPr>
          <w:p w14:paraId="63D6F845" w14:textId="4BA0A23A"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48FF5CD6" w14:textId="7CEFDC8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07995B8E" w14:textId="341B0B1F"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8AA6DFC" w14:textId="77777777" w:rsidTr="00E00B56">
        <w:trPr>
          <w:trHeight w:val="290"/>
          <w:jc w:val="center"/>
        </w:trPr>
        <w:tc>
          <w:tcPr>
            <w:tcW w:w="2225" w:type="dxa"/>
            <w:tcBorders>
              <w:top w:val="nil"/>
              <w:left w:val="nil"/>
              <w:right w:val="nil"/>
            </w:tcBorders>
            <w:shd w:val="clear" w:color="auto" w:fill="auto"/>
            <w:noWrap/>
            <w:vAlign w:val="bottom"/>
            <w:hideMark/>
          </w:tcPr>
          <w:p w14:paraId="18A23E12" w14:textId="1CAF337E"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residuals GIC</w:t>
            </w:r>
          </w:p>
        </w:tc>
        <w:tc>
          <w:tcPr>
            <w:tcW w:w="1319" w:type="dxa"/>
            <w:tcBorders>
              <w:top w:val="nil"/>
              <w:left w:val="nil"/>
              <w:right w:val="nil"/>
            </w:tcBorders>
            <w:shd w:val="clear" w:color="auto" w:fill="auto"/>
            <w:noWrap/>
            <w:vAlign w:val="bottom"/>
            <w:hideMark/>
          </w:tcPr>
          <w:p w14:paraId="2333F442" w14:textId="142DCF08"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-475814</w:t>
            </w:r>
          </w:p>
        </w:tc>
        <w:tc>
          <w:tcPr>
            <w:tcW w:w="1276" w:type="dxa"/>
            <w:tcBorders>
              <w:top w:val="nil"/>
              <w:left w:val="nil"/>
              <w:right w:val="nil"/>
            </w:tcBorders>
            <w:shd w:val="clear" w:color="auto" w:fill="auto"/>
            <w:noWrap/>
            <w:vAlign w:val="bottom"/>
            <w:hideMark/>
          </w:tcPr>
          <w:p w14:paraId="1B2E58E7" w14:textId="1D0A9443"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-476364</w:t>
            </w:r>
          </w:p>
        </w:tc>
        <w:tc>
          <w:tcPr>
            <w:tcW w:w="1276" w:type="dxa"/>
            <w:tcBorders>
              <w:top w:val="nil"/>
              <w:left w:val="nil"/>
              <w:right w:val="nil"/>
            </w:tcBorders>
            <w:shd w:val="clear" w:color="auto" w:fill="auto"/>
            <w:noWrap/>
            <w:vAlign w:val="bottom"/>
            <w:hideMark/>
          </w:tcPr>
          <w:p w14:paraId="5C154FFC" w14:textId="5F4AAFD7"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-475812</w:t>
            </w:r>
          </w:p>
        </w:tc>
      </w:tr>
      <w:tr w:rsidR="00527971" w:rsidRPr="00A65F2F" w14:paraId="622450D9" w14:textId="77777777" w:rsidTr="00527971">
        <w:trPr>
          <w:trHeight w:val="290"/>
          <w:jc w:val="center"/>
        </w:trPr>
        <w:tc>
          <w:tcPr>
            <w:tcW w:w="2225" w:type="dxa"/>
            <w:tcBorders>
              <w:top w:val="nil"/>
              <w:left w:val="nil"/>
              <w:right w:val="nil"/>
            </w:tcBorders>
            <w:shd w:val="clear" w:color="auto" w:fill="auto"/>
            <w:noWrap/>
            <w:vAlign w:val="bottom"/>
            <w:hideMark/>
          </w:tcPr>
          <w:p w14:paraId="7D4A248D" w14:textId="33BE292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 W</w:t>
            </w:r>
          </w:p>
        </w:tc>
        <w:tc>
          <w:tcPr>
            <w:tcW w:w="1319" w:type="dxa"/>
            <w:tcBorders>
              <w:top w:val="nil"/>
              <w:left w:val="nil"/>
              <w:right w:val="nil"/>
            </w:tcBorders>
            <w:shd w:val="clear" w:color="auto" w:fill="auto"/>
            <w:noWrap/>
            <w:vAlign w:val="bottom"/>
            <w:hideMark/>
          </w:tcPr>
          <w:p w14:paraId="2069246B" w14:textId="2ABE273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right w:val="nil"/>
            </w:tcBorders>
            <w:shd w:val="clear" w:color="auto" w:fill="auto"/>
            <w:noWrap/>
            <w:vAlign w:val="bottom"/>
            <w:hideMark/>
          </w:tcPr>
          <w:p w14:paraId="7CA6E5A0" w14:textId="277DFA90"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right w:val="nil"/>
            </w:tcBorders>
            <w:shd w:val="clear" w:color="auto" w:fill="auto"/>
            <w:noWrap/>
            <w:vAlign w:val="bottom"/>
            <w:hideMark/>
          </w:tcPr>
          <w:p w14:paraId="29C41347" w14:textId="192AEEF6"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ADAC2B8" w14:textId="77777777" w:rsidTr="00527971">
        <w:trPr>
          <w:trHeight w:val="290"/>
          <w:jc w:val="center"/>
        </w:trPr>
        <w:tc>
          <w:tcPr>
            <w:tcW w:w="2225" w:type="dxa"/>
            <w:tcBorders>
              <w:top w:val="nil"/>
              <w:left w:val="nil"/>
              <w:right w:val="nil"/>
            </w:tcBorders>
            <w:shd w:val="clear" w:color="auto" w:fill="auto"/>
            <w:noWrap/>
            <w:vAlign w:val="bottom"/>
          </w:tcPr>
          <w:p w14:paraId="7DF93EE9" w14:textId="1F1DFFE0" w:rsidR="00527971" w:rsidRPr="00A65F2F" w:rsidRDefault="00527971" w:rsidP="00527971">
            <w:pPr>
              <w:suppressAutoHyphens w:val="0"/>
              <w:rPr>
                <w:rFonts w:ascii="Calibri" w:hAnsi="Calibri" w:cs="Calibri"/>
                <w:color w:val="000000"/>
                <w:sz w:val="22"/>
                <w:szCs w:val="22"/>
                <w:lang w:val="en-AU" w:eastAsia="en-AU"/>
              </w:rPr>
            </w:pPr>
            <w:proofErr w:type="gramStart"/>
            <w:r>
              <w:rPr>
                <w:rFonts w:ascii="Calibri" w:hAnsi="Calibri" w:cs="Calibri"/>
                <w:color w:val="000000"/>
                <w:sz w:val="22"/>
                <w:szCs w:val="22"/>
              </w:rPr>
              <w:t>log(</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AIC</w:t>
            </w:r>
          </w:p>
        </w:tc>
        <w:tc>
          <w:tcPr>
            <w:tcW w:w="1319" w:type="dxa"/>
            <w:tcBorders>
              <w:top w:val="nil"/>
              <w:left w:val="nil"/>
              <w:right w:val="nil"/>
            </w:tcBorders>
            <w:shd w:val="clear" w:color="auto" w:fill="auto"/>
            <w:noWrap/>
            <w:vAlign w:val="bottom"/>
          </w:tcPr>
          <w:p w14:paraId="5DEF7378" w14:textId="5CEE0A2B"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-4.802</w:t>
            </w:r>
          </w:p>
        </w:tc>
        <w:tc>
          <w:tcPr>
            <w:tcW w:w="1276" w:type="dxa"/>
            <w:tcBorders>
              <w:top w:val="nil"/>
              <w:left w:val="nil"/>
              <w:right w:val="nil"/>
            </w:tcBorders>
            <w:shd w:val="clear" w:color="auto" w:fill="auto"/>
            <w:noWrap/>
            <w:vAlign w:val="bottom"/>
          </w:tcPr>
          <w:p w14:paraId="462DA221" w14:textId="3308ECA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-2.875</w:t>
            </w:r>
          </w:p>
        </w:tc>
        <w:tc>
          <w:tcPr>
            <w:tcW w:w="1276" w:type="dxa"/>
            <w:tcBorders>
              <w:top w:val="nil"/>
              <w:left w:val="nil"/>
              <w:right w:val="nil"/>
            </w:tcBorders>
            <w:shd w:val="clear" w:color="auto" w:fill="auto"/>
            <w:noWrap/>
            <w:vAlign w:val="bottom"/>
          </w:tcPr>
          <w:p w14:paraId="5FB1962A" w14:textId="786AFAF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-2.802</w:t>
            </w:r>
          </w:p>
        </w:tc>
      </w:tr>
      <w:tr w:rsidR="00527971" w:rsidRPr="00A65F2F" w14:paraId="3BF102AC" w14:textId="77777777" w:rsidTr="00527971">
        <w:trPr>
          <w:trHeight w:val="290"/>
          <w:jc w:val="center"/>
        </w:trPr>
        <w:tc>
          <w:tcPr>
            <w:tcW w:w="2225" w:type="dxa"/>
            <w:tcBorders>
              <w:left w:val="nil"/>
              <w:bottom w:val="single" w:sz="4" w:space="0" w:color="auto"/>
              <w:right w:val="nil"/>
            </w:tcBorders>
            <w:shd w:val="clear" w:color="auto" w:fill="auto"/>
            <w:noWrap/>
            <w:vAlign w:val="bottom"/>
          </w:tcPr>
          <w:p w14:paraId="54DA5BF6" w14:textId="3B2A8FBA" w:rsidR="00527971" w:rsidRPr="00A65F2F" w:rsidRDefault="00527971" w:rsidP="00527971">
            <w:pPr>
              <w:suppressAutoHyphens w:val="0"/>
              <w:rPr>
                <w:rFonts w:ascii="Calibri" w:hAnsi="Calibri" w:cs="Calibri"/>
                <w:color w:val="000000"/>
                <w:sz w:val="22"/>
                <w:szCs w:val="22"/>
                <w:lang w:val="en-AU" w:eastAsia="en-AU"/>
              </w:rPr>
            </w:pPr>
            <w:proofErr w:type="gramStart"/>
            <w:r>
              <w:rPr>
                <w:rFonts w:ascii="Calibri" w:hAnsi="Calibri" w:cs="Calibri"/>
                <w:color w:val="000000"/>
                <w:sz w:val="22"/>
                <w:szCs w:val="22"/>
              </w:rPr>
              <w:t>log(</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W</w:t>
            </w:r>
          </w:p>
        </w:tc>
        <w:tc>
          <w:tcPr>
            <w:tcW w:w="1319" w:type="dxa"/>
            <w:tcBorders>
              <w:left w:val="nil"/>
              <w:bottom w:val="single" w:sz="4" w:space="0" w:color="auto"/>
              <w:right w:val="nil"/>
            </w:tcBorders>
            <w:shd w:val="clear" w:color="auto" w:fill="auto"/>
            <w:noWrap/>
            <w:vAlign w:val="bottom"/>
          </w:tcPr>
          <w:p w14:paraId="5806D20B" w14:textId="6AD89CD2"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0.572</w:t>
            </w:r>
          </w:p>
        </w:tc>
        <w:tc>
          <w:tcPr>
            <w:tcW w:w="1276" w:type="dxa"/>
            <w:tcBorders>
              <w:left w:val="nil"/>
              <w:bottom w:val="single" w:sz="4" w:space="0" w:color="auto"/>
              <w:right w:val="nil"/>
            </w:tcBorders>
            <w:shd w:val="clear" w:color="auto" w:fill="auto"/>
            <w:noWrap/>
            <w:vAlign w:val="bottom"/>
          </w:tcPr>
          <w:p w14:paraId="18B4DC7F" w14:textId="130524B8"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0.218</w:t>
            </w:r>
          </w:p>
        </w:tc>
        <w:tc>
          <w:tcPr>
            <w:tcW w:w="1276" w:type="dxa"/>
            <w:tcBorders>
              <w:left w:val="nil"/>
              <w:bottom w:val="single" w:sz="4" w:space="0" w:color="auto"/>
              <w:right w:val="nil"/>
            </w:tcBorders>
            <w:shd w:val="clear" w:color="auto" w:fill="auto"/>
            <w:noWrap/>
            <w:vAlign w:val="bottom"/>
          </w:tcPr>
          <w:p w14:paraId="6D7BA836" w14:textId="475E673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0.21</w:t>
            </w:r>
          </w:p>
        </w:tc>
      </w:tr>
    </w:tbl>
    <w:p w14:paraId="39BFDB53" w14:textId="77777777" w:rsidR="00F560B0" w:rsidRDefault="00F560B0" w:rsidP="00F560B0">
      <w:pPr>
        <w:spacing w:line="480" w:lineRule="auto"/>
      </w:pPr>
    </w:p>
    <w:p w14:paraId="79EAE768" w14:textId="7E3F08A6" w:rsidR="00F560B0" w:rsidRDefault="00E00B56" w:rsidP="00F17323">
      <w:r>
        <w:rPr>
          <w:b/>
          <w:bCs/>
        </w:rPr>
        <w:t xml:space="preserve">Table </w:t>
      </w:r>
      <w:r w:rsidR="00127236">
        <w:rPr>
          <w:b/>
          <w:bCs/>
        </w:rPr>
        <w:t>1</w:t>
      </w:r>
      <w:r>
        <w:rPr>
          <w:b/>
          <w:bCs/>
        </w:rPr>
        <w:t xml:space="preserve">: </w:t>
      </w:r>
      <w:proofErr w:type="spellStart"/>
      <w:r>
        <w:t>Generalised</w:t>
      </w:r>
      <w:proofErr w:type="spellEnd"/>
      <w:r>
        <w:t xml:space="preserve"> or Akaike Information criterion scores (GIC/AIC) and W-scores of relative probabilities </w:t>
      </w:r>
      <w:r w:rsidR="00BF36EE">
        <w:t xml:space="preserve">of different modes of evolution </w:t>
      </w:r>
      <w:r>
        <w:t xml:space="preserve">for models of shape, log- transformed centroid size, and shape evolution with </w:t>
      </w:r>
      <w:proofErr w:type="gramStart"/>
      <w:r>
        <w:t>log(</w:t>
      </w:r>
      <w:proofErr w:type="gramEnd"/>
      <w:r>
        <w:t xml:space="preserve">centroid size) as predictor variable. </w:t>
      </w:r>
    </w:p>
    <w:p w14:paraId="28DA6030" w14:textId="77777777" w:rsidR="00F17323" w:rsidRDefault="00F17323" w:rsidP="00F560B0">
      <w:pPr>
        <w:spacing w:line="480" w:lineRule="auto"/>
      </w:pPr>
    </w:p>
    <w:p w14:paraId="70D44E49" w14:textId="76F7E0FB" w:rsidR="00F17323" w:rsidRDefault="00F17323" w:rsidP="00F560B0">
      <w:pPr>
        <w:spacing w:line="480" w:lineRule="auto"/>
      </w:pPr>
      <w:r>
        <w:t xml:space="preserve">As OU-structured evolutionary modes </w:t>
      </w:r>
      <w:r w:rsidR="00263DD3">
        <w:t>are</w:t>
      </w:r>
      <w:r>
        <w:t xml:space="preserve"> not implement</w:t>
      </w:r>
      <w:r w:rsidR="00263DD3">
        <w:t>ed</w:t>
      </w:r>
      <w:r>
        <w:t xml:space="preserve"> in our analyses of modularity and integration, which are based on BM, we further asked how well the residuals of the OU </w:t>
      </w:r>
      <w:r>
        <w:rPr>
          <w:i/>
          <w:iCs/>
        </w:rPr>
        <w:t xml:space="preserve">versus </w:t>
      </w:r>
      <w:r>
        <w:t xml:space="preserve">BM models of shape and allometry evolution corresponded by comparing residual coordinates of shape from both models using Two-Block Partial Least Squares. In both cases, the </w:t>
      </w:r>
      <w:r w:rsidR="00994273">
        <w:t>r-PLS value was 1, suggesting t</w:t>
      </w:r>
      <w:r w:rsidR="00F02BB5">
        <w:t>hat no substantial difference to BM-based analyses is to be expected</w:t>
      </w:r>
      <w:r w:rsidR="00CB29B4">
        <w:t xml:space="preserve">. We thus also proceeded with allometric residuals of BM-based allometric models. </w:t>
      </w:r>
    </w:p>
    <w:p w14:paraId="23F9457C" w14:textId="77777777" w:rsidR="00CB29B4" w:rsidRDefault="00CB29B4" w:rsidP="00F560B0">
      <w:pPr>
        <w:spacing w:line="480" w:lineRule="auto"/>
      </w:pPr>
    </w:p>
    <w:p w14:paraId="02D5B299" w14:textId="77777777" w:rsidR="000E7AF4" w:rsidRPr="00E00B56" w:rsidRDefault="000E7AF4" w:rsidP="00F560B0">
      <w:pPr>
        <w:spacing w:line="480" w:lineRule="auto"/>
      </w:pPr>
    </w:p>
    <w:p w14:paraId="316E78B1" w14:textId="77777777" w:rsidR="00CA0428" w:rsidRDefault="00CA0428" w:rsidP="00CA0428">
      <w:pPr>
        <w:pStyle w:val="Heading3"/>
        <w:numPr>
          <w:ilvl w:val="0"/>
          <w:numId w:val="0"/>
        </w:numPr>
        <w:spacing w:line="480" w:lineRule="auto"/>
        <w:rPr>
          <w:highlight w:val="white"/>
        </w:rPr>
      </w:pPr>
      <w:proofErr w:type="spellStart"/>
      <w:r>
        <w:rPr>
          <w:highlight w:val="white"/>
        </w:rPr>
        <w:lastRenderedPageBreak/>
        <w:t>Visualising</w:t>
      </w:r>
      <w:proofErr w:type="spellEnd"/>
      <w:r>
        <w:rPr>
          <w:highlight w:val="white"/>
        </w:rPr>
        <w:t xml:space="preserve"> shape evolution through </w:t>
      </w:r>
      <w:proofErr w:type="spellStart"/>
      <w:r>
        <w:rPr>
          <w:highlight w:val="white"/>
        </w:rPr>
        <w:t>phylo</w:t>
      </w:r>
      <w:proofErr w:type="spellEnd"/>
      <w:r>
        <w:rPr>
          <w:highlight w:val="white"/>
        </w:rPr>
        <w:t>-morphological distance plots</w:t>
      </w:r>
    </w:p>
    <w:p w14:paraId="482A5ECC" w14:textId="18FD10D8" w:rsidR="000E7AF4" w:rsidRDefault="000E7AF4" w:rsidP="000E7AF4">
      <w:pPr>
        <w:spacing w:line="480" w:lineRule="auto"/>
      </w:pPr>
      <w:r>
        <w:t xml:space="preserve">Our </w:t>
      </w:r>
      <w:proofErr w:type="spellStart"/>
      <w:r>
        <w:t>phylo</w:t>
      </w:r>
      <w:proofErr w:type="spellEnd"/>
      <w:r>
        <w:t xml:space="preserve">-morphological distance plots (Fig. </w:t>
      </w:r>
      <w:r w:rsidR="00D0603F">
        <w:t>1</w:t>
      </w:r>
      <w:r>
        <w:t xml:space="preserve">) asked whether the relationship between phylogenetic distance and morphological distances (i.e. Procrustes distances between the mean shapes of a species pair) increases with increasing phylogenetic distance because, as integration patterns change over time, shape covariation patterns diverge </w:t>
      </w:r>
      <w:r>
        <w:fldChar w:fldCharType="begin"/>
      </w:r>
      <w:r>
        <w:instrText xml:space="preserve"> ADDIN EN.CITE &lt;EndNote&gt;&lt;Cite&gt;&lt;Author&gt;Voje&lt;/Author&gt;&lt;Year&gt;2014&lt;/Year&gt;&lt;RecNum&gt;37&lt;/RecNum&gt;&lt;DisplayText&gt;(Voje&lt;style face="italic"&gt; et al.&lt;/style&gt;,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Pr>
          <w:noProof/>
        </w:rPr>
        <w:t>(Voje</w:t>
      </w:r>
      <w:r w:rsidRPr="004550BE">
        <w:rPr>
          <w:i/>
          <w:noProof/>
        </w:rPr>
        <w:t xml:space="preserve"> et al.</w:t>
      </w:r>
      <w:r>
        <w:rPr>
          <w:noProof/>
        </w:rPr>
        <w:t>, 2014)</w:t>
      </w:r>
      <w:r>
        <w:fldChar w:fldCharType="end"/>
      </w:r>
      <w:r>
        <w:t xml:space="preserve">. As expected, </w:t>
      </w:r>
      <w:proofErr w:type="gramStart"/>
      <w:r>
        <w:t>all of</w:t>
      </w:r>
      <w:proofErr w:type="gramEnd"/>
      <w:r>
        <w:t xml:space="preserve"> the points closest to the origin (i.e. low phylogenetic </w:t>
      </w:r>
      <w:r>
        <w:rPr>
          <w:i/>
        </w:rPr>
        <w:t xml:space="preserve">and </w:t>
      </w:r>
      <w:r>
        <w:t xml:space="preserve">low morphological distances) are within-genus pairs. In the full shape dataset, maxima in morphological distances tend to increase with phylogenetic distance until reaching an apparent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w:t>
      </w:r>
      <w:r w:rsidR="00D0603F">
        <w:t>1a</w:t>
      </w:r>
      <w:r>
        <w:t xml:space="preserve">). If these are ignored, then the dataset’s maximum morphological distance appears earlier, around 2 Ma. Furthermore, all pairs involving </w:t>
      </w:r>
      <w:r>
        <w:rPr>
          <w:i/>
        </w:rPr>
        <w:t>Rattus</w:t>
      </w:r>
      <w:r>
        <w:t>, the most recent radiation of native rodents,</w:t>
      </w:r>
      <w:r>
        <w:rPr>
          <w:i/>
        </w:rPr>
        <w:t xml:space="preserve"> </w:t>
      </w:r>
      <w:r>
        <w:t xml:space="preserve">fall below the maximum morphological distance reached around 2 Ma by pairwise comparisons of older endemics (Fig. </w:t>
      </w:r>
      <w:r w:rsidR="00D0603F">
        <w:t>1</w:t>
      </w:r>
      <w:r>
        <w:t xml:space="preserve">a); in other words,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the methods, these results are subject to </w:t>
      </w:r>
      <w:proofErr w:type="spellStart"/>
      <w:r>
        <w:t>pseudoreplication</w:t>
      </w:r>
      <w:proofErr w:type="spellEnd"/>
      <w:r>
        <w:t xml:space="preserve"> because they include all possible pairwise combinations, such that each of the 37 species accounts for 36 data points. This can be seen in the vertical clustering, which represent pairwise comparisons between one species and other species with the same divergence time.</w:t>
      </w:r>
    </w:p>
    <w:p w14:paraId="01238AB1" w14:textId="2864A2F0" w:rsidR="000E7AF4" w:rsidRDefault="000E7AF4" w:rsidP="00D0603F">
      <w:pPr>
        <w:spacing w:line="480" w:lineRule="auto"/>
        <w:ind w:firstLine="720"/>
      </w:pPr>
      <w:r>
        <w:t xml:space="preserve">The ‘allometry-free’ shape residual pairwise comparisons were </w:t>
      </w:r>
      <w:proofErr w:type="gramStart"/>
      <w:r>
        <w:t>similar to</w:t>
      </w:r>
      <w:proofErr w:type="gramEnd"/>
      <w:r>
        <w:t xml:space="preserve"> the full shape dataset, with overall lower morphological distances as expected from removing allometric shape variation. The removal of allometric differences between species also has a marked effect on the </w:t>
      </w:r>
      <w:r>
        <w:lastRenderedPageBreak/>
        <w:t xml:space="preserve">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divergence between the two semiaquatic, carnivorous species at 5.7 Ma (Fig. </w:t>
      </w:r>
      <w:r w:rsidR="00D0603F">
        <w:t>1</w:t>
      </w:r>
      <w:r>
        <w:t xml:space="preserve">b). If the semiaquatic species are ignored, the remaining dataset’s maximum distances appear around 3.1 Ma, or pairwise comparisons between hopping </w:t>
      </w:r>
      <w:r>
        <w:rPr>
          <w:i/>
        </w:rPr>
        <w:t>Notomys</w:t>
      </w:r>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4B8C5615" w14:textId="77777777" w:rsidR="000E7AF4" w:rsidRDefault="000E7AF4" w:rsidP="000E7AF4">
      <w:pPr>
        <w:spacing w:line="480" w:lineRule="auto"/>
        <w:ind w:firstLine="720"/>
      </w:pPr>
    </w:p>
    <w:p w14:paraId="61CF3CCB" w14:textId="77777777" w:rsidR="000E7AF4" w:rsidRDefault="000E7AF4" w:rsidP="000E7AF4">
      <w:pPr>
        <w:spacing w:line="480" w:lineRule="auto"/>
      </w:pPr>
      <w:r>
        <w:rPr>
          <w:noProof/>
        </w:rPr>
        <w:drawing>
          <wp:inline distT="0" distB="0" distL="0" distR="0" wp14:anchorId="77B37B49" wp14:editId="0C5C9169">
            <wp:extent cx="5165307" cy="4790050"/>
            <wp:effectExtent l="0" t="0" r="0" b="0"/>
            <wp:docPr id="4" name="image5.png" descr="A graph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A graph of different shapes&#10;&#10;Description automatically generated"/>
                    <pic:cNvPicPr>
                      <a:picLocks noChangeAspect="1" noChangeArrowheads="1"/>
                    </pic:cNvPicPr>
                  </pic:nvPicPr>
                  <pic:blipFill>
                    <a:blip r:embed="rId10"/>
                    <a:stretch>
                      <a:fillRect/>
                    </a:stretch>
                  </pic:blipFill>
                  <pic:spPr bwMode="auto">
                    <a:xfrm>
                      <a:off x="0" y="0"/>
                      <a:ext cx="5168456" cy="4792970"/>
                    </a:xfrm>
                    <a:prstGeom prst="rect">
                      <a:avLst/>
                    </a:prstGeom>
                  </pic:spPr>
                </pic:pic>
              </a:graphicData>
            </a:graphic>
          </wp:inline>
        </w:drawing>
      </w:r>
    </w:p>
    <w:p w14:paraId="665C22E4" w14:textId="447CF680" w:rsidR="000E7AF4" w:rsidRDefault="000E7AF4" w:rsidP="000E7AF4">
      <w:pPr>
        <w:spacing w:after="200"/>
      </w:pPr>
      <w:bookmarkStart w:id="6" w:name="_heading=h.2jxsxqh"/>
      <w:bookmarkEnd w:id="6"/>
      <w:r>
        <w:rPr>
          <w:b/>
          <w:color w:val="000000"/>
        </w:rPr>
        <w:lastRenderedPageBreak/>
        <w:t xml:space="preserve">Figure </w:t>
      </w:r>
      <w:r w:rsidR="00127236">
        <w:rPr>
          <w:b/>
          <w:color w:val="000000"/>
        </w:rPr>
        <w:t>1</w:t>
      </w:r>
      <w:r>
        <w:rPr>
          <w:b/>
          <w:color w:val="000000"/>
        </w:rPr>
        <w:t xml:space="preserve">: </w:t>
      </w:r>
      <w:proofErr w:type="spellStart"/>
      <w:r>
        <w:rPr>
          <w:bCs/>
          <w:color w:val="000000"/>
        </w:rPr>
        <w:t>Phylo</w:t>
      </w:r>
      <w:proofErr w:type="spellEnd"/>
      <w:r>
        <w:rPr>
          <w:bCs/>
          <w:color w:val="000000"/>
        </w:rPr>
        <w:t>-morphological distance plots.</w:t>
      </w:r>
      <w:bookmarkStart w:id="7" w:name="_heading=h.z337ya"/>
      <w:bookmarkEnd w:id="7"/>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99F64C3" w14:textId="77777777" w:rsidR="00CA0428" w:rsidRDefault="00CA0428" w:rsidP="00CA0428">
      <w:pPr>
        <w:pStyle w:val="Heading3"/>
        <w:numPr>
          <w:ilvl w:val="0"/>
          <w:numId w:val="0"/>
        </w:numPr>
        <w:spacing w:line="480" w:lineRule="auto"/>
      </w:pPr>
      <w:bookmarkStart w:id="8" w:name="_heading=h.4d34og8"/>
      <w:bookmarkEnd w:id="8"/>
      <w:r>
        <w:t>Comparing the distribution of species in morphospace through PCA scores</w:t>
      </w:r>
    </w:p>
    <w:p w14:paraId="3828C78B" w14:textId="5DD34F0A" w:rsidR="008922AE" w:rsidRDefault="00C248A2">
      <w:pPr>
        <w:spacing w:line="480" w:lineRule="auto"/>
      </w:pPr>
      <w:r>
        <w:t>Comparing the variation and species distribution from the first two Principal Components (</w:t>
      </w:r>
      <w:proofErr w:type="gramStart"/>
      <w:r>
        <w:t>PC)  of</w:t>
      </w:r>
      <w:proofErr w:type="gramEnd"/>
      <w:r>
        <w:t xml:space="preserve"> the full and residual datasets shows that the removal of allometric shape variation substantially reduces the amount of variation in the dataset that is aligned with PC1 (26% vs. 52%). PC2 axes captured similar percentages of shape variation (14.5% and </w:t>
      </w:r>
      <w:r w:rsidR="00D0603F">
        <w:t>19.8</w:t>
      </w:r>
      <w:r>
        <w:t>%, within the full shape and shape residual datasets, respectively). As expected, the full shape PC1 orders species by size</w:t>
      </w:r>
      <w:r w:rsidR="001D5FD2">
        <w:t xml:space="preserve"> (with a correlation of PC1 to size of 0.92)</w:t>
      </w:r>
      <w:r>
        <w:t xml:space="preserve">. </w:t>
      </w:r>
      <w:r w:rsidR="002B000F">
        <w:t xml:space="preserve">The species distribution along the full shape PC2 resembles the pattern along the residual shape PC1 (Fig. </w:t>
      </w:r>
      <w:r w:rsidR="00D0603F">
        <w:t xml:space="preserve">2 </w:t>
      </w:r>
      <w:r w:rsidR="002B000F">
        <w:t xml:space="preserve">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beyond PC1</w:t>
      </w:r>
      <w:r w:rsidR="00DB1D12">
        <w:t>.</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 xml:space="preserve">was removed, the relative positioning of species and the shape variation associated with the first two PCs remain similar (Fig. </w:t>
      </w:r>
      <w:r w:rsidR="00BF1D5C">
        <w:t>2</w:t>
      </w:r>
      <w:r w:rsidR="001D5FD2">
        <w:t>c</w:t>
      </w:r>
      <w:r>
        <w:t xml:space="preserve"> vs. </w:t>
      </w:r>
      <w:r w:rsidR="001D5FD2">
        <w:t>d</w:t>
      </w:r>
      <w:r>
        <w:t xml:space="preserve">). </w:t>
      </w:r>
    </w:p>
    <w:p w14:paraId="421BC090" w14:textId="77777777" w:rsidR="0043398A" w:rsidRDefault="0043398A">
      <w:pPr>
        <w:spacing w:line="480" w:lineRule="auto"/>
      </w:pPr>
    </w:p>
    <w:p w14:paraId="48D0E5DB" w14:textId="5F9FA1C1" w:rsidR="008922AE" w:rsidRDefault="00000000">
      <w:pPr>
        <w:spacing w:line="480" w:lineRule="auto"/>
      </w:pPr>
      <w:r>
        <w:t>In the shape residual plot of PC1 and PC2, the majority of species cluster in the center</w:t>
      </w:r>
      <w:r w:rsidR="00491B6E">
        <w:t>. This includes the</w:t>
      </w:r>
      <w:r w:rsidR="0043398A">
        <w:t xml:space="preserve"> </w:t>
      </w:r>
      <w:r>
        <w:t>two large-bodied frugivores</w:t>
      </w:r>
      <w:r w:rsidR="00491B6E">
        <w:t xml:space="preserve">, whose shape lies on the common line of allometry (Fig. </w:t>
      </w:r>
      <w:r w:rsidR="00BF1D5C">
        <w:lastRenderedPageBreak/>
        <w:t>2</w:t>
      </w:r>
      <w:r w:rsidR="00491B6E">
        <w:t xml:space="preserve">b). </w:t>
      </w:r>
      <w:r>
        <w:t xml:space="preserve">The allometry-free </w:t>
      </w:r>
      <w:r w:rsidR="00491B6E">
        <w:t>PC</w:t>
      </w:r>
      <w:r>
        <w:t xml:space="preserve"> plots </w:t>
      </w:r>
      <w:r w:rsidR="0043398A">
        <w:t xml:space="preserve">separate out </w:t>
      </w:r>
      <w:r>
        <w:t xml:space="preserve">other ecological specialists instead, such as the two semiaquatic carnivores along PC1 and the four hopping </w:t>
      </w:r>
      <w:r>
        <w:rPr>
          <w:i/>
        </w:rPr>
        <w:t>Notomys</w:t>
      </w:r>
      <w:r>
        <w:t xml:space="preserve"> species along PC2 (Fig. </w:t>
      </w:r>
      <w:r w:rsidR="00BF780A">
        <w:t>2c</w:t>
      </w:r>
      <w:r>
        <w:t>). T</w:t>
      </w:r>
      <w:r w:rsidR="00BF780A">
        <w:t xml:space="preserve">wo species of specializing in the </w:t>
      </w:r>
      <w:r w:rsidR="00D0603F">
        <w:t>consumption of grasses</w:t>
      </w:r>
      <w:r>
        <w:t>, the broad-toothed rat (</w:t>
      </w:r>
      <w:proofErr w:type="spellStart"/>
      <w:r>
        <w:rPr>
          <w:i/>
        </w:rPr>
        <w:t>Mastacomys</w:t>
      </w:r>
      <w:proofErr w:type="spellEnd"/>
      <w:r>
        <w:rPr>
          <w:i/>
        </w:rPr>
        <w:t xml:space="preserve"> </w:t>
      </w:r>
      <w:proofErr w:type="spellStart"/>
      <w:r>
        <w:rPr>
          <w:i/>
        </w:rPr>
        <w:t>fuscus</w:t>
      </w:r>
      <w:proofErr w:type="spellEnd"/>
      <w:r>
        <w:t>)</w:t>
      </w:r>
      <w:r w:rsidR="00BF780A">
        <w:t xml:space="preserve"> and XXX, are separated by low PC</w:t>
      </w:r>
      <w:r>
        <w:t xml:space="preserve"> All of the specialists along these extremes are in the </w:t>
      </w:r>
      <w:proofErr w:type="spellStart"/>
      <w:r>
        <w:rPr>
          <w:i/>
          <w:iCs/>
        </w:rPr>
        <w:t>Pseudomys</w:t>
      </w:r>
      <w:proofErr w:type="spellEnd"/>
      <w:r>
        <w:t xml:space="preserve"> division </w:t>
      </w:r>
      <w:r w:rsidR="00481B35">
        <w:fldChar w:fldCharType="begin"/>
      </w:r>
      <w:r w:rsidR="00481B35">
        <w:instrText xml:space="preserve"> ADDIN EN.CITE &lt;EndNote&gt;&lt;Cite&gt;&lt;Author&gt;Smissen&lt;/Author&gt;&lt;Year&gt;2018&lt;/Year&gt;&lt;RecNum&gt;28&lt;/RecNum&gt;&lt;DisplayText&gt;(Smissen &amp;amp; Rowe, 2018)&lt;/DisplayText&gt;&lt;record&gt;&lt;rec-number&gt;28&lt;/rec-number&gt;&lt;foreign-keys&gt;&lt;key app="EN" db-id="p9vfsf2vj2tvwjevww9pzwfazxfv5txvw5ap" timestamp="1709692331"&gt;28&lt;/key&gt;&lt;/foreign-keys&gt;&lt;ref-type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rsidR="00481B35">
        <w:fldChar w:fldCharType="separate"/>
      </w:r>
      <w:r w:rsidR="00481B35">
        <w:rPr>
          <w:noProof/>
        </w:rPr>
        <w:t>(Smissen &amp; Rowe, 2018)</w:t>
      </w:r>
      <w:r w:rsidR="00481B35">
        <w:fldChar w:fldCharType="end"/>
      </w:r>
      <w:r>
        <w:fldChar w:fldCharType="begin"/>
      </w:r>
      <w:r>
        <w:instrText>ADDIN EN.CITE &lt;EndNote&gt;&lt;Cite&gt;&lt;Author&gt;Smissen&lt;/Author&gt;&lt;Year&gt;2018&lt;/Year&gt;&lt;RecNum&gt;27&lt;/RecNum&gt;&lt;Prefix&gt;sensu`; &lt;/Prefix&gt;&lt;DisplayText&gt;(sensu; Smissen and Rowe 2018)&lt;/DisplayText&gt;&lt;record&gt;&lt;rec-number&gt;27&lt;/rec-number&gt;&lt;foreign-keys&gt;&lt;key app="EN" db-id="x99veed5wrp02read9c5awr0x2v9vvapx290" timestamp="1697174965"&gt;27&lt;/key&gt;&lt;/foreign-keys&gt;&lt;ref-type name="Journal Article"&gt;17&lt;/ref-type&gt;&lt;contributors&gt;&lt;authors&gt;&lt;author&gt;Smissen, P. J.&lt;/author&gt;&lt;author&gt;Rowe, K. C.&lt;/author&gt;&lt;/authors&gt;&lt;/contributors&gt;&lt;titles&gt;&lt;title&gt;Repeated biome transitions in the evolution of Australian rodents&lt;/title&gt;&lt;secondary-title&gt;Molecular Phylogenetics and Evolution&lt;/secondary-title&gt;&lt;/titles&gt;&lt;periodical&gt;&lt;full-title&gt;Molecular Phylogenetics and Evolution&lt;/full-title&gt;&lt;/periodical&gt;&lt;pages&gt;182-191&lt;/pages&gt;&lt;volume&gt;128&lt;/volume&gt;&lt;keywords&gt;&lt;keyword&gt;Mammal&lt;/keyword&gt;&lt;keyword&gt;Phylogenetics&lt;/keyword&gt;&lt;keyword&gt;Molecular systematics&lt;/keyword&gt;&lt;keyword&gt;Arid biome&lt;/keyword&gt;&lt;keyword&gt;Temperate mesic biome&lt;/keyword&gt;&lt;keyword&gt;Monsoon tropics&lt;/keyword&gt;&lt;/keywords&gt;&lt;dates&gt;&lt;year&gt;2018&lt;/year&gt;&lt;pub-dates&gt;&lt;date&gt;2018/11/01/&lt;/date&gt;&lt;/pub-dates&gt;&lt;/dates&gt;&lt;isbn&gt;1055-7903&lt;/isbn&gt;&lt;urls&gt;&lt;related-urls&gt;&lt;url&gt;https://www.sciencedirect.com/science/article/pii/S1055790317302282&lt;/url&gt;&lt;/related-urls&gt;&lt;/urls&gt;&lt;electronic-resource-num&gt;https://doi.org/10.1016/j.ympev.2018.07.015&lt;/electronic-resource-num&gt;&lt;/record&gt;&lt;/Cite&gt;&lt;/EndNote&gt;</w:instrText>
      </w:r>
      <w:r>
        <w:fldChar w:fldCharType="separate"/>
      </w:r>
      <w:r>
        <w:fldChar w:fldCharType="end"/>
      </w:r>
      <w:r>
        <w:t>, a clade of five genera from the earliest radiation of extant Australian rodents</w:t>
      </w:r>
      <w:r w:rsidR="00481B35">
        <w:t xml:space="preserve"> </w:t>
      </w:r>
      <w:r w:rsidR="00481B35">
        <w:fldChar w:fldCharType="begin"/>
      </w:r>
      <w:r w:rsidR="00481B35">
        <w:instrText xml:space="preserve"> ADDIN EN.CITE &lt;EndNote&gt;&lt;Cite&gt;&lt;Author&gt;Aplin&lt;/Author&gt;&lt;Year&gt;2014&lt;/Year&gt;&lt;RecNum&gt;61&lt;/RecNum&gt;&lt;DisplayText&gt;(Aplin &amp;amp; Ford, 2014)&lt;/DisplayText&gt;&lt;record&gt;&lt;rec-number&gt;61&lt;/rec-number&gt;&lt;foreign-keys&gt;&lt;key app="EN" db-id="p9vfsf2vj2tvwjevww9pzwfazxfv5txvw5ap" timestamp="1711513963"&gt;61&lt;/key&gt;&lt;/foreign-keys&gt;&lt;ref-type name="Book Section"&gt;5&lt;/ref-type&gt;&lt;contributors&gt;&lt;authors&gt;&lt;author&gt;Aplin, K. P.&lt;/author&gt;&lt;author&gt;Ford, F.&lt;/author&gt;&lt;/authors&gt;&lt;secondary-authors&gt;&lt;author&gt;Prins, H. H. T.&lt;/author&gt;&lt;author&gt;Gordon, I. J.&lt;/author&gt;&lt;/secondary-authors&gt;&lt;/contributors&gt;&lt;titles&gt;&lt;title&gt;Murine rodents: late but highly successful invaders&lt;/title&gt;&lt;secondary-title&gt;Invasion Biology and Ecological Theory: Insights from a Continent in Transformation&lt;/secondary-title&gt;&lt;/titles&gt;&lt;pages&gt;196-240&lt;/pages&gt;&lt;dates&gt;&lt;year&gt;2014&lt;/year&gt;&lt;/dates&gt;&lt;pub-location&gt;Cambridge&lt;/pub-location&gt;&lt;publisher&gt;Cambridge University Press&lt;/publisher&gt;&lt;isbn&gt;9781107035812&lt;/isbn&gt;&lt;urls&gt;&lt;related-urls&gt;&lt;url&gt;https://www.cambridge.org/core/books/invasion-biology-and-ecological-theory/murine-rodents-late-but-highly-successful-invaders/290AE5760126A1FB815B16E5FD1A2F11&lt;/url&gt;&lt;/related-urls&gt;&lt;/urls&gt;&lt;electronic-resource-num&gt;https://doi.org/10.1017/CBO9781139565424.012&lt;/electronic-resource-num&gt;&lt;remote-database-name&gt;Cambridge Core&lt;/remote-database-name&gt;&lt;remote-database-provider&gt;Cambridge University Press&lt;/remote-database-provider&gt;&lt;/record&gt;&lt;/Cite&gt;&lt;/EndNote&gt;</w:instrText>
      </w:r>
      <w:r w:rsidR="00481B35">
        <w:fldChar w:fldCharType="separate"/>
      </w:r>
      <w:r w:rsidR="00481B35">
        <w:rPr>
          <w:noProof/>
        </w:rPr>
        <w:t>(Aplin &amp; Ford, 2014)</w:t>
      </w:r>
      <w:r w:rsidR="00481B35">
        <w:fldChar w:fldCharType="end"/>
      </w:r>
      <w:r>
        <w:t xml:space="preserve">. </w:t>
      </w:r>
    </w:p>
    <w:p w14:paraId="110EE218" w14:textId="40F6E1AD" w:rsidR="008922AE" w:rsidRDefault="00824F7A" w:rsidP="0075257D">
      <w:pPr>
        <w:spacing w:line="480" w:lineRule="auto"/>
      </w:pPr>
      <w:bookmarkStart w:id="9" w:name="_heading=h.2s8eyo1"/>
      <w:r>
        <w:rPr>
          <w:noProof/>
        </w:rPr>
        <w:drawing>
          <wp:inline distT="0" distB="0" distL="0" distR="0" wp14:anchorId="5A3C7899" wp14:editId="72B8DB5C">
            <wp:extent cx="5943600" cy="4874895"/>
            <wp:effectExtent l="0" t="0" r="0" b="1905"/>
            <wp:docPr id="491382312" name="Picture 1" descr="A group of graph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2312" name="Picture 1" descr="A group of graphs with different colored squares&#10;&#10;Description automatically generated"/>
                    <pic:cNvPicPr/>
                  </pic:nvPicPr>
                  <pic:blipFill>
                    <a:blip r:embed="rId11"/>
                    <a:stretch>
                      <a:fillRect/>
                    </a:stretch>
                  </pic:blipFill>
                  <pic:spPr>
                    <a:xfrm>
                      <a:off x="0" y="0"/>
                      <a:ext cx="5943600" cy="4874895"/>
                    </a:xfrm>
                    <a:prstGeom prst="rect">
                      <a:avLst/>
                    </a:prstGeom>
                  </pic:spPr>
                </pic:pic>
              </a:graphicData>
            </a:graphic>
          </wp:inline>
        </w:drawing>
      </w:r>
    </w:p>
    <w:p w14:paraId="38275DEF" w14:textId="53795BFD" w:rsidR="00BF6875" w:rsidRPr="00824F7A" w:rsidRDefault="00000000" w:rsidP="00BF6875">
      <w:pPr>
        <w:spacing w:after="200"/>
        <w:rPr>
          <w:iCs/>
        </w:rPr>
      </w:pPr>
      <w:sdt>
        <w:sdtPr>
          <w:id w:val="133243903"/>
        </w:sdtPr>
        <w:sdtContent>
          <w:bookmarkEnd w:id="9"/>
        </w:sdtContent>
      </w:sdt>
      <w:r>
        <w:rPr>
          <w:b/>
          <w:color w:val="000000"/>
        </w:rPr>
        <w:t xml:space="preserve">Figure </w:t>
      </w:r>
      <w:r w:rsidR="00127236">
        <w:rPr>
          <w:b/>
          <w:color w:val="000000"/>
        </w:rPr>
        <w:t>2</w:t>
      </w:r>
      <w:r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t xml:space="preserve"> </w:t>
      </w:r>
      <w:r w:rsidR="00BF6875">
        <w:t>P</w:t>
      </w:r>
      <w:r>
        <w:t xml:space="preserve">lot of PC1 and PC2 for the full shape dataset and </w:t>
      </w:r>
      <w:r>
        <w:rPr>
          <w:bCs/>
        </w:rPr>
        <w:t>b</w:t>
      </w:r>
      <w:r>
        <w:rPr>
          <w:b/>
        </w:rPr>
        <w:t xml:space="preserve">, </w:t>
      </w:r>
      <w:r>
        <w:t>plot of log centroid size versus the projected regression score with a gray regression line indicating the common evolutionary trajectory</w:t>
      </w:r>
      <w:r w:rsidR="00BF6875">
        <w:t xml:space="preserve"> as per</w:t>
      </w:r>
      <w:r>
        <w:t xml:space="preserve"> </w:t>
      </w:r>
      <w:r>
        <w:fldChar w:fldCharType="begin"/>
      </w:r>
      <w:r>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t>Marcy et al. (2020)</w:t>
      </w:r>
      <w:r>
        <w:fldChar w:fldCharType="end"/>
      </w:r>
      <w:r w:rsidR="00261ED6">
        <w:t>;</w:t>
      </w:r>
      <w:r>
        <w:t xml:space="preserve"> </w:t>
      </w:r>
      <w:r>
        <w:rPr>
          <w:bCs/>
        </w:rPr>
        <w:t>c,</w:t>
      </w:r>
      <w:r>
        <w:rPr>
          <w:b/>
        </w:rPr>
        <w:t xml:space="preserve"> </w:t>
      </w:r>
      <w:r w:rsidR="00BF6875">
        <w:t>‘allometry-free’ shape residual dataset</w:t>
      </w:r>
      <w:r w:rsidR="00824F7A">
        <w:t xml:space="preserve"> with</w:t>
      </w:r>
      <w:r w:rsidR="00824F7A">
        <w:rPr>
          <w:iCs/>
        </w:rPr>
        <w:t xml:space="preserve"> </w:t>
      </w:r>
      <w:r w:rsidR="00824F7A">
        <w:rPr>
          <w:i/>
        </w:rPr>
        <w:t xml:space="preserve">Notomys </w:t>
      </w:r>
      <w:r w:rsidR="00824F7A">
        <w:rPr>
          <w:iCs/>
        </w:rPr>
        <w:t xml:space="preserve">genus, </w:t>
      </w:r>
      <w:r w:rsidR="00824F7A">
        <w:rPr>
          <w:i/>
        </w:rPr>
        <w:t>Conilurus penicillatus</w:t>
      </w:r>
      <w:r w:rsidR="00824F7A">
        <w:rPr>
          <w:iCs/>
        </w:rPr>
        <w:t xml:space="preserve">, and </w:t>
      </w:r>
      <w:proofErr w:type="spellStart"/>
      <w:r w:rsidR="00824F7A">
        <w:rPr>
          <w:i/>
        </w:rPr>
        <w:t>Mastacomys</w:t>
      </w:r>
      <w:proofErr w:type="spellEnd"/>
      <w:r w:rsidR="00824F7A">
        <w:rPr>
          <w:i/>
        </w:rPr>
        <w:t xml:space="preserve"> </w:t>
      </w:r>
      <w:proofErr w:type="spellStart"/>
      <w:r w:rsidR="00824F7A">
        <w:rPr>
          <w:i/>
        </w:rPr>
        <w:t>fuscus</w:t>
      </w:r>
      <w:proofErr w:type="spellEnd"/>
      <w:r w:rsidR="00824F7A">
        <w:rPr>
          <w:i/>
        </w:rPr>
        <w:t xml:space="preserve"> </w:t>
      </w:r>
      <w:r w:rsidR="00824F7A">
        <w:rPr>
          <w:iCs/>
        </w:rPr>
        <w:t xml:space="preserve">highlighted; </w:t>
      </w:r>
      <w:r>
        <w:rPr>
          <w:bCs/>
        </w:rPr>
        <w:t>d,</w:t>
      </w:r>
      <w:r>
        <w:t xml:space="preserve"> shape residual dataset without </w:t>
      </w:r>
      <w:r>
        <w:rPr>
          <w:i/>
        </w:rPr>
        <w:t>Notomys</w:t>
      </w:r>
      <w:r w:rsidR="00F8733B">
        <w:rPr>
          <w:iCs/>
        </w:rPr>
        <w:t>, which mainly just switches the sign of the PC scores</w:t>
      </w:r>
      <w:r w:rsidR="00BF6875">
        <w:rPr>
          <w:i/>
        </w:rPr>
        <w:t>.</w:t>
      </w:r>
      <w:r w:rsidR="00824F7A">
        <w:rPr>
          <w:i/>
        </w:rPr>
        <w:t xml:space="preserve"> </w:t>
      </w:r>
    </w:p>
    <w:p w14:paraId="4344961C" w14:textId="77777777" w:rsidR="00CA0428" w:rsidRDefault="00CA0428" w:rsidP="00CA0428">
      <w:pPr>
        <w:pStyle w:val="Heading3"/>
        <w:numPr>
          <w:ilvl w:val="0"/>
          <w:numId w:val="0"/>
        </w:numPr>
        <w:spacing w:line="480" w:lineRule="auto"/>
        <w:rPr>
          <w:highlight w:val="white"/>
        </w:rPr>
      </w:pPr>
      <w:bookmarkStart w:id="10" w:name="_heading=h.17dp8vu"/>
      <w:bookmarkEnd w:id="10"/>
      <w:r>
        <w:rPr>
          <w:highlight w:val="white"/>
        </w:rPr>
        <w:lastRenderedPageBreak/>
        <w:t>Assessment of allometric vs. allometry-free shape variation via heat maps</w:t>
      </w:r>
    </w:p>
    <w:p w14:paraId="7AF17660" w14:textId="6E3B4A64" w:rsidR="008922AE" w:rsidRDefault="00000000">
      <w:pPr>
        <w:spacing w:line="480" w:lineRule="auto"/>
      </w:pPr>
      <w:r>
        <w:t xml:space="preserve">As expected, </w:t>
      </w:r>
      <w:r w:rsidR="00261883">
        <w:t xml:space="preserve">a </w:t>
      </w:r>
      <w:r>
        <w:t xml:space="preserve">pattern of </w:t>
      </w:r>
      <w:r w:rsidR="00E35381">
        <w:t>relatively longer rostra and smaller brain cases</w:t>
      </w:r>
      <w:r>
        <w:t xml:space="preserve"> with size is apparent in the visualization of shape variation that is associated with allometry (Fig. </w:t>
      </w:r>
      <w:r w:rsidR="00AC1D7B">
        <w:t>3</w:t>
      </w:r>
      <w:r>
        <w:t xml:space="preserve">a-c). </w:t>
      </w:r>
      <w:r w:rsidR="00E35381">
        <w:t>This</w:t>
      </w:r>
      <w:r w:rsidR="00EC6815">
        <w:t xml:space="preserve"> </w:t>
      </w:r>
      <w:r w:rsidR="00E35381">
        <w:t>is</w:t>
      </w:r>
      <w:r w:rsidR="00EC6815">
        <w:t xml:space="preserve"> </w:t>
      </w:r>
      <w:r w:rsidR="003266F8">
        <w:t xml:space="preserve">also </w:t>
      </w:r>
      <w:r w:rsidR="00EC6815">
        <w:t>clearly visible in comparisons of mean shapes between smallest and largest species in the dataset and predicted shapes for high and low PC1 scores for the full dataset.</w:t>
      </w:r>
      <w:r w:rsidR="00E35381">
        <w:t xml:space="preserve"> Visually comparing meshes of representatives from the smallest and largest species provides visual confirmation that the allometric and ordinated variation reflects</w:t>
      </w:r>
      <w:r w:rsidR="00FC4943">
        <w:t xml:space="preserve"> major differences between the crania (Fig. 3g) and is not an artifact of Procrustes superimposition</w:t>
      </w:r>
      <w:r w:rsidR="002B3585">
        <w:t xml:space="preserve"> </w:t>
      </w:r>
      <w:r w:rsidR="002B3585">
        <w:fldChar w:fldCharType="begin"/>
      </w:r>
      <w:r w:rsidR="002B3585">
        <w:instrText xml:space="preserve"> ADDIN EN.CITE &lt;EndNote&gt;&lt;Cite&gt;&lt;Author&gt;Klingenberg&lt;/Author&gt;&lt;Year&gt;2021&lt;/Year&gt;&lt;RecNum&gt;77&lt;/RecNum&gt;&lt;DisplayText&gt;(Klingenberg, 2021)&lt;/DisplayText&gt;&lt;record&gt;&lt;rec-number&gt;77&lt;/rec-number&gt;&lt;foreign-keys&gt;&lt;key app="EN" db-id="p9vfsf2vj2tvwjevww9pzwfazxfv5txvw5ap" timestamp="1712814073"&gt;77&lt;/key&gt;&lt;/foreign-keys&gt;&lt;ref-type name="Journal Article"&gt;17&lt;/ref-type&gt;&lt;contributors&gt;&lt;authors&gt;&lt;author&gt;Klingenberg, Christian Peter&lt;/author&gt;&lt;/authors&gt;&lt;/contributors&gt;&lt;titles&gt;&lt;title&gt;How Exactly Did the Nose Get That Long? A Critical Rethinking of the Pinocchio Effect and How Shape Changes Relate to Landmarks&lt;/title&gt;&lt;secondary-title&gt;Evolutionary Biology&lt;/secondary-title&gt;&lt;/titles&gt;&lt;periodical&gt;&lt;full-title&gt;Evolutionary Biology&lt;/full-title&gt;&lt;/periodical&gt;&lt;pages&gt;115-127&lt;/pages&gt;&lt;volume&gt;48&lt;/volume&gt;&lt;number&gt;1&lt;/number&gt;&lt;dates&gt;&lt;year&gt;2021&lt;/year&gt;&lt;pub-dates&gt;&lt;date&gt;2021/03/01&lt;/date&gt;&lt;/pub-dates&gt;&lt;/dates&gt;&lt;isbn&gt;1934-2845&lt;/isbn&gt;&lt;urls&gt;&lt;related-urls&gt;&lt;url&gt;https://doi.org/10.1007/s11692-020-09520-y&lt;/url&gt;&lt;/related-urls&gt;&lt;/urls&gt;&lt;electronic-resource-num&gt;10.1007/s11692-020-09520-y&lt;/electronic-resource-num&gt;&lt;/record&gt;&lt;/Cite&gt;&lt;/EndNote&gt;</w:instrText>
      </w:r>
      <w:r w:rsidR="002B3585">
        <w:fldChar w:fldCharType="separate"/>
      </w:r>
      <w:r w:rsidR="002B3585">
        <w:rPr>
          <w:noProof/>
        </w:rPr>
        <w:t>(Klingenberg, 2021)</w:t>
      </w:r>
      <w:r w:rsidR="002B3585">
        <w:fldChar w:fldCharType="end"/>
      </w:r>
      <w:r w:rsidR="00FC4943">
        <w:t>.</w:t>
      </w:r>
      <w:r w:rsidR="00E35381">
        <w:t xml:space="preserve"> </w:t>
      </w:r>
    </w:p>
    <w:p w14:paraId="04E28832" w14:textId="77777777" w:rsidR="00E35381" w:rsidRDefault="00E35381">
      <w:pPr>
        <w:spacing w:line="480" w:lineRule="auto"/>
      </w:pPr>
    </w:p>
    <w:p w14:paraId="6AA4C308" w14:textId="08D9659E" w:rsidR="00E35381" w:rsidRPr="006A14F8" w:rsidRDefault="00E35381" w:rsidP="00E35381">
      <w:pPr>
        <w:spacing w:line="480" w:lineRule="auto"/>
      </w:pPr>
      <w:r>
        <w:t>As expected, removing the shape variation that covaries with size (Fig. 3d-f) also removed the CREA-aligned pattern</w:t>
      </w:r>
      <w:r w:rsidR="002B3585">
        <w:t>s</w:t>
      </w:r>
      <w:r>
        <w:t xml:space="preserve">. Species closer to the PC1 </w:t>
      </w:r>
      <w:r w:rsidR="002B3585">
        <w:t xml:space="preserve">maximum, such as the carnivorous </w:t>
      </w:r>
      <w:r w:rsidR="002B3585">
        <w:rPr>
          <w:i/>
          <w:iCs/>
        </w:rPr>
        <w:t xml:space="preserve">H. chrysogaster </w:t>
      </w:r>
      <w:r w:rsidR="002B3585">
        <w:t>(Fig. 3h)</w:t>
      </w:r>
      <w:r>
        <w:t xml:space="preserve"> then show </w:t>
      </w:r>
      <w:r w:rsidR="002B3585">
        <w:t>a straighter anterior rostra/incisor regions</w:t>
      </w:r>
      <w:r>
        <w:t xml:space="preserve"> and </w:t>
      </w:r>
      <w:proofErr w:type="gramStart"/>
      <w:r w:rsidR="002B3585">
        <w:t xml:space="preserve">dorsoposterior </w:t>
      </w:r>
      <w:r>
        <w:t xml:space="preserve"> </w:t>
      </w:r>
      <w:r w:rsidR="002B3585">
        <w:t>displacement</w:t>
      </w:r>
      <w:proofErr w:type="gramEnd"/>
      <w:r>
        <w:t xml:space="preserve"> of the foramen magnum (Fig. 3d</w:t>
      </w:r>
      <w:r w:rsidR="002B3585">
        <w:t>, h</w:t>
      </w:r>
      <w:r>
        <w:t xml:space="preserve">). However, the allometry-free PC2 heatmaps with all species highlighted shape patterns resemble some of the allometric variation. For example, the </w:t>
      </w:r>
      <w:r>
        <w:rPr>
          <w:i/>
        </w:rPr>
        <w:t>Notomys</w:t>
      </w:r>
      <w:r>
        <w:t xml:space="preserve"> species at PC1 minimum show dorsally expanded braincases and ventrally expanded auditory regions, but not shortened rostra as expected under CREA (Fig. 3e</w:t>
      </w:r>
      <w:r w:rsidR="002B3585">
        <w:t xml:space="preserve"> and mesh in 3h</w:t>
      </w:r>
      <w:r>
        <w:t>).</w:t>
      </w:r>
      <w:r w:rsidR="002B3585">
        <w:t xml:space="preserve"> This coincides with other differences, like variation in the dorsal maxillary region (3e, compare </w:t>
      </w:r>
      <w:r w:rsidR="002B3585">
        <w:rPr>
          <w:i/>
          <w:iCs/>
        </w:rPr>
        <w:t xml:space="preserve">Notomys </w:t>
      </w:r>
      <w:r w:rsidR="002B3585">
        <w:t xml:space="preserve">and </w:t>
      </w:r>
      <w:proofErr w:type="spellStart"/>
      <w:r w:rsidR="002B3585">
        <w:rPr>
          <w:i/>
          <w:iCs/>
        </w:rPr>
        <w:t>Mastcomys</w:t>
      </w:r>
      <w:proofErr w:type="spellEnd"/>
      <w:r w:rsidR="002B3585">
        <w:t xml:space="preserve"> in Fig. 3h). </w:t>
      </w:r>
      <w:r>
        <w:t xml:space="preserve"> Removing the four bipedal hopping species of </w:t>
      </w:r>
      <w:r>
        <w:rPr>
          <w:i/>
          <w:iCs/>
        </w:rPr>
        <w:t>Notomys</w:t>
      </w:r>
      <w:r>
        <w:t xml:space="preserve"> reduced this pattern somewhat to highlight just the expansion of the bulla, but as with the PC1/2 plots of Fig. 1, the result showed similar regions of variation (Fig. 3f). This indicates that the bipedal </w:t>
      </w:r>
      <w:proofErr w:type="spellStart"/>
      <w:r>
        <w:t>hopperd</w:t>
      </w:r>
      <w:proofErr w:type="spellEnd"/>
      <w:r>
        <w:t>, despite their distinctive morphology, do not dominate the variation in both PCAs.</w:t>
      </w:r>
    </w:p>
    <w:p w14:paraId="3E673D58" w14:textId="77777777" w:rsidR="00E35381" w:rsidRDefault="00E35381">
      <w:pPr>
        <w:spacing w:line="480" w:lineRule="auto"/>
      </w:pPr>
    </w:p>
    <w:p w14:paraId="5A45EF90" w14:textId="60628403" w:rsidR="008922AE" w:rsidRDefault="00851422">
      <w:pPr>
        <w:spacing w:line="480" w:lineRule="auto"/>
      </w:pPr>
      <w:r>
        <w:rPr>
          <w:noProof/>
        </w:rPr>
        <w:lastRenderedPageBreak/>
        <w:drawing>
          <wp:inline distT="0" distB="0" distL="0" distR="0" wp14:anchorId="3E6F5815" wp14:editId="320A4B00">
            <wp:extent cx="5943600" cy="5433060"/>
            <wp:effectExtent l="0" t="0" r="0" b="0"/>
            <wp:docPr id="162174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43454" name=""/>
                    <pic:cNvPicPr/>
                  </pic:nvPicPr>
                  <pic:blipFill>
                    <a:blip r:embed="rId12"/>
                    <a:stretch>
                      <a:fillRect/>
                    </a:stretch>
                  </pic:blipFill>
                  <pic:spPr>
                    <a:xfrm>
                      <a:off x="0" y="0"/>
                      <a:ext cx="5943600" cy="5433060"/>
                    </a:xfrm>
                    <a:prstGeom prst="rect">
                      <a:avLst/>
                    </a:prstGeom>
                  </pic:spPr>
                </pic:pic>
              </a:graphicData>
            </a:graphic>
          </wp:inline>
        </w:drawing>
      </w:r>
    </w:p>
    <w:p w14:paraId="480452C2" w14:textId="59FDC40D" w:rsidR="008922AE" w:rsidRPr="00FC029F" w:rsidRDefault="00000000">
      <w:pPr>
        <w:spacing w:after="200"/>
      </w:pPr>
      <w:bookmarkStart w:id="11" w:name="_heading=h.3rdcrjn"/>
      <w:bookmarkEnd w:id="11"/>
      <w:r>
        <w:rPr>
          <w:b/>
          <w:color w:val="000000"/>
        </w:rPr>
        <w:t xml:space="preserve">Figure </w:t>
      </w:r>
      <w:r w:rsidR="00127236">
        <w:rPr>
          <w:b/>
          <w:color w:val="000000"/>
        </w:rPr>
        <w:t>3</w:t>
      </w:r>
      <w:r>
        <w:rPr>
          <w:b/>
          <w:color w:val="000000"/>
        </w:rPr>
        <w:t xml:space="preserve">: </w:t>
      </w:r>
      <w:r>
        <w:rPr>
          <w:bCs/>
          <w:color w:val="000000"/>
        </w:rPr>
        <w:t xml:space="preserve">Landmark heatmaps </w:t>
      </w:r>
      <w:r w:rsidR="00564AD8">
        <w:rPr>
          <w:bCs/>
          <w:color w:val="000000"/>
        </w:rPr>
        <w:t xml:space="preserve">expressing </w:t>
      </w:r>
      <w:r>
        <w:rPr>
          <w:bCs/>
          <w:color w:val="000000"/>
        </w:rPr>
        <w:t>shape variation</w:t>
      </w:r>
      <w:r w:rsidR="00851422">
        <w:rPr>
          <w:bCs/>
          <w:color w:val="000000"/>
        </w:rPr>
        <w:t xml:space="preserve"> and examples of meshes</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w:t>
      </w:r>
      <w:r>
        <w:rPr>
          <w:i/>
          <w:iCs/>
        </w:rPr>
        <w:t xml:space="preserve">P. </w:t>
      </w:r>
      <w:proofErr w:type="spellStart"/>
      <w:r>
        <w:rPr>
          <w:i/>
          <w:iCs/>
        </w:rPr>
        <w:t>delicatulus</w:t>
      </w:r>
      <w:proofErr w:type="spellEnd"/>
      <w:r>
        <w:rPr>
          <w:i/>
          <w:iCs/>
        </w:rPr>
        <w:t>)</w:t>
      </w:r>
      <w:r>
        <w:t xml:space="preserve"> to the largest (</w:t>
      </w:r>
      <w:r>
        <w:rPr>
          <w:i/>
          <w:iCs/>
        </w:rPr>
        <w:t xml:space="preserve">U. </w:t>
      </w:r>
      <w:proofErr w:type="spellStart"/>
      <w:r>
        <w:rPr>
          <w:i/>
          <w:iCs/>
        </w:rPr>
        <w:t>caudimaculatus</w:t>
      </w:r>
      <w:proofErr w:type="spellEnd"/>
      <w:r>
        <w:rPr>
          <w:i/>
          <w:iCs/>
        </w:rPr>
        <w:t>)</w:t>
      </w:r>
      <w:r w:rsidR="00C75404" w:rsidRPr="00C75404">
        <w:t xml:space="preserve">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r>
        <w:rPr>
          <w:i/>
          <w:iCs/>
        </w:rPr>
        <w:t>Notomys.</w:t>
      </w:r>
      <w:r w:rsidR="00851422" w:rsidRPr="00851422">
        <w:t xml:space="preserve"> </w:t>
      </w:r>
      <w:r w:rsidR="00851422">
        <w:t xml:space="preserve">Spheres show the mean position of landmarks for the column’s dataset, vectors show landmark displacement. Colors and lengths are calculated from relative proportions of the minimum/maximum vector lengths for each </w:t>
      </w:r>
      <w:proofErr w:type="spellStart"/>
      <w:proofErr w:type="gramStart"/>
      <w:r w:rsidR="00851422">
        <w:t>comparison,and</w:t>
      </w:r>
      <w:proofErr w:type="spellEnd"/>
      <w:proofErr w:type="gramEnd"/>
      <w:r w:rsidR="00851422">
        <w:t xml:space="preserve"> are not equivalent across individual images. </w:t>
      </w:r>
      <w:r w:rsidR="00851422">
        <w:rPr>
          <w:b/>
          <w:bCs/>
        </w:rPr>
        <w:t xml:space="preserve">g, </w:t>
      </w:r>
      <w:r w:rsidR="00851422">
        <w:t xml:space="preserve">comparison between the smallest </w:t>
      </w:r>
      <w:r w:rsidR="00851422">
        <w:rPr>
          <w:i/>
          <w:iCs/>
        </w:rPr>
        <w:t>versus</w:t>
      </w:r>
      <w:r w:rsidR="00851422">
        <w:t xml:space="preserve"> largest species in the sample (reflecting the variation seen in 3a-c); </w:t>
      </w:r>
      <w:r w:rsidR="00851422">
        <w:rPr>
          <w:b/>
          <w:bCs/>
        </w:rPr>
        <w:t>f</w:t>
      </w:r>
      <w:r w:rsidR="00851422">
        <w:t>, examples of species on extremes of residual PC1 (</w:t>
      </w:r>
      <w:r w:rsidR="00851422">
        <w:rPr>
          <w:i/>
          <w:iCs/>
        </w:rPr>
        <w:t>H. chrysogaster</w:t>
      </w:r>
      <w:r w:rsidR="00851422">
        <w:t>), and residual PC1/2 (</w:t>
      </w:r>
      <w:r w:rsidR="00851422">
        <w:rPr>
          <w:i/>
          <w:iCs/>
        </w:rPr>
        <w:t xml:space="preserve">N. </w:t>
      </w:r>
      <w:proofErr w:type="spellStart"/>
      <w:r w:rsidR="00851422">
        <w:rPr>
          <w:i/>
          <w:iCs/>
        </w:rPr>
        <w:t>fuscus</w:t>
      </w:r>
      <w:proofErr w:type="spellEnd"/>
      <w:r w:rsidR="00851422">
        <w:rPr>
          <w:i/>
          <w:iCs/>
        </w:rPr>
        <w:t xml:space="preserve">, M. </w:t>
      </w:r>
      <w:proofErr w:type="spellStart"/>
      <w:r w:rsidR="00851422">
        <w:rPr>
          <w:i/>
          <w:iCs/>
        </w:rPr>
        <w:t>fuscus</w:t>
      </w:r>
      <w:proofErr w:type="spellEnd"/>
      <w:r w:rsidR="00851422">
        <w:rPr>
          <w:i/>
          <w:iCs/>
        </w:rPr>
        <w:t>).</w:t>
      </w:r>
      <w:r w:rsidR="00FC029F">
        <w:t xml:space="preserve"> Not to scale</w:t>
      </w:r>
      <w:r w:rsidR="00E35381">
        <w:t>.</w:t>
      </w:r>
    </w:p>
    <w:p w14:paraId="1F01B3CE" w14:textId="77777777" w:rsidR="008922AE" w:rsidRDefault="008922AE">
      <w:pPr>
        <w:spacing w:after="200" w:line="480" w:lineRule="auto"/>
      </w:pPr>
      <w:bookmarkStart w:id="12" w:name="_heading=h.26in1rg"/>
      <w:bookmarkStart w:id="13" w:name="_heading=h.uq2hteszg0yo"/>
      <w:bookmarkStart w:id="14" w:name="_heading=h.y6pg7i4p7m5p"/>
      <w:bookmarkEnd w:id="12"/>
      <w:bookmarkEnd w:id="13"/>
      <w:bookmarkEnd w:id="14"/>
    </w:p>
    <w:p w14:paraId="7C0E49F2" w14:textId="77777777" w:rsidR="00CA0428" w:rsidRDefault="00CA0428" w:rsidP="00CA0428">
      <w:pPr>
        <w:pStyle w:val="Heading3"/>
        <w:numPr>
          <w:ilvl w:val="6"/>
          <w:numId w:val="2"/>
        </w:numPr>
        <w:spacing w:line="480" w:lineRule="auto"/>
        <w:rPr>
          <w:highlight w:val="white"/>
        </w:rPr>
      </w:pPr>
      <w:bookmarkStart w:id="15" w:name="_heading=h.lnxbz9"/>
      <w:bookmarkEnd w:id="15"/>
      <w:r>
        <w:rPr>
          <w:highlight w:val="white"/>
        </w:rPr>
        <w:lastRenderedPageBreak/>
        <w:t xml:space="preserve">Allometry, disparity, </w:t>
      </w:r>
      <w:proofErr w:type="gramStart"/>
      <w:r>
        <w:rPr>
          <w:highlight w:val="white"/>
        </w:rPr>
        <w:t>modularity</w:t>
      </w:r>
      <w:proofErr w:type="gramEnd"/>
      <w:r>
        <w:rPr>
          <w:highlight w:val="white"/>
        </w:rPr>
        <w:t xml:space="preserve"> and integration </w:t>
      </w:r>
    </w:p>
    <w:p w14:paraId="015BE1F5" w14:textId="77777777" w:rsidR="005508BA" w:rsidRDefault="00A44D74" w:rsidP="00491B6E">
      <w:pPr>
        <w:spacing w:line="480" w:lineRule="auto"/>
      </w:pPr>
      <w:r>
        <w:t xml:space="preserve">The amount of variation explained by size varied widely among </w:t>
      </w:r>
      <w:r w:rsidR="00164B3F">
        <w:t>modules (Table 2</w:t>
      </w:r>
      <w:r w:rsidR="00916D9F">
        <w:t xml:space="preserve">), and had larger effect </w:t>
      </w:r>
      <w:proofErr w:type="gramStart"/>
      <w:r w:rsidR="00916D9F">
        <w:t>sizes  and</w:t>
      </w:r>
      <w:proofErr w:type="gramEnd"/>
      <w:r w:rsidR="00916D9F">
        <w:t xml:space="preserve"> R</w:t>
      </w:r>
      <w:r w:rsidR="00916D9F">
        <w:rPr>
          <w:vertAlign w:val="superscript"/>
        </w:rPr>
        <w:t>2</w:t>
      </w:r>
      <w:r w:rsidR="00916D9F">
        <w:t xml:space="preserve"> </w:t>
      </w:r>
      <w:proofErr w:type="spellStart"/>
      <w:r w:rsidR="00916D9F">
        <w:t>valuse</w:t>
      </w:r>
      <w:proofErr w:type="spellEnd"/>
      <w:r w:rsidR="00916D9F">
        <w:t xml:space="preserve"> in the joint GPA compared to separate GPAs. </w:t>
      </w:r>
      <w:r>
        <w:t xml:space="preserve">Surprisingly, </w:t>
      </w:r>
      <w:r w:rsidR="00164B3F">
        <w:t>the rostral module was revealed as having the least of its variation explained by size, despite its extensive variation predicted by allometric fit heatmaps (Fig. 3</w:t>
      </w:r>
      <w:proofErr w:type="gramStart"/>
      <w:r w:rsidR="00164B3F">
        <w:t>)</w:t>
      </w:r>
      <w:r w:rsidR="00916D9F">
        <w:t>;</w:t>
      </w:r>
      <w:proofErr w:type="gramEnd"/>
      <w:r w:rsidR="00916D9F">
        <w:t xml:space="preserve"> in fact, </w:t>
      </w:r>
      <w:r w:rsidR="00164B3F">
        <w:t xml:space="preserve">the </w:t>
      </w:r>
      <w:r w:rsidR="00916D9F">
        <w:t>association</w:t>
      </w:r>
      <w:r w:rsidR="00164B3F">
        <w:t xml:space="preserve"> between rostral shape an rostral centroid size just below the significance threshold.</w:t>
      </w:r>
      <w:r w:rsidR="00916D9F">
        <w:t xml:space="preserve"> </w:t>
      </w:r>
    </w:p>
    <w:p w14:paraId="12BA21F3" w14:textId="127A20F3" w:rsidR="00170D34" w:rsidRDefault="005508BA" w:rsidP="00830EE6">
      <w:pPr>
        <w:rPr>
          <w:b/>
          <w:bCs/>
        </w:rPr>
      </w:pPr>
      <w:r>
        <w:rPr>
          <w:b/>
          <w:bCs/>
        </w:rPr>
        <w:t xml:space="preserve">Table 2: </w:t>
      </w:r>
      <w:r>
        <w:t xml:space="preserve">Phylogenetically adjusted generalized least squares analysis </w:t>
      </w:r>
      <w:r>
        <w:rPr>
          <w:i/>
          <w:iCs/>
        </w:rPr>
        <w:t xml:space="preserve">(PGLS) </w:t>
      </w:r>
      <w:r>
        <w:t xml:space="preserve">of module shape </w:t>
      </w:r>
      <w:r>
        <w:rPr>
          <w:i/>
          <w:iCs/>
        </w:rPr>
        <w:t>vs</w:t>
      </w:r>
      <w:r>
        <w:t xml:space="preserve"> log-</w:t>
      </w:r>
      <w:proofErr w:type="spellStart"/>
      <w:r>
        <w:t>tranformed</w:t>
      </w:r>
      <w:proofErr w:type="spellEnd"/>
      <w:r>
        <w:t xml:space="preserve"> centroid sizes for joint (top) and separate (bottom) GPAs. SS, sum of </w:t>
      </w:r>
      <w:proofErr w:type="gramStart"/>
      <w:r>
        <w:t>squares;</w:t>
      </w:r>
      <w:proofErr w:type="gramEnd"/>
    </w:p>
    <w:p w14:paraId="754596AE" w14:textId="637918AE" w:rsidR="002343E1" w:rsidRPr="00916D9F" w:rsidRDefault="00916D9F" w:rsidP="00830EE6">
      <w:r>
        <w:t>MS, Mean Squares; R</w:t>
      </w:r>
      <w:r>
        <w:rPr>
          <w:vertAlign w:val="superscript"/>
        </w:rPr>
        <w:t>2</w:t>
      </w:r>
      <w:r>
        <w:t xml:space="preserve">, R-squared value; F – F </w:t>
      </w:r>
      <w:r w:rsidR="004F47F3">
        <w:t>values</w:t>
      </w:r>
      <w:r>
        <w:t xml:space="preserve">; Z, Z </w:t>
      </w:r>
      <w:r w:rsidR="004F47F3">
        <w:t>scores (effect sizes from F values)</w:t>
      </w:r>
      <w:r>
        <w:t xml:space="preserve">; </w:t>
      </w:r>
      <w:r>
        <w:rPr>
          <w:i/>
          <w:iCs/>
        </w:rPr>
        <w:t>p</w:t>
      </w:r>
      <w:r>
        <w:t xml:space="preserve">, p-value (probability of significant association at </w:t>
      </w:r>
      <w:r>
        <w:rPr>
          <w:i/>
          <w:iCs/>
        </w:rPr>
        <w:t>p</w:t>
      </w:r>
      <w:r>
        <w:t xml:space="preserve"> &lt; 0.05</w:t>
      </w:r>
      <w:r w:rsidR="00B755C6">
        <w:t xml:space="preserve"> based on 10,000 permutations</w:t>
      </w:r>
      <w:r>
        <w:t>).</w:t>
      </w:r>
    </w:p>
    <w:p w14:paraId="36D6D46F" w14:textId="77777777" w:rsidR="00830EE6" w:rsidRPr="00830EE6" w:rsidRDefault="00830EE6" w:rsidP="00830EE6"/>
    <w:tbl>
      <w:tblPr>
        <w:tblpPr w:leftFromText="180" w:rightFromText="180" w:vertAnchor="text" w:horzAnchor="margin" w:tblpY="50"/>
        <w:tblW w:w="6936" w:type="dxa"/>
        <w:tblLook w:val="04A0" w:firstRow="1" w:lastRow="0" w:firstColumn="1" w:lastColumn="0" w:noHBand="0" w:noVBand="1"/>
      </w:tblPr>
      <w:tblGrid>
        <w:gridCol w:w="1418"/>
        <w:gridCol w:w="718"/>
        <w:gridCol w:w="960"/>
        <w:gridCol w:w="960"/>
        <w:gridCol w:w="960"/>
        <w:gridCol w:w="960"/>
        <w:gridCol w:w="960"/>
      </w:tblGrid>
      <w:tr w:rsidR="005508BA" w:rsidRPr="004003F9" w14:paraId="12D80865" w14:textId="77777777" w:rsidTr="005508BA">
        <w:trPr>
          <w:trHeight w:val="290"/>
        </w:trPr>
        <w:tc>
          <w:tcPr>
            <w:tcW w:w="1418" w:type="dxa"/>
            <w:tcBorders>
              <w:top w:val="nil"/>
              <w:left w:val="nil"/>
              <w:bottom w:val="nil"/>
              <w:right w:val="nil"/>
            </w:tcBorders>
            <w:shd w:val="clear" w:color="auto" w:fill="auto"/>
            <w:noWrap/>
            <w:vAlign w:val="bottom"/>
            <w:hideMark/>
          </w:tcPr>
          <w:p w14:paraId="1291675D" w14:textId="77777777" w:rsidR="005508BA" w:rsidRPr="004003F9" w:rsidRDefault="005508BA" w:rsidP="005508BA">
            <w:pPr>
              <w:suppressAutoHyphens w:val="0"/>
              <w:rPr>
                <w:lang w:val="en-AU" w:eastAsia="en-AU"/>
              </w:rPr>
            </w:pPr>
          </w:p>
        </w:tc>
        <w:tc>
          <w:tcPr>
            <w:tcW w:w="718" w:type="dxa"/>
            <w:tcBorders>
              <w:top w:val="nil"/>
              <w:left w:val="nil"/>
              <w:bottom w:val="single" w:sz="4" w:space="0" w:color="auto"/>
              <w:right w:val="nil"/>
            </w:tcBorders>
            <w:shd w:val="clear" w:color="auto" w:fill="auto"/>
            <w:noWrap/>
            <w:vAlign w:val="bottom"/>
            <w:hideMark/>
          </w:tcPr>
          <w:p w14:paraId="6F371813"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SS</w:t>
            </w:r>
          </w:p>
        </w:tc>
        <w:tc>
          <w:tcPr>
            <w:tcW w:w="960" w:type="dxa"/>
            <w:tcBorders>
              <w:top w:val="nil"/>
              <w:left w:val="nil"/>
              <w:bottom w:val="single" w:sz="4" w:space="0" w:color="auto"/>
              <w:right w:val="nil"/>
            </w:tcBorders>
            <w:shd w:val="clear" w:color="auto" w:fill="auto"/>
            <w:noWrap/>
            <w:vAlign w:val="bottom"/>
            <w:hideMark/>
          </w:tcPr>
          <w:p w14:paraId="2FA3811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MS</w:t>
            </w:r>
          </w:p>
        </w:tc>
        <w:tc>
          <w:tcPr>
            <w:tcW w:w="960" w:type="dxa"/>
            <w:tcBorders>
              <w:top w:val="nil"/>
              <w:left w:val="nil"/>
              <w:bottom w:val="single" w:sz="4" w:space="0" w:color="auto"/>
              <w:right w:val="nil"/>
            </w:tcBorders>
            <w:shd w:val="clear" w:color="auto" w:fill="auto"/>
            <w:noWrap/>
            <w:vAlign w:val="bottom"/>
            <w:hideMark/>
          </w:tcPr>
          <w:p w14:paraId="2E9B663C" w14:textId="77777777" w:rsidR="005508BA" w:rsidRPr="004003F9" w:rsidRDefault="005508BA" w:rsidP="005508BA">
            <w:pPr>
              <w:suppressAutoHyphens w:val="0"/>
              <w:rPr>
                <w:rFonts w:ascii="Calibri" w:hAnsi="Calibri" w:cs="Calibri"/>
                <w:color w:val="000000"/>
                <w:sz w:val="22"/>
                <w:szCs w:val="22"/>
                <w:lang w:val="en-AU" w:eastAsia="en-AU"/>
              </w:rPr>
            </w:pPr>
            <w:proofErr w:type="spellStart"/>
            <w:r w:rsidRPr="004003F9">
              <w:rPr>
                <w:rFonts w:ascii="Calibri" w:hAnsi="Calibri" w:cs="Calibri"/>
                <w:color w:val="000000"/>
                <w:sz w:val="22"/>
                <w:szCs w:val="22"/>
                <w:lang w:val="en-AU" w:eastAsia="en-AU"/>
              </w:rPr>
              <w:t>Rsq</w:t>
            </w:r>
            <w:proofErr w:type="spellEnd"/>
          </w:p>
        </w:tc>
        <w:tc>
          <w:tcPr>
            <w:tcW w:w="960" w:type="dxa"/>
            <w:tcBorders>
              <w:top w:val="nil"/>
              <w:left w:val="nil"/>
              <w:bottom w:val="single" w:sz="4" w:space="0" w:color="auto"/>
              <w:right w:val="nil"/>
            </w:tcBorders>
            <w:shd w:val="clear" w:color="auto" w:fill="auto"/>
            <w:noWrap/>
            <w:vAlign w:val="bottom"/>
            <w:hideMark/>
          </w:tcPr>
          <w:p w14:paraId="1AADC558"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F</w:t>
            </w:r>
          </w:p>
        </w:tc>
        <w:tc>
          <w:tcPr>
            <w:tcW w:w="960" w:type="dxa"/>
            <w:tcBorders>
              <w:top w:val="nil"/>
              <w:left w:val="nil"/>
              <w:bottom w:val="single" w:sz="4" w:space="0" w:color="auto"/>
              <w:right w:val="nil"/>
            </w:tcBorders>
            <w:shd w:val="clear" w:color="auto" w:fill="auto"/>
            <w:noWrap/>
            <w:vAlign w:val="bottom"/>
            <w:hideMark/>
          </w:tcPr>
          <w:p w14:paraId="177887A1"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Z</w:t>
            </w:r>
          </w:p>
        </w:tc>
        <w:tc>
          <w:tcPr>
            <w:tcW w:w="960" w:type="dxa"/>
            <w:tcBorders>
              <w:top w:val="nil"/>
              <w:left w:val="nil"/>
              <w:bottom w:val="single" w:sz="4" w:space="0" w:color="auto"/>
              <w:right w:val="nil"/>
            </w:tcBorders>
            <w:shd w:val="clear" w:color="auto" w:fill="auto"/>
            <w:noWrap/>
            <w:vAlign w:val="bottom"/>
            <w:hideMark/>
          </w:tcPr>
          <w:p w14:paraId="05F7E9FB" w14:textId="77777777" w:rsidR="005508BA" w:rsidRPr="00916D9F" w:rsidRDefault="005508BA" w:rsidP="005508BA">
            <w:pPr>
              <w:suppressAutoHyphens w:val="0"/>
              <w:rPr>
                <w:rFonts w:ascii="Calibri" w:hAnsi="Calibri" w:cs="Calibri"/>
                <w:i/>
                <w:iCs/>
                <w:color w:val="000000"/>
                <w:sz w:val="22"/>
                <w:szCs w:val="22"/>
                <w:lang w:val="en-AU" w:eastAsia="en-AU"/>
              </w:rPr>
            </w:pPr>
            <w:r>
              <w:rPr>
                <w:rFonts w:ascii="Calibri" w:hAnsi="Calibri" w:cs="Calibri"/>
                <w:i/>
                <w:iCs/>
                <w:color w:val="000000"/>
                <w:sz w:val="22"/>
                <w:szCs w:val="22"/>
                <w:lang w:val="en-AU" w:eastAsia="en-AU"/>
              </w:rPr>
              <w:t>p</w:t>
            </w:r>
          </w:p>
        </w:tc>
      </w:tr>
      <w:tr w:rsidR="005508BA" w:rsidRPr="004003F9" w14:paraId="589C9C3B" w14:textId="77777777" w:rsidTr="005508BA">
        <w:trPr>
          <w:trHeight w:val="290"/>
        </w:trPr>
        <w:tc>
          <w:tcPr>
            <w:tcW w:w="6936" w:type="dxa"/>
            <w:gridSpan w:val="7"/>
            <w:tcBorders>
              <w:top w:val="nil"/>
              <w:left w:val="nil"/>
              <w:bottom w:val="nil"/>
              <w:right w:val="nil"/>
            </w:tcBorders>
            <w:shd w:val="clear" w:color="auto" w:fill="D9D9D9" w:themeFill="background1" w:themeFillShade="D9"/>
            <w:noWrap/>
            <w:vAlign w:val="bottom"/>
          </w:tcPr>
          <w:p w14:paraId="04C6C5BD" w14:textId="77777777" w:rsidR="005508BA" w:rsidRPr="004003F9" w:rsidRDefault="005508BA" w:rsidP="005508BA">
            <w:pPr>
              <w:suppressAutoHyphens w:val="0"/>
              <w:jc w:val="center"/>
              <w:rPr>
                <w:rFonts w:ascii="Calibri" w:hAnsi="Calibri" w:cs="Calibri"/>
                <w:color w:val="000000"/>
                <w:sz w:val="22"/>
                <w:szCs w:val="22"/>
                <w:lang w:val="en-AU" w:eastAsia="en-AU"/>
              </w:rPr>
            </w:pPr>
            <w:r>
              <w:rPr>
                <w:rFonts w:ascii="Calibri" w:hAnsi="Calibri" w:cs="Calibri"/>
                <w:color w:val="000000"/>
                <w:sz w:val="22"/>
                <w:szCs w:val="22"/>
                <w:lang w:val="en-AU" w:eastAsia="en-AU"/>
              </w:rPr>
              <w:t>Joint GPA</w:t>
            </w:r>
          </w:p>
        </w:tc>
      </w:tr>
      <w:tr w:rsidR="005508BA" w:rsidRPr="004003F9" w14:paraId="7A761DC7" w14:textId="77777777" w:rsidTr="005508BA">
        <w:trPr>
          <w:trHeight w:val="290"/>
        </w:trPr>
        <w:tc>
          <w:tcPr>
            <w:tcW w:w="1418" w:type="dxa"/>
            <w:tcBorders>
              <w:top w:val="nil"/>
              <w:left w:val="nil"/>
              <w:bottom w:val="nil"/>
              <w:right w:val="nil"/>
            </w:tcBorders>
            <w:shd w:val="clear" w:color="auto" w:fill="auto"/>
            <w:noWrap/>
            <w:vAlign w:val="bottom"/>
            <w:hideMark/>
          </w:tcPr>
          <w:p w14:paraId="0B226299"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
        </w:tc>
        <w:tc>
          <w:tcPr>
            <w:tcW w:w="718" w:type="dxa"/>
            <w:tcBorders>
              <w:top w:val="nil"/>
              <w:left w:val="nil"/>
              <w:bottom w:val="nil"/>
              <w:right w:val="nil"/>
            </w:tcBorders>
            <w:shd w:val="clear" w:color="auto" w:fill="auto"/>
            <w:noWrap/>
            <w:vAlign w:val="bottom"/>
            <w:hideMark/>
          </w:tcPr>
          <w:p w14:paraId="412D2EE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0.002</w:t>
            </w:r>
          </w:p>
        </w:tc>
        <w:tc>
          <w:tcPr>
            <w:tcW w:w="960" w:type="dxa"/>
            <w:tcBorders>
              <w:top w:val="nil"/>
              <w:left w:val="nil"/>
              <w:bottom w:val="nil"/>
              <w:right w:val="nil"/>
            </w:tcBorders>
            <w:shd w:val="clear" w:color="auto" w:fill="auto"/>
            <w:noWrap/>
            <w:vAlign w:val="bottom"/>
            <w:hideMark/>
          </w:tcPr>
          <w:p w14:paraId="7D6DD51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0.133</w:t>
            </w:r>
          </w:p>
        </w:tc>
        <w:tc>
          <w:tcPr>
            <w:tcW w:w="960" w:type="dxa"/>
            <w:tcBorders>
              <w:top w:val="nil"/>
              <w:left w:val="nil"/>
              <w:bottom w:val="nil"/>
              <w:right w:val="nil"/>
            </w:tcBorders>
            <w:shd w:val="clear" w:color="auto" w:fill="auto"/>
            <w:noWrap/>
            <w:vAlign w:val="bottom"/>
            <w:hideMark/>
          </w:tcPr>
          <w:p w14:paraId="7993FC5C"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0.13</w:t>
            </w:r>
          </w:p>
        </w:tc>
        <w:tc>
          <w:tcPr>
            <w:tcW w:w="960" w:type="dxa"/>
            <w:tcBorders>
              <w:top w:val="nil"/>
              <w:left w:val="nil"/>
              <w:bottom w:val="nil"/>
              <w:right w:val="nil"/>
            </w:tcBorders>
            <w:shd w:val="clear" w:color="auto" w:fill="auto"/>
            <w:noWrap/>
            <w:vAlign w:val="bottom"/>
            <w:hideMark/>
          </w:tcPr>
          <w:p w14:paraId="3D455A1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5.38</w:t>
            </w:r>
          </w:p>
        </w:tc>
        <w:tc>
          <w:tcPr>
            <w:tcW w:w="960" w:type="dxa"/>
            <w:tcBorders>
              <w:top w:val="nil"/>
              <w:left w:val="nil"/>
              <w:bottom w:val="nil"/>
              <w:right w:val="nil"/>
            </w:tcBorders>
            <w:shd w:val="clear" w:color="auto" w:fill="auto"/>
            <w:noWrap/>
            <w:vAlign w:val="bottom"/>
            <w:hideMark/>
          </w:tcPr>
          <w:p w14:paraId="289F251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3.31</w:t>
            </w:r>
          </w:p>
        </w:tc>
        <w:tc>
          <w:tcPr>
            <w:tcW w:w="960" w:type="dxa"/>
            <w:tcBorders>
              <w:top w:val="nil"/>
              <w:left w:val="nil"/>
              <w:bottom w:val="nil"/>
              <w:right w:val="nil"/>
            </w:tcBorders>
            <w:shd w:val="clear" w:color="auto" w:fill="auto"/>
            <w:noWrap/>
            <w:vAlign w:val="bottom"/>
            <w:hideMark/>
          </w:tcPr>
          <w:p w14:paraId="7C5F98CE"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2506E899" w14:textId="77777777" w:rsidTr="005508BA">
        <w:trPr>
          <w:trHeight w:val="290"/>
        </w:trPr>
        <w:tc>
          <w:tcPr>
            <w:tcW w:w="1418" w:type="dxa"/>
            <w:tcBorders>
              <w:top w:val="nil"/>
              <w:left w:val="nil"/>
              <w:bottom w:val="nil"/>
              <w:right w:val="nil"/>
            </w:tcBorders>
            <w:shd w:val="clear" w:color="auto" w:fill="auto"/>
            <w:noWrap/>
            <w:vAlign w:val="bottom"/>
            <w:hideMark/>
          </w:tcPr>
          <w:p w14:paraId="206160BE"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718" w:type="dxa"/>
            <w:tcBorders>
              <w:top w:val="nil"/>
              <w:left w:val="nil"/>
              <w:bottom w:val="nil"/>
              <w:right w:val="nil"/>
            </w:tcBorders>
            <w:shd w:val="clear" w:color="auto" w:fill="auto"/>
            <w:noWrap/>
            <w:vAlign w:val="bottom"/>
            <w:hideMark/>
          </w:tcPr>
          <w:p w14:paraId="52C91FD4"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8D6FAC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0.09</w:t>
            </w:r>
          </w:p>
        </w:tc>
        <w:tc>
          <w:tcPr>
            <w:tcW w:w="960" w:type="dxa"/>
            <w:tcBorders>
              <w:top w:val="nil"/>
              <w:left w:val="nil"/>
              <w:bottom w:val="nil"/>
              <w:right w:val="nil"/>
            </w:tcBorders>
            <w:shd w:val="clear" w:color="auto" w:fill="auto"/>
            <w:noWrap/>
            <w:vAlign w:val="bottom"/>
            <w:hideMark/>
          </w:tcPr>
          <w:p w14:paraId="3A60952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0.09</w:t>
            </w:r>
          </w:p>
        </w:tc>
        <w:tc>
          <w:tcPr>
            <w:tcW w:w="960" w:type="dxa"/>
            <w:tcBorders>
              <w:top w:val="nil"/>
              <w:left w:val="nil"/>
              <w:bottom w:val="nil"/>
              <w:right w:val="nil"/>
            </w:tcBorders>
            <w:shd w:val="clear" w:color="auto" w:fill="auto"/>
            <w:noWrap/>
            <w:vAlign w:val="bottom"/>
            <w:hideMark/>
          </w:tcPr>
          <w:p w14:paraId="26474E6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3.47</w:t>
            </w:r>
          </w:p>
        </w:tc>
        <w:tc>
          <w:tcPr>
            <w:tcW w:w="960" w:type="dxa"/>
            <w:tcBorders>
              <w:top w:val="nil"/>
              <w:left w:val="nil"/>
              <w:bottom w:val="nil"/>
              <w:right w:val="nil"/>
            </w:tcBorders>
            <w:shd w:val="clear" w:color="auto" w:fill="auto"/>
            <w:noWrap/>
            <w:vAlign w:val="bottom"/>
            <w:hideMark/>
          </w:tcPr>
          <w:p w14:paraId="18981067"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2.7</w:t>
            </w:r>
          </w:p>
        </w:tc>
        <w:tc>
          <w:tcPr>
            <w:tcW w:w="960" w:type="dxa"/>
            <w:tcBorders>
              <w:top w:val="nil"/>
              <w:left w:val="nil"/>
              <w:bottom w:val="nil"/>
              <w:right w:val="nil"/>
            </w:tcBorders>
            <w:shd w:val="clear" w:color="auto" w:fill="auto"/>
            <w:noWrap/>
            <w:vAlign w:val="bottom"/>
            <w:hideMark/>
          </w:tcPr>
          <w:p w14:paraId="1CB9F55E"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0.002</w:t>
            </w:r>
          </w:p>
        </w:tc>
      </w:tr>
      <w:tr w:rsidR="005508BA" w:rsidRPr="004003F9" w14:paraId="550E422E" w14:textId="77777777" w:rsidTr="005508BA">
        <w:trPr>
          <w:trHeight w:val="290"/>
        </w:trPr>
        <w:tc>
          <w:tcPr>
            <w:tcW w:w="1418" w:type="dxa"/>
            <w:tcBorders>
              <w:top w:val="nil"/>
              <w:left w:val="nil"/>
              <w:bottom w:val="nil"/>
              <w:right w:val="nil"/>
            </w:tcBorders>
            <w:shd w:val="clear" w:color="auto" w:fill="auto"/>
            <w:noWrap/>
            <w:vAlign w:val="bottom"/>
            <w:hideMark/>
          </w:tcPr>
          <w:p w14:paraId="1515FA1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718" w:type="dxa"/>
            <w:tcBorders>
              <w:top w:val="nil"/>
              <w:left w:val="nil"/>
              <w:bottom w:val="nil"/>
              <w:right w:val="nil"/>
            </w:tcBorders>
            <w:shd w:val="clear" w:color="auto" w:fill="auto"/>
            <w:noWrap/>
            <w:vAlign w:val="bottom"/>
            <w:hideMark/>
          </w:tcPr>
          <w:p w14:paraId="072738C5"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0.001</w:t>
            </w:r>
          </w:p>
        </w:tc>
        <w:tc>
          <w:tcPr>
            <w:tcW w:w="960" w:type="dxa"/>
            <w:tcBorders>
              <w:top w:val="nil"/>
              <w:left w:val="nil"/>
              <w:bottom w:val="nil"/>
              <w:right w:val="nil"/>
            </w:tcBorders>
            <w:shd w:val="clear" w:color="auto" w:fill="auto"/>
            <w:noWrap/>
            <w:vAlign w:val="bottom"/>
            <w:hideMark/>
          </w:tcPr>
          <w:p w14:paraId="06B981D6"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0.206</w:t>
            </w:r>
          </w:p>
        </w:tc>
        <w:tc>
          <w:tcPr>
            <w:tcW w:w="960" w:type="dxa"/>
            <w:tcBorders>
              <w:top w:val="nil"/>
              <w:left w:val="nil"/>
              <w:bottom w:val="nil"/>
              <w:right w:val="nil"/>
            </w:tcBorders>
            <w:shd w:val="clear" w:color="auto" w:fill="auto"/>
            <w:noWrap/>
            <w:vAlign w:val="bottom"/>
            <w:hideMark/>
          </w:tcPr>
          <w:p w14:paraId="15B69EE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0.21</w:t>
            </w:r>
          </w:p>
        </w:tc>
        <w:tc>
          <w:tcPr>
            <w:tcW w:w="960" w:type="dxa"/>
            <w:tcBorders>
              <w:top w:val="nil"/>
              <w:left w:val="nil"/>
              <w:bottom w:val="nil"/>
              <w:right w:val="nil"/>
            </w:tcBorders>
            <w:shd w:val="clear" w:color="auto" w:fill="auto"/>
            <w:noWrap/>
            <w:vAlign w:val="bottom"/>
            <w:hideMark/>
          </w:tcPr>
          <w:p w14:paraId="19FB95B5"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9.07</w:t>
            </w:r>
          </w:p>
        </w:tc>
        <w:tc>
          <w:tcPr>
            <w:tcW w:w="960" w:type="dxa"/>
            <w:tcBorders>
              <w:top w:val="nil"/>
              <w:left w:val="nil"/>
              <w:bottom w:val="nil"/>
              <w:right w:val="nil"/>
            </w:tcBorders>
            <w:shd w:val="clear" w:color="auto" w:fill="auto"/>
            <w:noWrap/>
            <w:vAlign w:val="bottom"/>
            <w:hideMark/>
          </w:tcPr>
          <w:p w14:paraId="63AB0FA7"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3.59</w:t>
            </w:r>
          </w:p>
        </w:tc>
        <w:tc>
          <w:tcPr>
            <w:tcW w:w="960" w:type="dxa"/>
            <w:tcBorders>
              <w:top w:val="nil"/>
              <w:left w:val="nil"/>
              <w:bottom w:val="nil"/>
              <w:right w:val="nil"/>
            </w:tcBorders>
            <w:shd w:val="clear" w:color="auto" w:fill="auto"/>
            <w:noWrap/>
            <w:vAlign w:val="bottom"/>
            <w:hideMark/>
          </w:tcPr>
          <w:p w14:paraId="34845DC6"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3F06B849" w14:textId="77777777" w:rsidTr="005508BA">
        <w:trPr>
          <w:trHeight w:val="290"/>
        </w:trPr>
        <w:tc>
          <w:tcPr>
            <w:tcW w:w="1418" w:type="dxa"/>
            <w:tcBorders>
              <w:top w:val="nil"/>
              <w:left w:val="nil"/>
              <w:bottom w:val="nil"/>
              <w:right w:val="nil"/>
            </w:tcBorders>
            <w:shd w:val="clear" w:color="auto" w:fill="auto"/>
            <w:noWrap/>
            <w:vAlign w:val="bottom"/>
            <w:hideMark/>
          </w:tcPr>
          <w:p w14:paraId="1F0DC2F8"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718" w:type="dxa"/>
            <w:tcBorders>
              <w:top w:val="nil"/>
              <w:left w:val="nil"/>
              <w:bottom w:val="nil"/>
              <w:right w:val="nil"/>
            </w:tcBorders>
            <w:shd w:val="clear" w:color="auto" w:fill="auto"/>
            <w:noWrap/>
            <w:vAlign w:val="bottom"/>
            <w:hideMark/>
          </w:tcPr>
          <w:p w14:paraId="6DFD58E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0.003</w:t>
            </w:r>
          </w:p>
        </w:tc>
        <w:tc>
          <w:tcPr>
            <w:tcW w:w="960" w:type="dxa"/>
            <w:tcBorders>
              <w:top w:val="nil"/>
              <w:left w:val="nil"/>
              <w:bottom w:val="nil"/>
              <w:right w:val="nil"/>
            </w:tcBorders>
            <w:shd w:val="clear" w:color="auto" w:fill="auto"/>
            <w:noWrap/>
            <w:vAlign w:val="bottom"/>
            <w:hideMark/>
          </w:tcPr>
          <w:p w14:paraId="2B490B6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0.074</w:t>
            </w:r>
          </w:p>
        </w:tc>
        <w:tc>
          <w:tcPr>
            <w:tcW w:w="960" w:type="dxa"/>
            <w:tcBorders>
              <w:top w:val="nil"/>
              <w:left w:val="nil"/>
              <w:bottom w:val="nil"/>
              <w:right w:val="nil"/>
            </w:tcBorders>
            <w:shd w:val="clear" w:color="auto" w:fill="auto"/>
            <w:noWrap/>
            <w:vAlign w:val="bottom"/>
            <w:hideMark/>
          </w:tcPr>
          <w:p w14:paraId="2C468A8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w:t>
            </w:r>
          </w:p>
        </w:tc>
        <w:tc>
          <w:tcPr>
            <w:tcW w:w="960" w:type="dxa"/>
            <w:tcBorders>
              <w:top w:val="nil"/>
              <w:left w:val="nil"/>
              <w:bottom w:val="nil"/>
              <w:right w:val="nil"/>
            </w:tcBorders>
            <w:shd w:val="clear" w:color="auto" w:fill="auto"/>
            <w:noWrap/>
            <w:vAlign w:val="bottom"/>
            <w:hideMark/>
          </w:tcPr>
          <w:p w14:paraId="293DA51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2.79</w:t>
            </w:r>
          </w:p>
        </w:tc>
        <w:tc>
          <w:tcPr>
            <w:tcW w:w="960" w:type="dxa"/>
            <w:tcBorders>
              <w:top w:val="nil"/>
              <w:left w:val="nil"/>
              <w:bottom w:val="nil"/>
              <w:right w:val="nil"/>
            </w:tcBorders>
            <w:shd w:val="clear" w:color="auto" w:fill="auto"/>
            <w:noWrap/>
            <w:vAlign w:val="bottom"/>
            <w:hideMark/>
          </w:tcPr>
          <w:p w14:paraId="3CF3AF89"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2.29</w:t>
            </w:r>
          </w:p>
        </w:tc>
        <w:tc>
          <w:tcPr>
            <w:tcW w:w="960" w:type="dxa"/>
            <w:tcBorders>
              <w:top w:val="nil"/>
              <w:left w:val="nil"/>
              <w:bottom w:val="nil"/>
              <w:right w:val="nil"/>
            </w:tcBorders>
            <w:shd w:val="clear" w:color="auto" w:fill="auto"/>
            <w:noWrap/>
            <w:vAlign w:val="bottom"/>
            <w:hideMark/>
          </w:tcPr>
          <w:p w14:paraId="6BA1F37B"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0.007</w:t>
            </w:r>
          </w:p>
        </w:tc>
      </w:tr>
      <w:tr w:rsidR="005508BA" w:rsidRPr="004003F9" w14:paraId="5B1E9C74" w14:textId="77777777" w:rsidTr="005508BA">
        <w:trPr>
          <w:trHeight w:val="290"/>
        </w:trPr>
        <w:tc>
          <w:tcPr>
            <w:tcW w:w="1418" w:type="dxa"/>
            <w:tcBorders>
              <w:top w:val="nil"/>
              <w:left w:val="nil"/>
              <w:bottom w:val="nil"/>
              <w:right w:val="nil"/>
            </w:tcBorders>
            <w:shd w:val="clear" w:color="auto" w:fill="auto"/>
            <w:noWrap/>
            <w:vAlign w:val="bottom"/>
            <w:hideMark/>
          </w:tcPr>
          <w:p w14:paraId="7FD8931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718" w:type="dxa"/>
            <w:tcBorders>
              <w:top w:val="nil"/>
              <w:left w:val="nil"/>
              <w:bottom w:val="nil"/>
              <w:right w:val="nil"/>
            </w:tcBorders>
            <w:shd w:val="clear" w:color="auto" w:fill="auto"/>
            <w:noWrap/>
            <w:vAlign w:val="bottom"/>
            <w:hideMark/>
          </w:tcPr>
          <w:p w14:paraId="328F0F7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0.01</w:t>
            </w:r>
          </w:p>
        </w:tc>
        <w:tc>
          <w:tcPr>
            <w:tcW w:w="960" w:type="dxa"/>
            <w:tcBorders>
              <w:top w:val="nil"/>
              <w:left w:val="nil"/>
              <w:bottom w:val="nil"/>
              <w:right w:val="nil"/>
            </w:tcBorders>
            <w:shd w:val="clear" w:color="auto" w:fill="auto"/>
            <w:noWrap/>
            <w:vAlign w:val="bottom"/>
            <w:hideMark/>
          </w:tcPr>
          <w:p w14:paraId="3551919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0.263</w:t>
            </w:r>
          </w:p>
        </w:tc>
        <w:tc>
          <w:tcPr>
            <w:tcW w:w="960" w:type="dxa"/>
            <w:tcBorders>
              <w:top w:val="nil"/>
              <w:left w:val="nil"/>
              <w:bottom w:val="nil"/>
              <w:right w:val="nil"/>
            </w:tcBorders>
            <w:shd w:val="clear" w:color="auto" w:fill="auto"/>
            <w:noWrap/>
            <w:vAlign w:val="bottom"/>
            <w:hideMark/>
          </w:tcPr>
          <w:p w14:paraId="154A1DC7"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0.26</w:t>
            </w:r>
          </w:p>
        </w:tc>
        <w:tc>
          <w:tcPr>
            <w:tcW w:w="960" w:type="dxa"/>
            <w:tcBorders>
              <w:top w:val="nil"/>
              <w:left w:val="nil"/>
              <w:bottom w:val="nil"/>
              <w:right w:val="nil"/>
            </w:tcBorders>
            <w:shd w:val="clear" w:color="auto" w:fill="auto"/>
            <w:noWrap/>
            <w:vAlign w:val="bottom"/>
            <w:hideMark/>
          </w:tcPr>
          <w:p w14:paraId="5765145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12.49</w:t>
            </w:r>
          </w:p>
        </w:tc>
        <w:tc>
          <w:tcPr>
            <w:tcW w:w="960" w:type="dxa"/>
            <w:tcBorders>
              <w:top w:val="nil"/>
              <w:left w:val="nil"/>
              <w:bottom w:val="nil"/>
              <w:right w:val="nil"/>
            </w:tcBorders>
            <w:shd w:val="clear" w:color="auto" w:fill="auto"/>
            <w:noWrap/>
            <w:vAlign w:val="bottom"/>
            <w:hideMark/>
          </w:tcPr>
          <w:p w14:paraId="5BC923A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3.79</w:t>
            </w:r>
          </w:p>
        </w:tc>
        <w:tc>
          <w:tcPr>
            <w:tcW w:w="960" w:type="dxa"/>
            <w:tcBorders>
              <w:top w:val="nil"/>
              <w:left w:val="nil"/>
              <w:bottom w:val="nil"/>
              <w:right w:val="nil"/>
            </w:tcBorders>
            <w:shd w:val="clear" w:color="auto" w:fill="auto"/>
            <w:noWrap/>
            <w:vAlign w:val="bottom"/>
            <w:hideMark/>
          </w:tcPr>
          <w:p w14:paraId="4E6A3275"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7938A475" w14:textId="77777777" w:rsidTr="005508BA">
        <w:trPr>
          <w:trHeight w:val="290"/>
        </w:trPr>
        <w:tc>
          <w:tcPr>
            <w:tcW w:w="6936" w:type="dxa"/>
            <w:gridSpan w:val="7"/>
            <w:tcBorders>
              <w:top w:val="nil"/>
              <w:left w:val="nil"/>
              <w:bottom w:val="nil"/>
              <w:right w:val="nil"/>
            </w:tcBorders>
            <w:shd w:val="clear" w:color="auto" w:fill="D9D9D9" w:themeFill="background1" w:themeFillShade="D9"/>
            <w:noWrap/>
            <w:vAlign w:val="bottom"/>
            <w:hideMark/>
          </w:tcPr>
          <w:p w14:paraId="4064E1D6" w14:textId="77777777" w:rsidR="005508BA" w:rsidRPr="004003F9" w:rsidRDefault="005508BA" w:rsidP="005508BA">
            <w:pPr>
              <w:suppressAutoHyphens w:val="0"/>
              <w:jc w:val="center"/>
              <w:rPr>
                <w:rFonts w:ascii="Calibri" w:hAnsi="Calibri" w:cs="Calibri"/>
                <w:color w:val="000000"/>
                <w:sz w:val="22"/>
                <w:szCs w:val="22"/>
                <w:lang w:val="en-AU" w:eastAsia="en-AU"/>
              </w:rPr>
            </w:pPr>
            <w:r>
              <w:rPr>
                <w:rFonts w:ascii="Calibri" w:hAnsi="Calibri" w:cs="Calibri"/>
                <w:color w:val="000000"/>
                <w:sz w:val="22"/>
                <w:szCs w:val="22"/>
                <w:lang w:val="en-AU" w:eastAsia="en-AU"/>
              </w:rPr>
              <w:t>Separate GPA</w:t>
            </w:r>
          </w:p>
        </w:tc>
      </w:tr>
      <w:tr w:rsidR="005508BA" w:rsidRPr="004003F9" w14:paraId="5ED6E38E" w14:textId="77777777" w:rsidTr="005508BA">
        <w:trPr>
          <w:trHeight w:val="290"/>
        </w:trPr>
        <w:tc>
          <w:tcPr>
            <w:tcW w:w="1418" w:type="dxa"/>
            <w:tcBorders>
              <w:top w:val="nil"/>
              <w:left w:val="nil"/>
              <w:bottom w:val="nil"/>
              <w:right w:val="nil"/>
            </w:tcBorders>
            <w:shd w:val="clear" w:color="auto" w:fill="auto"/>
            <w:noWrap/>
            <w:vAlign w:val="bottom"/>
            <w:hideMark/>
          </w:tcPr>
          <w:p w14:paraId="0D0A14EB"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
        </w:tc>
        <w:tc>
          <w:tcPr>
            <w:tcW w:w="718" w:type="dxa"/>
            <w:tcBorders>
              <w:top w:val="nil"/>
              <w:left w:val="nil"/>
              <w:bottom w:val="nil"/>
              <w:right w:val="nil"/>
            </w:tcBorders>
            <w:shd w:val="clear" w:color="auto" w:fill="auto"/>
            <w:noWrap/>
            <w:vAlign w:val="bottom"/>
            <w:hideMark/>
          </w:tcPr>
          <w:p w14:paraId="56D12AF3"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0.01</w:t>
            </w:r>
          </w:p>
        </w:tc>
        <w:tc>
          <w:tcPr>
            <w:tcW w:w="960" w:type="dxa"/>
            <w:tcBorders>
              <w:top w:val="nil"/>
              <w:left w:val="nil"/>
              <w:bottom w:val="nil"/>
              <w:right w:val="nil"/>
            </w:tcBorders>
            <w:shd w:val="clear" w:color="auto" w:fill="auto"/>
            <w:noWrap/>
            <w:vAlign w:val="bottom"/>
            <w:hideMark/>
          </w:tcPr>
          <w:p w14:paraId="3169933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0.085</w:t>
            </w:r>
          </w:p>
        </w:tc>
        <w:tc>
          <w:tcPr>
            <w:tcW w:w="960" w:type="dxa"/>
            <w:tcBorders>
              <w:top w:val="nil"/>
              <w:left w:val="nil"/>
              <w:bottom w:val="nil"/>
              <w:right w:val="nil"/>
            </w:tcBorders>
            <w:shd w:val="clear" w:color="auto" w:fill="auto"/>
            <w:noWrap/>
            <w:vAlign w:val="bottom"/>
            <w:hideMark/>
          </w:tcPr>
          <w:p w14:paraId="3A4207F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0.09</w:t>
            </w:r>
          </w:p>
        </w:tc>
        <w:tc>
          <w:tcPr>
            <w:tcW w:w="960" w:type="dxa"/>
            <w:tcBorders>
              <w:top w:val="nil"/>
              <w:left w:val="nil"/>
              <w:bottom w:val="nil"/>
              <w:right w:val="nil"/>
            </w:tcBorders>
            <w:shd w:val="clear" w:color="auto" w:fill="auto"/>
            <w:noWrap/>
            <w:vAlign w:val="bottom"/>
            <w:hideMark/>
          </w:tcPr>
          <w:p w14:paraId="1237634C"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3.26</w:t>
            </w:r>
          </w:p>
        </w:tc>
        <w:tc>
          <w:tcPr>
            <w:tcW w:w="960" w:type="dxa"/>
            <w:tcBorders>
              <w:top w:val="nil"/>
              <w:left w:val="nil"/>
              <w:bottom w:val="nil"/>
              <w:right w:val="nil"/>
            </w:tcBorders>
            <w:shd w:val="clear" w:color="auto" w:fill="auto"/>
            <w:noWrap/>
            <w:vAlign w:val="bottom"/>
            <w:hideMark/>
          </w:tcPr>
          <w:p w14:paraId="71E91DA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2.69</w:t>
            </w:r>
          </w:p>
        </w:tc>
        <w:tc>
          <w:tcPr>
            <w:tcW w:w="960" w:type="dxa"/>
            <w:tcBorders>
              <w:top w:val="nil"/>
              <w:left w:val="nil"/>
              <w:bottom w:val="nil"/>
              <w:right w:val="nil"/>
            </w:tcBorders>
            <w:shd w:val="clear" w:color="auto" w:fill="auto"/>
            <w:noWrap/>
            <w:vAlign w:val="bottom"/>
            <w:hideMark/>
          </w:tcPr>
          <w:p w14:paraId="172418C4"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0.002</w:t>
            </w:r>
          </w:p>
        </w:tc>
      </w:tr>
      <w:tr w:rsidR="005508BA" w:rsidRPr="004003F9" w14:paraId="336992DE" w14:textId="77777777" w:rsidTr="005508BA">
        <w:trPr>
          <w:trHeight w:val="290"/>
        </w:trPr>
        <w:tc>
          <w:tcPr>
            <w:tcW w:w="1418" w:type="dxa"/>
            <w:tcBorders>
              <w:top w:val="nil"/>
              <w:left w:val="nil"/>
              <w:bottom w:val="nil"/>
              <w:right w:val="nil"/>
            </w:tcBorders>
            <w:shd w:val="clear" w:color="auto" w:fill="auto"/>
            <w:noWrap/>
            <w:vAlign w:val="bottom"/>
            <w:hideMark/>
          </w:tcPr>
          <w:p w14:paraId="74E49BF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718" w:type="dxa"/>
            <w:tcBorders>
              <w:top w:val="nil"/>
              <w:left w:val="nil"/>
              <w:bottom w:val="nil"/>
              <w:right w:val="nil"/>
            </w:tcBorders>
            <w:shd w:val="clear" w:color="auto" w:fill="auto"/>
            <w:noWrap/>
            <w:vAlign w:val="bottom"/>
            <w:hideMark/>
          </w:tcPr>
          <w:p w14:paraId="013F793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0.025</w:t>
            </w:r>
          </w:p>
        </w:tc>
        <w:tc>
          <w:tcPr>
            <w:tcW w:w="960" w:type="dxa"/>
            <w:tcBorders>
              <w:top w:val="nil"/>
              <w:left w:val="nil"/>
              <w:bottom w:val="nil"/>
              <w:right w:val="nil"/>
            </w:tcBorders>
            <w:shd w:val="clear" w:color="auto" w:fill="auto"/>
            <w:noWrap/>
            <w:vAlign w:val="bottom"/>
            <w:hideMark/>
          </w:tcPr>
          <w:p w14:paraId="7B192464"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0.139</w:t>
            </w:r>
          </w:p>
        </w:tc>
        <w:tc>
          <w:tcPr>
            <w:tcW w:w="960" w:type="dxa"/>
            <w:tcBorders>
              <w:top w:val="nil"/>
              <w:left w:val="nil"/>
              <w:bottom w:val="nil"/>
              <w:right w:val="nil"/>
            </w:tcBorders>
            <w:shd w:val="clear" w:color="auto" w:fill="auto"/>
            <w:noWrap/>
            <w:vAlign w:val="bottom"/>
            <w:hideMark/>
          </w:tcPr>
          <w:p w14:paraId="0E95F72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0.14</w:t>
            </w:r>
          </w:p>
        </w:tc>
        <w:tc>
          <w:tcPr>
            <w:tcW w:w="960" w:type="dxa"/>
            <w:tcBorders>
              <w:top w:val="nil"/>
              <w:left w:val="nil"/>
              <w:bottom w:val="nil"/>
              <w:right w:val="nil"/>
            </w:tcBorders>
            <w:shd w:val="clear" w:color="auto" w:fill="auto"/>
            <w:noWrap/>
            <w:vAlign w:val="bottom"/>
            <w:hideMark/>
          </w:tcPr>
          <w:p w14:paraId="2A369A76"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5.63</w:t>
            </w:r>
          </w:p>
        </w:tc>
        <w:tc>
          <w:tcPr>
            <w:tcW w:w="960" w:type="dxa"/>
            <w:tcBorders>
              <w:top w:val="nil"/>
              <w:left w:val="nil"/>
              <w:bottom w:val="nil"/>
              <w:right w:val="nil"/>
            </w:tcBorders>
            <w:shd w:val="clear" w:color="auto" w:fill="auto"/>
            <w:noWrap/>
            <w:vAlign w:val="bottom"/>
            <w:hideMark/>
          </w:tcPr>
          <w:p w14:paraId="0BD062C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3.74</w:t>
            </w:r>
          </w:p>
        </w:tc>
        <w:tc>
          <w:tcPr>
            <w:tcW w:w="960" w:type="dxa"/>
            <w:tcBorders>
              <w:top w:val="nil"/>
              <w:left w:val="nil"/>
              <w:bottom w:val="nil"/>
              <w:right w:val="nil"/>
            </w:tcBorders>
            <w:shd w:val="clear" w:color="auto" w:fill="auto"/>
            <w:noWrap/>
            <w:vAlign w:val="bottom"/>
            <w:hideMark/>
          </w:tcPr>
          <w:p w14:paraId="546B4CAE"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7F1B8530" w14:textId="77777777" w:rsidTr="005508BA">
        <w:trPr>
          <w:trHeight w:val="290"/>
        </w:trPr>
        <w:tc>
          <w:tcPr>
            <w:tcW w:w="1418" w:type="dxa"/>
            <w:tcBorders>
              <w:top w:val="nil"/>
              <w:left w:val="nil"/>
              <w:bottom w:val="nil"/>
              <w:right w:val="nil"/>
            </w:tcBorders>
            <w:shd w:val="clear" w:color="auto" w:fill="auto"/>
            <w:noWrap/>
            <w:vAlign w:val="bottom"/>
            <w:hideMark/>
          </w:tcPr>
          <w:p w14:paraId="74341873"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718" w:type="dxa"/>
            <w:tcBorders>
              <w:top w:val="nil"/>
              <w:left w:val="nil"/>
              <w:bottom w:val="nil"/>
              <w:right w:val="nil"/>
            </w:tcBorders>
            <w:shd w:val="clear" w:color="auto" w:fill="auto"/>
            <w:noWrap/>
            <w:vAlign w:val="bottom"/>
            <w:hideMark/>
          </w:tcPr>
          <w:p w14:paraId="0D9AF0C3"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0.027</w:t>
            </w:r>
          </w:p>
        </w:tc>
        <w:tc>
          <w:tcPr>
            <w:tcW w:w="960" w:type="dxa"/>
            <w:tcBorders>
              <w:top w:val="nil"/>
              <w:left w:val="nil"/>
              <w:bottom w:val="nil"/>
              <w:right w:val="nil"/>
            </w:tcBorders>
            <w:shd w:val="clear" w:color="auto" w:fill="auto"/>
            <w:noWrap/>
            <w:vAlign w:val="bottom"/>
            <w:hideMark/>
          </w:tcPr>
          <w:p w14:paraId="0C131B6C"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0.196</w:t>
            </w:r>
          </w:p>
        </w:tc>
        <w:tc>
          <w:tcPr>
            <w:tcW w:w="960" w:type="dxa"/>
            <w:tcBorders>
              <w:top w:val="nil"/>
              <w:left w:val="nil"/>
              <w:bottom w:val="nil"/>
              <w:right w:val="nil"/>
            </w:tcBorders>
            <w:shd w:val="clear" w:color="auto" w:fill="auto"/>
            <w:noWrap/>
            <w:vAlign w:val="bottom"/>
            <w:hideMark/>
          </w:tcPr>
          <w:p w14:paraId="540FA2A6"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w:t>
            </w:r>
          </w:p>
        </w:tc>
        <w:tc>
          <w:tcPr>
            <w:tcW w:w="960" w:type="dxa"/>
            <w:tcBorders>
              <w:top w:val="nil"/>
              <w:left w:val="nil"/>
              <w:bottom w:val="nil"/>
              <w:right w:val="nil"/>
            </w:tcBorders>
            <w:shd w:val="clear" w:color="auto" w:fill="auto"/>
            <w:noWrap/>
            <w:vAlign w:val="bottom"/>
            <w:hideMark/>
          </w:tcPr>
          <w:p w14:paraId="76DF9EC8"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8.51</w:t>
            </w:r>
          </w:p>
        </w:tc>
        <w:tc>
          <w:tcPr>
            <w:tcW w:w="960" w:type="dxa"/>
            <w:tcBorders>
              <w:top w:val="nil"/>
              <w:left w:val="nil"/>
              <w:bottom w:val="nil"/>
              <w:right w:val="nil"/>
            </w:tcBorders>
            <w:shd w:val="clear" w:color="auto" w:fill="auto"/>
            <w:noWrap/>
            <w:vAlign w:val="bottom"/>
            <w:hideMark/>
          </w:tcPr>
          <w:p w14:paraId="7BDB4EB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3.37</w:t>
            </w:r>
          </w:p>
        </w:tc>
        <w:tc>
          <w:tcPr>
            <w:tcW w:w="960" w:type="dxa"/>
            <w:tcBorders>
              <w:top w:val="nil"/>
              <w:left w:val="nil"/>
              <w:bottom w:val="nil"/>
              <w:right w:val="nil"/>
            </w:tcBorders>
            <w:shd w:val="clear" w:color="auto" w:fill="auto"/>
            <w:noWrap/>
            <w:vAlign w:val="bottom"/>
            <w:hideMark/>
          </w:tcPr>
          <w:p w14:paraId="2768EB67"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1DAEACDC" w14:textId="77777777" w:rsidTr="005508BA">
        <w:trPr>
          <w:trHeight w:val="290"/>
        </w:trPr>
        <w:tc>
          <w:tcPr>
            <w:tcW w:w="1418" w:type="dxa"/>
            <w:tcBorders>
              <w:top w:val="nil"/>
              <w:left w:val="nil"/>
              <w:right w:val="nil"/>
            </w:tcBorders>
            <w:shd w:val="clear" w:color="auto" w:fill="auto"/>
            <w:noWrap/>
            <w:vAlign w:val="bottom"/>
            <w:hideMark/>
          </w:tcPr>
          <w:p w14:paraId="5DD17A2C"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718" w:type="dxa"/>
            <w:tcBorders>
              <w:top w:val="nil"/>
              <w:left w:val="nil"/>
              <w:right w:val="nil"/>
            </w:tcBorders>
            <w:shd w:val="clear" w:color="auto" w:fill="auto"/>
            <w:noWrap/>
            <w:vAlign w:val="bottom"/>
            <w:hideMark/>
          </w:tcPr>
          <w:p w14:paraId="4848CE03"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0.005</w:t>
            </w:r>
          </w:p>
        </w:tc>
        <w:tc>
          <w:tcPr>
            <w:tcW w:w="960" w:type="dxa"/>
            <w:tcBorders>
              <w:top w:val="nil"/>
              <w:left w:val="nil"/>
              <w:right w:val="nil"/>
            </w:tcBorders>
            <w:shd w:val="clear" w:color="auto" w:fill="auto"/>
            <w:noWrap/>
            <w:vAlign w:val="bottom"/>
            <w:hideMark/>
          </w:tcPr>
          <w:p w14:paraId="2C1435B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0.038</w:t>
            </w:r>
          </w:p>
        </w:tc>
        <w:tc>
          <w:tcPr>
            <w:tcW w:w="960" w:type="dxa"/>
            <w:tcBorders>
              <w:top w:val="nil"/>
              <w:left w:val="nil"/>
              <w:right w:val="nil"/>
            </w:tcBorders>
            <w:shd w:val="clear" w:color="auto" w:fill="auto"/>
            <w:noWrap/>
            <w:vAlign w:val="bottom"/>
            <w:hideMark/>
          </w:tcPr>
          <w:p w14:paraId="1E5E55A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0.04</w:t>
            </w:r>
          </w:p>
        </w:tc>
        <w:tc>
          <w:tcPr>
            <w:tcW w:w="960" w:type="dxa"/>
            <w:tcBorders>
              <w:top w:val="nil"/>
              <w:left w:val="nil"/>
              <w:right w:val="nil"/>
            </w:tcBorders>
            <w:shd w:val="clear" w:color="auto" w:fill="auto"/>
            <w:noWrap/>
            <w:vAlign w:val="bottom"/>
            <w:hideMark/>
          </w:tcPr>
          <w:p w14:paraId="2409824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1.37</w:t>
            </w:r>
          </w:p>
        </w:tc>
        <w:tc>
          <w:tcPr>
            <w:tcW w:w="960" w:type="dxa"/>
            <w:tcBorders>
              <w:top w:val="nil"/>
              <w:left w:val="nil"/>
              <w:right w:val="nil"/>
            </w:tcBorders>
            <w:shd w:val="clear" w:color="auto" w:fill="auto"/>
            <w:noWrap/>
            <w:vAlign w:val="bottom"/>
            <w:hideMark/>
          </w:tcPr>
          <w:p w14:paraId="1BD87D25"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1.44</w:t>
            </w:r>
          </w:p>
        </w:tc>
        <w:tc>
          <w:tcPr>
            <w:tcW w:w="960" w:type="dxa"/>
            <w:tcBorders>
              <w:top w:val="nil"/>
              <w:left w:val="nil"/>
              <w:right w:val="nil"/>
            </w:tcBorders>
            <w:shd w:val="clear" w:color="auto" w:fill="auto"/>
            <w:noWrap/>
            <w:vAlign w:val="bottom"/>
            <w:hideMark/>
          </w:tcPr>
          <w:p w14:paraId="5B45BE9E"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0.077</w:t>
            </w:r>
          </w:p>
        </w:tc>
      </w:tr>
      <w:tr w:rsidR="005508BA" w:rsidRPr="004003F9" w14:paraId="0D13A6F9" w14:textId="77777777" w:rsidTr="005508BA">
        <w:trPr>
          <w:trHeight w:val="290"/>
        </w:trPr>
        <w:tc>
          <w:tcPr>
            <w:tcW w:w="1418" w:type="dxa"/>
            <w:tcBorders>
              <w:top w:val="nil"/>
              <w:left w:val="nil"/>
              <w:bottom w:val="single" w:sz="4" w:space="0" w:color="auto"/>
              <w:right w:val="nil"/>
            </w:tcBorders>
            <w:shd w:val="clear" w:color="auto" w:fill="auto"/>
            <w:noWrap/>
            <w:vAlign w:val="bottom"/>
            <w:hideMark/>
          </w:tcPr>
          <w:p w14:paraId="512A3841"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718" w:type="dxa"/>
            <w:tcBorders>
              <w:top w:val="nil"/>
              <w:left w:val="nil"/>
              <w:bottom w:val="single" w:sz="4" w:space="0" w:color="auto"/>
              <w:right w:val="nil"/>
            </w:tcBorders>
            <w:shd w:val="clear" w:color="auto" w:fill="auto"/>
            <w:noWrap/>
            <w:vAlign w:val="bottom"/>
            <w:hideMark/>
          </w:tcPr>
          <w:p w14:paraId="5BBD08A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0.021</w:t>
            </w:r>
          </w:p>
        </w:tc>
        <w:tc>
          <w:tcPr>
            <w:tcW w:w="960" w:type="dxa"/>
            <w:tcBorders>
              <w:top w:val="nil"/>
              <w:left w:val="nil"/>
              <w:bottom w:val="single" w:sz="4" w:space="0" w:color="auto"/>
              <w:right w:val="nil"/>
            </w:tcBorders>
            <w:shd w:val="clear" w:color="auto" w:fill="auto"/>
            <w:noWrap/>
            <w:vAlign w:val="bottom"/>
            <w:hideMark/>
          </w:tcPr>
          <w:p w14:paraId="7E00DB5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0.184</w:t>
            </w:r>
          </w:p>
        </w:tc>
        <w:tc>
          <w:tcPr>
            <w:tcW w:w="960" w:type="dxa"/>
            <w:tcBorders>
              <w:top w:val="nil"/>
              <w:left w:val="nil"/>
              <w:bottom w:val="single" w:sz="4" w:space="0" w:color="auto"/>
              <w:right w:val="nil"/>
            </w:tcBorders>
            <w:shd w:val="clear" w:color="auto" w:fill="auto"/>
            <w:noWrap/>
            <w:vAlign w:val="bottom"/>
            <w:hideMark/>
          </w:tcPr>
          <w:p w14:paraId="01EC2E38"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0.18</w:t>
            </w:r>
          </w:p>
        </w:tc>
        <w:tc>
          <w:tcPr>
            <w:tcW w:w="960" w:type="dxa"/>
            <w:tcBorders>
              <w:top w:val="nil"/>
              <w:left w:val="nil"/>
              <w:bottom w:val="single" w:sz="4" w:space="0" w:color="auto"/>
              <w:right w:val="nil"/>
            </w:tcBorders>
            <w:shd w:val="clear" w:color="auto" w:fill="auto"/>
            <w:noWrap/>
            <w:vAlign w:val="bottom"/>
            <w:hideMark/>
          </w:tcPr>
          <w:p w14:paraId="5CB5CD1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7.9</w:t>
            </w:r>
          </w:p>
        </w:tc>
        <w:tc>
          <w:tcPr>
            <w:tcW w:w="960" w:type="dxa"/>
            <w:tcBorders>
              <w:top w:val="nil"/>
              <w:left w:val="nil"/>
              <w:bottom w:val="single" w:sz="4" w:space="0" w:color="auto"/>
              <w:right w:val="nil"/>
            </w:tcBorders>
            <w:shd w:val="clear" w:color="auto" w:fill="auto"/>
            <w:noWrap/>
            <w:vAlign w:val="bottom"/>
            <w:hideMark/>
          </w:tcPr>
          <w:p w14:paraId="4589044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4.14</w:t>
            </w:r>
          </w:p>
        </w:tc>
        <w:tc>
          <w:tcPr>
            <w:tcW w:w="960" w:type="dxa"/>
            <w:tcBorders>
              <w:top w:val="nil"/>
              <w:left w:val="nil"/>
              <w:bottom w:val="single" w:sz="4" w:space="0" w:color="auto"/>
              <w:right w:val="nil"/>
            </w:tcBorders>
            <w:shd w:val="clear" w:color="auto" w:fill="auto"/>
            <w:noWrap/>
            <w:vAlign w:val="bottom"/>
            <w:hideMark/>
          </w:tcPr>
          <w:p w14:paraId="347524DB"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bl>
    <w:p w14:paraId="6D697B13" w14:textId="77777777" w:rsidR="00170D34" w:rsidRDefault="00170D34" w:rsidP="00491B6E">
      <w:pPr>
        <w:spacing w:line="480" w:lineRule="auto"/>
      </w:pPr>
    </w:p>
    <w:p w14:paraId="61F2CE4E" w14:textId="77777777" w:rsidR="005508BA" w:rsidRDefault="005508BA" w:rsidP="00491B6E">
      <w:pPr>
        <w:spacing w:line="480" w:lineRule="auto"/>
      </w:pPr>
    </w:p>
    <w:p w14:paraId="15E569EA" w14:textId="77777777" w:rsidR="005508BA" w:rsidRDefault="005508BA" w:rsidP="00491B6E">
      <w:pPr>
        <w:spacing w:line="480" w:lineRule="auto"/>
      </w:pPr>
    </w:p>
    <w:p w14:paraId="5FE6C924" w14:textId="77777777" w:rsidR="005508BA" w:rsidRDefault="005508BA" w:rsidP="00491B6E">
      <w:pPr>
        <w:spacing w:line="480" w:lineRule="auto"/>
      </w:pPr>
    </w:p>
    <w:p w14:paraId="5F66F619" w14:textId="77777777" w:rsidR="005508BA" w:rsidRDefault="005508BA" w:rsidP="00491B6E">
      <w:pPr>
        <w:spacing w:line="480" w:lineRule="auto"/>
      </w:pPr>
    </w:p>
    <w:p w14:paraId="50A1C419" w14:textId="77777777" w:rsidR="005508BA" w:rsidRDefault="005508BA" w:rsidP="00491B6E">
      <w:pPr>
        <w:spacing w:line="480" w:lineRule="auto"/>
      </w:pPr>
    </w:p>
    <w:p w14:paraId="1B8E695B" w14:textId="77777777" w:rsidR="005508BA" w:rsidRDefault="005508BA" w:rsidP="00491B6E">
      <w:pPr>
        <w:spacing w:line="480" w:lineRule="auto"/>
      </w:pPr>
    </w:p>
    <w:p w14:paraId="4C09A929" w14:textId="77777777" w:rsidR="007A4070" w:rsidRDefault="007A4070" w:rsidP="00491B6E">
      <w:pPr>
        <w:spacing w:line="480" w:lineRule="auto"/>
      </w:pPr>
    </w:p>
    <w:p w14:paraId="516F492B" w14:textId="7A8E9C28" w:rsidR="00170D34" w:rsidRDefault="00170D34" w:rsidP="00491B6E">
      <w:pPr>
        <w:spacing w:line="480" w:lineRule="auto"/>
      </w:pPr>
      <w:r>
        <w:t>Substantial differences in disparity (adjusted by landmark numbers) exist among modules</w:t>
      </w:r>
      <w:r w:rsidR="00D77138">
        <w:t xml:space="preserve"> (based on joint GPA)</w:t>
      </w:r>
      <w:r>
        <w:t xml:space="preserve">. </w:t>
      </w:r>
      <w:r w:rsidR="008B3C33">
        <w:t xml:space="preserve">The cranial vault and rostrum contain the greatest disparity, but after size adjustment, the disparity </w:t>
      </w:r>
      <w:r w:rsidR="005508BA">
        <w:t>in</w:t>
      </w:r>
      <w:r w:rsidR="008B3C33">
        <w:t xml:space="preserve"> the vault drops by nearly 60% whereas all other modules experience far less reduction in disparity, such that the rostrum has the greatest disparity after size removal. </w:t>
      </w:r>
    </w:p>
    <w:p w14:paraId="3CD79089" w14:textId="77777777" w:rsidR="007A4070" w:rsidRDefault="007A4070" w:rsidP="00491B6E">
      <w:pPr>
        <w:spacing w:line="480" w:lineRule="auto"/>
      </w:pPr>
    </w:p>
    <w:p w14:paraId="060FC1D2" w14:textId="77777777" w:rsidR="007A4070" w:rsidRDefault="007A4070" w:rsidP="00491B6E">
      <w:pPr>
        <w:spacing w:line="480" w:lineRule="auto"/>
      </w:pPr>
    </w:p>
    <w:p w14:paraId="709BB61D" w14:textId="77777777" w:rsidR="005508BA" w:rsidRDefault="005508BA" w:rsidP="005508BA">
      <w:r>
        <w:rPr>
          <w:b/>
          <w:bCs/>
        </w:rPr>
        <w:lastRenderedPageBreak/>
        <w:t xml:space="preserve">Table 3: </w:t>
      </w:r>
      <w:r>
        <w:t xml:space="preserve">Disparity (measured as Procrustes variance of landmarks divided by number of landmarks) for each module before (Full dataset) and after allometry removal (Residuals), as well as the amount of reduction in disparity as a percentage of the full dataset disparity (% reduction). Disparity values were multiplied by 10,000 for ease of interpretation. </w:t>
      </w:r>
    </w:p>
    <w:p w14:paraId="0AF07BB7" w14:textId="77777777" w:rsidR="005508BA" w:rsidRDefault="005508BA" w:rsidP="005508BA"/>
    <w:tbl>
      <w:tblPr>
        <w:tblW w:w="5347" w:type="dxa"/>
        <w:tblLook w:val="04A0" w:firstRow="1" w:lastRow="0" w:firstColumn="1" w:lastColumn="0" w:noHBand="0" w:noVBand="1"/>
      </w:tblPr>
      <w:tblGrid>
        <w:gridCol w:w="1420"/>
        <w:gridCol w:w="1363"/>
        <w:gridCol w:w="1165"/>
        <w:gridCol w:w="1399"/>
      </w:tblGrid>
      <w:tr w:rsidR="00170D34" w:rsidRPr="004003F9" w14:paraId="6C7CCF12" w14:textId="77777777" w:rsidTr="008B3C33">
        <w:trPr>
          <w:trHeight w:val="290"/>
        </w:trPr>
        <w:tc>
          <w:tcPr>
            <w:tcW w:w="1420" w:type="dxa"/>
            <w:tcBorders>
              <w:top w:val="nil"/>
              <w:left w:val="nil"/>
              <w:bottom w:val="nil"/>
              <w:right w:val="nil"/>
            </w:tcBorders>
            <w:shd w:val="clear" w:color="auto" w:fill="auto"/>
            <w:noWrap/>
            <w:vAlign w:val="bottom"/>
          </w:tcPr>
          <w:p w14:paraId="2BD60FA7" w14:textId="77777777" w:rsidR="00170D34" w:rsidRPr="004003F9" w:rsidRDefault="00170D34" w:rsidP="00170D34">
            <w:pPr>
              <w:suppressAutoHyphens w:val="0"/>
              <w:rPr>
                <w:rFonts w:ascii="Calibri" w:hAnsi="Calibri" w:cs="Calibri"/>
                <w:color w:val="000000"/>
                <w:sz w:val="22"/>
                <w:szCs w:val="22"/>
                <w:lang w:val="en-AU" w:eastAsia="en-AU"/>
              </w:rPr>
            </w:pPr>
          </w:p>
        </w:tc>
        <w:tc>
          <w:tcPr>
            <w:tcW w:w="1363" w:type="dxa"/>
            <w:tcBorders>
              <w:top w:val="nil"/>
              <w:left w:val="nil"/>
              <w:bottom w:val="single" w:sz="4" w:space="0" w:color="auto"/>
              <w:right w:val="nil"/>
            </w:tcBorders>
            <w:shd w:val="clear" w:color="auto" w:fill="auto"/>
            <w:noWrap/>
            <w:vAlign w:val="bottom"/>
          </w:tcPr>
          <w:p w14:paraId="4E2336A9" w14:textId="2028B470"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Full dataset</w:t>
            </w:r>
          </w:p>
        </w:tc>
        <w:tc>
          <w:tcPr>
            <w:tcW w:w="1165" w:type="dxa"/>
            <w:tcBorders>
              <w:top w:val="nil"/>
              <w:left w:val="nil"/>
              <w:bottom w:val="single" w:sz="4" w:space="0" w:color="auto"/>
              <w:right w:val="nil"/>
            </w:tcBorders>
            <w:shd w:val="clear" w:color="auto" w:fill="auto"/>
            <w:noWrap/>
            <w:vAlign w:val="bottom"/>
          </w:tcPr>
          <w:p w14:paraId="37F4C5B1" w14:textId="549EEB1A"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Residuals</w:t>
            </w:r>
          </w:p>
        </w:tc>
        <w:tc>
          <w:tcPr>
            <w:tcW w:w="1399" w:type="dxa"/>
            <w:tcBorders>
              <w:top w:val="nil"/>
              <w:left w:val="nil"/>
              <w:bottom w:val="single" w:sz="4" w:space="0" w:color="auto"/>
              <w:right w:val="nil"/>
            </w:tcBorders>
            <w:vAlign w:val="bottom"/>
          </w:tcPr>
          <w:p w14:paraId="4450D80A" w14:textId="6FAE2A0C"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 reduction</w:t>
            </w:r>
          </w:p>
        </w:tc>
      </w:tr>
      <w:tr w:rsidR="00170D34" w:rsidRPr="004003F9" w14:paraId="2F727F25" w14:textId="76789672" w:rsidTr="008B3C33">
        <w:trPr>
          <w:trHeight w:val="290"/>
        </w:trPr>
        <w:tc>
          <w:tcPr>
            <w:tcW w:w="1420" w:type="dxa"/>
            <w:tcBorders>
              <w:top w:val="nil"/>
              <w:left w:val="nil"/>
              <w:bottom w:val="nil"/>
              <w:right w:val="nil"/>
            </w:tcBorders>
            <w:shd w:val="clear" w:color="auto" w:fill="auto"/>
            <w:noWrap/>
            <w:vAlign w:val="bottom"/>
            <w:hideMark/>
          </w:tcPr>
          <w:p w14:paraId="337F42A2"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
        </w:tc>
        <w:tc>
          <w:tcPr>
            <w:tcW w:w="1363" w:type="dxa"/>
            <w:tcBorders>
              <w:top w:val="single" w:sz="4" w:space="0" w:color="auto"/>
              <w:left w:val="nil"/>
              <w:bottom w:val="nil"/>
              <w:right w:val="nil"/>
            </w:tcBorders>
            <w:shd w:val="clear" w:color="auto" w:fill="auto"/>
            <w:noWrap/>
            <w:vAlign w:val="bottom"/>
            <w:hideMark/>
          </w:tcPr>
          <w:p w14:paraId="342C191E" w14:textId="2804B3C6"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0.107</w:t>
            </w:r>
          </w:p>
        </w:tc>
        <w:tc>
          <w:tcPr>
            <w:tcW w:w="1165" w:type="dxa"/>
            <w:tcBorders>
              <w:top w:val="single" w:sz="4" w:space="0" w:color="auto"/>
              <w:left w:val="nil"/>
              <w:bottom w:val="nil"/>
              <w:right w:val="nil"/>
            </w:tcBorders>
            <w:shd w:val="clear" w:color="auto" w:fill="auto"/>
            <w:noWrap/>
            <w:vAlign w:val="bottom"/>
            <w:hideMark/>
          </w:tcPr>
          <w:p w14:paraId="1ACC6CB1" w14:textId="34D15130"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0.077</w:t>
            </w:r>
          </w:p>
        </w:tc>
        <w:tc>
          <w:tcPr>
            <w:tcW w:w="1399" w:type="dxa"/>
            <w:tcBorders>
              <w:top w:val="single" w:sz="4" w:space="0" w:color="auto"/>
              <w:left w:val="nil"/>
              <w:bottom w:val="nil"/>
              <w:right w:val="nil"/>
            </w:tcBorders>
            <w:vAlign w:val="bottom"/>
          </w:tcPr>
          <w:p w14:paraId="0B309352" w14:textId="5D2462EC"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28</w:t>
            </w:r>
          </w:p>
        </w:tc>
      </w:tr>
      <w:tr w:rsidR="00170D34" w:rsidRPr="004003F9" w14:paraId="6B12B049" w14:textId="619066A9" w:rsidTr="008B3C33">
        <w:trPr>
          <w:trHeight w:val="290"/>
        </w:trPr>
        <w:tc>
          <w:tcPr>
            <w:tcW w:w="1420" w:type="dxa"/>
            <w:tcBorders>
              <w:top w:val="nil"/>
              <w:left w:val="nil"/>
              <w:bottom w:val="nil"/>
              <w:right w:val="nil"/>
            </w:tcBorders>
            <w:shd w:val="clear" w:color="auto" w:fill="auto"/>
            <w:noWrap/>
            <w:vAlign w:val="bottom"/>
            <w:hideMark/>
          </w:tcPr>
          <w:p w14:paraId="568474CC"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1363" w:type="dxa"/>
            <w:tcBorders>
              <w:top w:val="nil"/>
              <w:left w:val="nil"/>
              <w:bottom w:val="nil"/>
              <w:right w:val="nil"/>
            </w:tcBorders>
            <w:shd w:val="clear" w:color="auto" w:fill="auto"/>
            <w:noWrap/>
            <w:vAlign w:val="bottom"/>
            <w:hideMark/>
          </w:tcPr>
          <w:p w14:paraId="3281A574" w14:textId="3FD884C8"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0.082</w:t>
            </w:r>
          </w:p>
        </w:tc>
        <w:tc>
          <w:tcPr>
            <w:tcW w:w="1165" w:type="dxa"/>
            <w:tcBorders>
              <w:top w:val="nil"/>
              <w:left w:val="nil"/>
              <w:bottom w:val="nil"/>
              <w:right w:val="nil"/>
            </w:tcBorders>
            <w:shd w:val="clear" w:color="auto" w:fill="auto"/>
            <w:noWrap/>
            <w:vAlign w:val="bottom"/>
            <w:hideMark/>
          </w:tcPr>
          <w:p w14:paraId="32B529D5" w14:textId="4ACF4D80"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0.065</w:t>
            </w:r>
          </w:p>
        </w:tc>
        <w:tc>
          <w:tcPr>
            <w:tcW w:w="1399" w:type="dxa"/>
            <w:tcBorders>
              <w:top w:val="nil"/>
              <w:left w:val="nil"/>
              <w:bottom w:val="nil"/>
              <w:right w:val="nil"/>
            </w:tcBorders>
            <w:vAlign w:val="bottom"/>
          </w:tcPr>
          <w:p w14:paraId="7BBF523C" w14:textId="0DDCF68E"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20.7</w:t>
            </w:r>
          </w:p>
        </w:tc>
      </w:tr>
      <w:tr w:rsidR="00170D34" w:rsidRPr="004003F9" w14:paraId="37385D32" w14:textId="75C2B6C3" w:rsidTr="008B3C33">
        <w:trPr>
          <w:trHeight w:val="290"/>
        </w:trPr>
        <w:tc>
          <w:tcPr>
            <w:tcW w:w="1420" w:type="dxa"/>
            <w:tcBorders>
              <w:top w:val="nil"/>
              <w:left w:val="nil"/>
              <w:bottom w:val="nil"/>
              <w:right w:val="nil"/>
            </w:tcBorders>
            <w:shd w:val="clear" w:color="auto" w:fill="auto"/>
            <w:noWrap/>
            <w:vAlign w:val="bottom"/>
            <w:hideMark/>
          </w:tcPr>
          <w:p w14:paraId="4701CD8A"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1363" w:type="dxa"/>
            <w:tcBorders>
              <w:top w:val="nil"/>
              <w:left w:val="nil"/>
              <w:bottom w:val="nil"/>
              <w:right w:val="nil"/>
            </w:tcBorders>
            <w:shd w:val="clear" w:color="auto" w:fill="auto"/>
            <w:noWrap/>
            <w:vAlign w:val="bottom"/>
            <w:hideMark/>
          </w:tcPr>
          <w:p w14:paraId="2B370C10" w14:textId="0DA544EE"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0.103</w:t>
            </w:r>
          </w:p>
        </w:tc>
        <w:tc>
          <w:tcPr>
            <w:tcW w:w="1165" w:type="dxa"/>
            <w:tcBorders>
              <w:top w:val="nil"/>
              <w:left w:val="nil"/>
              <w:bottom w:val="nil"/>
              <w:right w:val="nil"/>
            </w:tcBorders>
            <w:shd w:val="clear" w:color="auto" w:fill="auto"/>
            <w:noWrap/>
            <w:vAlign w:val="bottom"/>
            <w:hideMark/>
          </w:tcPr>
          <w:p w14:paraId="79D68EFC" w14:textId="21362276"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0.067</w:t>
            </w:r>
          </w:p>
        </w:tc>
        <w:tc>
          <w:tcPr>
            <w:tcW w:w="1399" w:type="dxa"/>
            <w:tcBorders>
              <w:top w:val="nil"/>
              <w:left w:val="nil"/>
              <w:bottom w:val="nil"/>
              <w:right w:val="nil"/>
            </w:tcBorders>
            <w:vAlign w:val="bottom"/>
          </w:tcPr>
          <w:p w14:paraId="49EA577E" w14:textId="34D4DDE9"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35</w:t>
            </w:r>
          </w:p>
        </w:tc>
      </w:tr>
      <w:tr w:rsidR="00170D34" w:rsidRPr="004003F9" w14:paraId="2DA4D7A0" w14:textId="3E2B51F8" w:rsidTr="008B3C33">
        <w:trPr>
          <w:trHeight w:val="290"/>
        </w:trPr>
        <w:tc>
          <w:tcPr>
            <w:tcW w:w="1420" w:type="dxa"/>
            <w:tcBorders>
              <w:top w:val="nil"/>
              <w:left w:val="nil"/>
              <w:right w:val="nil"/>
            </w:tcBorders>
            <w:shd w:val="clear" w:color="auto" w:fill="auto"/>
            <w:noWrap/>
            <w:vAlign w:val="bottom"/>
            <w:hideMark/>
          </w:tcPr>
          <w:p w14:paraId="085C268D"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1363" w:type="dxa"/>
            <w:tcBorders>
              <w:top w:val="nil"/>
              <w:left w:val="nil"/>
              <w:right w:val="nil"/>
            </w:tcBorders>
            <w:shd w:val="clear" w:color="auto" w:fill="auto"/>
            <w:noWrap/>
            <w:vAlign w:val="bottom"/>
            <w:hideMark/>
          </w:tcPr>
          <w:p w14:paraId="523FAB77" w14:textId="18CAB4FD"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0.114</w:t>
            </w:r>
          </w:p>
        </w:tc>
        <w:tc>
          <w:tcPr>
            <w:tcW w:w="1165" w:type="dxa"/>
            <w:tcBorders>
              <w:top w:val="nil"/>
              <w:left w:val="nil"/>
              <w:right w:val="nil"/>
            </w:tcBorders>
            <w:shd w:val="clear" w:color="auto" w:fill="auto"/>
            <w:noWrap/>
            <w:vAlign w:val="bottom"/>
            <w:hideMark/>
          </w:tcPr>
          <w:p w14:paraId="6FA1CF91" w14:textId="6A425FD9"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0.08</w:t>
            </w:r>
          </w:p>
        </w:tc>
        <w:tc>
          <w:tcPr>
            <w:tcW w:w="1399" w:type="dxa"/>
            <w:tcBorders>
              <w:top w:val="nil"/>
              <w:left w:val="nil"/>
              <w:right w:val="nil"/>
            </w:tcBorders>
            <w:vAlign w:val="bottom"/>
          </w:tcPr>
          <w:p w14:paraId="1EF45EBA" w14:textId="0F640890"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29.8</w:t>
            </w:r>
          </w:p>
        </w:tc>
      </w:tr>
      <w:tr w:rsidR="00170D34" w:rsidRPr="004003F9" w14:paraId="5A4ECE34" w14:textId="1FE2D1ED" w:rsidTr="008B3C33">
        <w:trPr>
          <w:trHeight w:val="290"/>
        </w:trPr>
        <w:tc>
          <w:tcPr>
            <w:tcW w:w="1420" w:type="dxa"/>
            <w:tcBorders>
              <w:top w:val="nil"/>
              <w:left w:val="nil"/>
              <w:bottom w:val="single" w:sz="4" w:space="0" w:color="auto"/>
              <w:right w:val="nil"/>
            </w:tcBorders>
            <w:shd w:val="clear" w:color="auto" w:fill="auto"/>
            <w:noWrap/>
            <w:vAlign w:val="bottom"/>
            <w:hideMark/>
          </w:tcPr>
          <w:p w14:paraId="27F0E8F9"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1363" w:type="dxa"/>
            <w:tcBorders>
              <w:top w:val="nil"/>
              <w:left w:val="nil"/>
              <w:bottom w:val="single" w:sz="4" w:space="0" w:color="auto"/>
              <w:right w:val="nil"/>
            </w:tcBorders>
            <w:shd w:val="clear" w:color="auto" w:fill="auto"/>
            <w:noWrap/>
            <w:vAlign w:val="bottom"/>
            <w:hideMark/>
          </w:tcPr>
          <w:p w14:paraId="602655BF" w14:textId="74F1662C"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0.149</w:t>
            </w:r>
          </w:p>
        </w:tc>
        <w:tc>
          <w:tcPr>
            <w:tcW w:w="1165" w:type="dxa"/>
            <w:tcBorders>
              <w:top w:val="nil"/>
              <w:left w:val="nil"/>
              <w:bottom w:val="single" w:sz="4" w:space="0" w:color="auto"/>
              <w:right w:val="nil"/>
            </w:tcBorders>
            <w:shd w:val="clear" w:color="auto" w:fill="auto"/>
            <w:noWrap/>
            <w:vAlign w:val="bottom"/>
            <w:hideMark/>
          </w:tcPr>
          <w:p w14:paraId="39B4708E" w14:textId="7C4060B3"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0.063</w:t>
            </w:r>
          </w:p>
        </w:tc>
        <w:tc>
          <w:tcPr>
            <w:tcW w:w="1399" w:type="dxa"/>
            <w:tcBorders>
              <w:top w:val="nil"/>
              <w:left w:val="nil"/>
              <w:bottom w:val="single" w:sz="4" w:space="0" w:color="auto"/>
              <w:right w:val="nil"/>
            </w:tcBorders>
            <w:vAlign w:val="bottom"/>
          </w:tcPr>
          <w:p w14:paraId="5B9C2818" w14:textId="4CCAB5A0"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57.7</w:t>
            </w:r>
          </w:p>
        </w:tc>
      </w:tr>
    </w:tbl>
    <w:p w14:paraId="4B999928" w14:textId="77777777" w:rsidR="00170D34" w:rsidRDefault="00170D34" w:rsidP="00491B6E">
      <w:pPr>
        <w:spacing w:line="480" w:lineRule="auto"/>
      </w:pPr>
    </w:p>
    <w:p w14:paraId="184AAB1A" w14:textId="5A8D9544" w:rsidR="00263DD3" w:rsidRPr="00D678AA" w:rsidRDefault="00000000" w:rsidP="00491B6E">
      <w:pPr>
        <w:spacing w:line="480" w:lineRule="auto"/>
      </w:pPr>
      <w:r>
        <w:t xml:space="preserve">As expected, the full dataset had higher levels of integration (high PLS correlation coefficient) and lower modularity (CR coefficient closer to 1) than the shape residual dataset (Fig. </w:t>
      </w:r>
      <w:r w:rsidR="00AC1D7B">
        <w:t>4</w:t>
      </w:r>
      <w:r>
        <w:t>)</w:t>
      </w:r>
      <w:r w:rsidR="00F560B0">
        <w:t xml:space="preserve"> because it contains the co-variation of shape with size</w:t>
      </w:r>
      <w:r>
        <w:t xml:space="preserve">. As we also predicted, size-independent patterns of shape evolution exist in parallel with </w:t>
      </w:r>
      <w:r w:rsidR="00263DD3">
        <w:t>allometric variation of shape</w:t>
      </w:r>
      <w:r>
        <w:t xml:space="preserve">, with greater independence of the cranial modules suggested by the lower r-PLS </w:t>
      </w:r>
      <w:proofErr w:type="gramStart"/>
      <w:r>
        <w:t xml:space="preserve">and </w:t>
      </w:r>
      <w:r w:rsidR="00F74A54">
        <w:t xml:space="preserve"> </w:t>
      </w:r>
      <w:proofErr w:type="spellStart"/>
      <w:r w:rsidR="00F74A54">
        <w:t>and</w:t>
      </w:r>
      <w:proofErr w:type="spellEnd"/>
      <w:proofErr w:type="gramEnd"/>
      <w:r w:rsidR="00F74A54">
        <w:t xml:space="preserve"> higher </w:t>
      </w:r>
      <w:r>
        <w:t xml:space="preserve">CR coefficients of the shape residual dataset. </w:t>
      </w:r>
      <w:bookmarkStart w:id="16" w:name="_Hlk160634476"/>
    </w:p>
    <w:p w14:paraId="11CB85A6" w14:textId="77777777" w:rsidR="00263DD3" w:rsidRDefault="00263DD3">
      <w:pPr>
        <w:spacing w:line="480" w:lineRule="auto"/>
      </w:pPr>
    </w:p>
    <w:p w14:paraId="3BDE9B03" w14:textId="77777777" w:rsidR="00491B6E" w:rsidRDefault="00491B6E" w:rsidP="00491B6E">
      <w:r>
        <w:rPr>
          <w:noProof/>
        </w:rPr>
        <w:lastRenderedPageBreak/>
        <w:drawing>
          <wp:anchor distT="0" distB="0" distL="114300" distR="0" simplePos="0" relativeHeight="251659264" behindDoc="0" locked="0" layoutInCell="0" allowOverlap="1" wp14:anchorId="18E0D5FE" wp14:editId="047E2D8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3"/>
                    <a:stretch>
                      <a:fillRect/>
                    </a:stretch>
                  </pic:blipFill>
                  <pic:spPr bwMode="auto">
                    <a:xfrm>
                      <a:off x="0" y="0"/>
                      <a:ext cx="5943600" cy="5956300"/>
                    </a:xfrm>
                    <a:prstGeom prst="rect">
                      <a:avLst/>
                    </a:prstGeom>
                  </pic:spPr>
                </pic:pic>
              </a:graphicData>
            </a:graphic>
          </wp:anchor>
        </w:drawing>
      </w:r>
    </w:p>
    <w:p w14:paraId="65ED9855" w14:textId="77777777" w:rsidR="00491B6E" w:rsidRDefault="00491B6E" w:rsidP="00491B6E"/>
    <w:p w14:paraId="66F9D157" w14:textId="08F96DCE" w:rsidR="00491B6E" w:rsidRDefault="00491B6E" w:rsidP="00491B6E">
      <w:pPr>
        <w:spacing w:after="200"/>
      </w:pPr>
      <w:bookmarkStart w:id="17" w:name="_heading=h.35nkun2"/>
      <w:bookmarkEnd w:id="17"/>
      <w:r>
        <w:rPr>
          <w:b/>
          <w:color w:val="000000"/>
        </w:rPr>
        <w:t xml:space="preserve">Figure </w:t>
      </w:r>
      <w:r w:rsidR="00127236">
        <w:rPr>
          <w:b/>
          <w:color w:val="000000"/>
        </w:rPr>
        <w:t>4</w:t>
      </w:r>
      <w:r>
        <w:rPr>
          <w:b/>
          <w:color w:val="000000"/>
        </w:rPr>
        <w:t xml:space="preserve">: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 (</w:t>
      </w:r>
      <w:proofErr w:type="spellStart"/>
      <w:proofErr w:type="gramStart"/>
      <w:r>
        <w:t>b,d</w:t>
      </w:r>
      <w:proofErr w:type="spellEnd"/>
      <w:proofErr w:type="gramEnd"/>
      <w:r>
        <w:t>) and shape residual (</w:t>
      </w:r>
      <w:proofErr w:type="spellStart"/>
      <w:r>
        <w:t>c,e</w:t>
      </w:r>
      <w:proofErr w:type="spellEnd"/>
      <w:r>
        <w:t>) datasets. Black curves are the density distribution of coefficients from 1,000 randomly drawn modules and the arrows point to the observed coefficients, which were all significant.</w:t>
      </w:r>
    </w:p>
    <w:p w14:paraId="56178864" w14:textId="77777777" w:rsidR="00491B6E" w:rsidRDefault="00491B6E">
      <w:pPr>
        <w:spacing w:line="480" w:lineRule="auto"/>
      </w:pPr>
    </w:p>
    <w:p w14:paraId="5B22B7AA" w14:textId="77777777" w:rsidR="00491B6E" w:rsidRDefault="00491B6E">
      <w:pPr>
        <w:spacing w:line="480" w:lineRule="auto"/>
      </w:pPr>
    </w:p>
    <w:p w14:paraId="48E64F5B" w14:textId="77777777" w:rsidR="00491B6E" w:rsidRDefault="00491B6E">
      <w:pPr>
        <w:spacing w:line="480" w:lineRule="auto"/>
      </w:pPr>
    </w:p>
    <w:p w14:paraId="470E8050" w14:textId="7F5DE8D9" w:rsidR="00AC1D7B" w:rsidRDefault="00CA4AD8">
      <w:pPr>
        <w:spacing w:line="480" w:lineRule="auto"/>
      </w:pPr>
      <w:r>
        <w:lastRenderedPageBreak/>
        <w:t xml:space="preserve">Assessment of pairwise integration between modules revealed </w:t>
      </w:r>
      <w:r w:rsidR="005B661F">
        <w:t xml:space="preserve">that </w:t>
      </w:r>
      <w:r>
        <w:t xml:space="preserve">integration between the rostrum and the cranial vault was </w:t>
      </w:r>
      <w:r w:rsidR="009F559E">
        <w:t>the highest among all module pairs</w:t>
      </w:r>
      <w:r w:rsidR="00AC1D7B">
        <w:t xml:space="preserve"> (Table </w:t>
      </w:r>
      <w:r w:rsidR="00B12EF6">
        <w:t>4</w:t>
      </w:r>
      <w:r w:rsidR="00AC1D7B">
        <w:t>, lower triangle)</w:t>
      </w:r>
      <w:r w:rsidR="009F559E">
        <w:t xml:space="preserve">. </w:t>
      </w:r>
      <w:r w:rsidR="005508BA">
        <w:t>Unlike the allometry analyses, this is consistent with the</w:t>
      </w:r>
      <w:r w:rsidR="009F559E">
        <w:t xml:space="preserve"> allometric pattern on concomitant rostral elongation with </w:t>
      </w:r>
      <w:r w:rsidR="005508BA">
        <w:t>relative reduction</w:t>
      </w:r>
      <w:r w:rsidR="009F559E">
        <w:t xml:space="preserve"> of the vault (</w:t>
      </w:r>
      <w:r w:rsidR="00AC1D7B">
        <w:t xml:space="preserve">refer to </w:t>
      </w:r>
      <w:r w:rsidR="009F559E">
        <w:t xml:space="preserve">Fig. </w:t>
      </w:r>
      <w:r w:rsidR="00AC1D7B">
        <w:t>3</w:t>
      </w:r>
      <w:r w:rsidR="009F559E">
        <w:t>).</w:t>
      </w:r>
      <w:r w:rsidR="00014915">
        <w:t xml:space="preserve"> Furthermore, the orbital region has high integration values relative to both rostrum and vault, consistent with our prediction that orbital size might also play a role in the evolution of allometric variation.</w:t>
      </w:r>
      <w:r w:rsidR="005508BA">
        <w:t xml:space="preserve"> S</w:t>
      </w:r>
      <w:r w:rsidR="00014915">
        <w:t xml:space="preserve">trong </w:t>
      </w:r>
      <w:r w:rsidR="005508BA">
        <w:t>co-variation</w:t>
      </w:r>
      <w:r w:rsidR="00014915">
        <w:t xml:space="preserve"> between rostrum and basicranium is notable and was not part of our predictions. </w:t>
      </w:r>
    </w:p>
    <w:p w14:paraId="7EE9EF1E" w14:textId="76A85C51" w:rsidR="007F3B28" w:rsidRDefault="005B661F" w:rsidP="005508BA">
      <w:pPr>
        <w:spacing w:line="480" w:lineRule="auto"/>
        <w:ind w:firstLine="720"/>
      </w:pPr>
      <w:r>
        <w:t xml:space="preserve">Removal of size resulted in several </w:t>
      </w:r>
      <w:r w:rsidR="000B6A67">
        <w:t>changes</w:t>
      </w:r>
      <w:r>
        <w:t xml:space="preserve"> in </w:t>
      </w:r>
      <w:r w:rsidR="000B6A67">
        <w:t>r-pls values</w:t>
      </w:r>
      <w:r w:rsidR="00AC1D7B">
        <w:t xml:space="preserve"> (Table </w:t>
      </w:r>
      <w:r w:rsidR="00B12EF6">
        <w:t>4</w:t>
      </w:r>
      <w:r w:rsidR="00AC1D7B">
        <w:t>, upper triangle)</w:t>
      </w:r>
      <w:r>
        <w:t>,</w:t>
      </w:r>
      <w:r w:rsidR="003E4105">
        <w:t xml:space="preserve"> but not </w:t>
      </w:r>
      <w:proofErr w:type="gramStart"/>
      <w:r w:rsidR="003E4105">
        <w:t>all of</w:t>
      </w:r>
      <w:proofErr w:type="gramEnd"/>
      <w:r w:rsidR="003E4105">
        <w:t xml:space="preserve"> these related to reduced integration and only some were</w:t>
      </w:r>
      <w:r>
        <w:t xml:space="preserve"> detected as significant differences in integration strength (Table </w:t>
      </w:r>
      <w:r w:rsidR="00B12EF6">
        <w:t>5</w:t>
      </w:r>
      <w:r>
        <w:t xml:space="preserve">). </w:t>
      </w:r>
      <w:r w:rsidR="0008082D">
        <w:t xml:space="preserve">All </w:t>
      </w:r>
      <w:r w:rsidR="00A71B05">
        <w:t xml:space="preserve">instances of significant integration strength differences relate to </w:t>
      </w:r>
      <w:r w:rsidR="0008082D">
        <w:t xml:space="preserve">the vault </w:t>
      </w:r>
      <w:r w:rsidR="00A71B05">
        <w:t>with</w:t>
      </w:r>
      <w:r w:rsidR="0008082D">
        <w:t xml:space="preserve"> all other modules. The greatest difference in effect size reflects a dramatic drop in integration between </w:t>
      </w:r>
      <w:r w:rsidR="000B6A67">
        <w:t>t</w:t>
      </w:r>
      <w:r w:rsidR="0008082D">
        <w:t xml:space="preserve">he </w:t>
      </w:r>
      <w:r w:rsidR="000B6A67">
        <w:t>v</w:t>
      </w:r>
      <w:r w:rsidR="0008082D">
        <w:t xml:space="preserve">ault and the rostrum, </w:t>
      </w:r>
      <w:r w:rsidR="000B6A67">
        <w:t>followed by a more moderate drop in r-PLS value between vault and orbi</w:t>
      </w:r>
      <w:r w:rsidR="0034292C">
        <w:t xml:space="preserve">ts and vault and molars. Intriguingly, an </w:t>
      </w:r>
      <w:r w:rsidR="0034292C">
        <w:rPr>
          <w:i/>
          <w:iCs/>
        </w:rPr>
        <w:t xml:space="preserve">increase </w:t>
      </w:r>
      <w:r w:rsidR="0034292C">
        <w:t>in integration between vault and basicranium is also</w:t>
      </w:r>
      <w:r w:rsidR="00C124ED">
        <w:t xml:space="preserve"> detected as a</w:t>
      </w:r>
      <w:r w:rsidR="0034292C">
        <w:t xml:space="preserve"> significant</w:t>
      </w:r>
      <w:r w:rsidR="00C124ED">
        <w:t xml:space="preserve"> change in integration strength</w:t>
      </w:r>
      <w:r w:rsidR="0034292C">
        <w:t>, while a very large drop in R-pls value between rostrum and basicranium is just outside the significance cut-off (</w:t>
      </w:r>
      <w:r w:rsidR="00A6497B">
        <w:rPr>
          <w:i/>
          <w:iCs/>
        </w:rPr>
        <w:t>p=</w:t>
      </w:r>
      <w:r w:rsidR="0034292C">
        <w:t>0.06).</w:t>
      </w:r>
    </w:p>
    <w:p w14:paraId="12AF193E" w14:textId="77777777" w:rsidR="005508BA" w:rsidRDefault="005508BA" w:rsidP="005508BA">
      <w:r>
        <w:rPr>
          <w:b/>
          <w:bCs/>
        </w:rPr>
        <w:t xml:space="preserve">Table 4: </w:t>
      </w:r>
      <w:r>
        <w:t xml:space="preserve">phylogenetically informed integration, expressed as r-PLS values, between the full shape (lower triangle) and residual shape (upper triangle) of modules. All r-PLS values were significant at </w:t>
      </w:r>
      <w:r>
        <w:rPr>
          <w:i/>
          <w:iCs/>
        </w:rPr>
        <w:t xml:space="preserve">p </w:t>
      </w:r>
      <w:r>
        <w:t xml:space="preserve">&lt; 0.05 except for the integration between residuals of orbital and molar modules. </w:t>
      </w:r>
      <w:r w:rsidRPr="005508BA">
        <w:rPr>
          <w:highlight w:val="yellow"/>
        </w:rPr>
        <w:t xml:space="preserve">For P-value tables, see </w:t>
      </w:r>
      <w:r w:rsidRPr="005508BA">
        <w:rPr>
          <w:b/>
          <w:bCs/>
          <w:highlight w:val="yellow"/>
        </w:rPr>
        <w:t xml:space="preserve">Supplementary </w:t>
      </w:r>
      <w:r w:rsidRPr="00AC1D7B">
        <w:rPr>
          <w:b/>
          <w:bCs/>
          <w:highlight w:val="yellow"/>
        </w:rPr>
        <w:t>Table X</w:t>
      </w:r>
      <w:r>
        <w:t>. Arrows in the upper triangle indicate whether the r-PLS values of residual integration analyses are higher (</w:t>
      </w:r>
      <w:r w:rsidRPr="00155A92">
        <w:t>↑) or lower (↓) than the full-shape r-PLS values.</w:t>
      </w:r>
      <w:r>
        <w:t xml:space="preserve"> Numbers in the diagonal are landmark numbers for each partition.</w:t>
      </w:r>
    </w:p>
    <w:p w14:paraId="62681EE9" w14:textId="77777777" w:rsidR="005508BA" w:rsidRDefault="005508BA" w:rsidP="005508BA"/>
    <w:tbl>
      <w:tblPr>
        <w:tblStyle w:val="TableGridLight"/>
        <w:tblW w:w="7513" w:type="dxa"/>
        <w:tblLook w:val="04A0" w:firstRow="1" w:lastRow="0" w:firstColumn="1" w:lastColumn="0" w:noHBand="0" w:noVBand="1"/>
      </w:tblPr>
      <w:tblGrid>
        <w:gridCol w:w="1418"/>
        <w:gridCol w:w="1396"/>
        <w:gridCol w:w="1014"/>
        <w:gridCol w:w="1134"/>
        <w:gridCol w:w="1134"/>
        <w:gridCol w:w="1417"/>
      </w:tblGrid>
      <w:tr w:rsidR="005508BA" w:rsidRPr="00B4519F" w14:paraId="2913232E" w14:textId="77777777" w:rsidTr="007A41AF">
        <w:trPr>
          <w:trHeight w:val="290"/>
        </w:trPr>
        <w:tc>
          <w:tcPr>
            <w:tcW w:w="1418" w:type="dxa"/>
            <w:tcBorders>
              <w:bottom w:val="single" w:sz="4" w:space="0" w:color="BFBFBF" w:themeColor="background1" w:themeShade="BF"/>
            </w:tcBorders>
            <w:noWrap/>
            <w:hideMark/>
          </w:tcPr>
          <w:p w14:paraId="4F76C41C" w14:textId="77777777" w:rsidR="005508BA" w:rsidRPr="00B4519F" w:rsidRDefault="005508BA" w:rsidP="007A41AF">
            <w:pPr>
              <w:suppressAutoHyphens w:val="0"/>
              <w:rPr>
                <w:rFonts w:asciiTheme="minorHAnsi" w:hAnsiTheme="minorHAnsi" w:cstheme="minorHAnsi"/>
                <w:sz w:val="22"/>
                <w:szCs w:val="22"/>
                <w:lang w:val="en-AU" w:eastAsia="en-AU"/>
              </w:rPr>
            </w:pPr>
          </w:p>
        </w:tc>
        <w:tc>
          <w:tcPr>
            <w:tcW w:w="1396" w:type="dxa"/>
            <w:tcBorders>
              <w:bottom w:val="single" w:sz="4" w:space="0" w:color="auto"/>
            </w:tcBorders>
            <w:noWrap/>
            <w:hideMark/>
          </w:tcPr>
          <w:p w14:paraId="1A4E3C7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014" w:type="dxa"/>
            <w:tcBorders>
              <w:bottom w:val="single" w:sz="4" w:space="0" w:color="auto"/>
            </w:tcBorders>
            <w:noWrap/>
            <w:hideMark/>
          </w:tcPr>
          <w:p w14:paraId="46736AD7"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134" w:type="dxa"/>
            <w:tcBorders>
              <w:bottom w:val="single" w:sz="4" w:space="0" w:color="auto"/>
            </w:tcBorders>
            <w:noWrap/>
            <w:hideMark/>
          </w:tcPr>
          <w:p w14:paraId="54D6955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134" w:type="dxa"/>
            <w:tcBorders>
              <w:bottom w:val="single" w:sz="4" w:space="0" w:color="auto"/>
            </w:tcBorders>
            <w:noWrap/>
            <w:hideMark/>
          </w:tcPr>
          <w:p w14:paraId="472D1A21"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417" w:type="dxa"/>
            <w:tcBorders>
              <w:bottom w:val="single" w:sz="4" w:space="0" w:color="auto"/>
            </w:tcBorders>
            <w:noWrap/>
            <w:hideMark/>
          </w:tcPr>
          <w:p w14:paraId="28503BC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r>
      <w:tr w:rsidR="005508BA" w:rsidRPr="00B4519F" w14:paraId="15944A37" w14:textId="77777777" w:rsidTr="007A41AF">
        <w:trPr>
          <w:trHeight w:val="290"/>
        </w:trPr>
        <w:tc>
          <w:tcPr>
            <w:tcW w:w="1418" w:type="dxa"/>
            <w:tcBorders>
              <w:right w:val="single" w:sz="4" w:space="0" w:color="auto"/>
            </w:tcBorders>
            <w:noWrap/>
            <w:hideMark/>
          </w:tcPr>
          <w:p w14:paraId="5E397147"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396" w:type="dxa"/>
            <w:tcBorders>
              <w:top w:val="single" w:sz="4" w:space="0" w:color="auto"/>
              <w:left w:val="single" w:sz="4" w:space="0" w:color="auto"/>
            </w:tcBorders>
            <w:shd w:val="clear" w:color="auto" w:fill="D0CECE" w:themeFill="background2" w:themeFillShade="E6"/>
            <w:noWrap/>
            <w:hideMark/>
          </w:tcPr>
          <w:p w14:paraId="5CBB9B44"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64</w:t>
            </w:r>
          </w:p>
        </w:tc>
        <w:tc>
          <w:tcPr>
            <w:tcW w:w="1014" w:type="dxa"/>
            <w:tcBorders>
              <w:top w:val="single" w:sz="4" w:space="0" w:color="auto"/>
            </w:tcBorders>
            <w:noWrap/>
            <w:hideMark/>
          </w:tcPr>
          <w:p w14:paraId="24405DD1"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0.59↓</w:t>
            </w:r>
          </w:p>
        </w:tc>
        <w:tc>
          <w:tcPr>
            <w:tcW w:w="1134" w:type="dxa"/>
            <w:tcBorders>
              <w:top w:val="single" w:sz="4" w:space="0" w:color="auto"/>
            </w:tcBorders>
            <w:noWrap/>
            <w:hideMark/>
          </w:tcPr>
          <w:p w14:paraId="545BD3CC"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w:t>
            </w:r>
          </w:p>
        </w:tc>
        <w:tc>
          <w:tcPr>
            <w:tcW w:w="1134" w:type="dxa"/>
            <w:tcBorders>
              <w:top w:val="single" w:sz="4" w:space="0" w:color="auto"/>
            </w:tcBorders>
            <w:noWrap/>
            <w:hideMark/>
          </w:tcPr>
          <w:p w14:paraId="61D90DC7"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0.71↓</w:t>
            </w:r>
          </w:p>
        </w:tc>
        <w:tc>
          <w:tcPr>
            <w:tcW w:w="1417" w:type="dxa"/>
            <w:tcBorders>
              <w:top w:val="single" w:sz="4" w:space="0" w:color="auto"/>
            </w:tcBorders>
            <w:noWrap/>
            <w:hideMark/>
          </w:tcPr>
          <w:p w14:paraId="5EF26EDF"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r>
      <w:tr w:rsidR="005508BA" w:rsidRPr="00B4519F" w14:paraId="399E430B" w14:textId="77777777" w:rsidTr="007A41AF">
        <w:trPr>
          <w:trHeight w:val="290"/>
        </w:trPr>
        <w:tc>
          <w:tcPr>
            <w:tcW w:w="1418" w:type="dxa"/>
            <w:tcBorders>
              <w:right w:val="single" w:sz="4" w:space="0" w:color="auto"/>
            </w:tcBorders>
            <w:noWrap/>
            <w:hideMark/>
          </w:tcPr>
          <w:p w14:paraId="74EFD45A"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396" w:type="dxa"/>
            <w:tcBorders>
              <w:left w:val="single" w:sz="4" w:space="0" w:color="auto"/>
            </w:tcBorders>
            <w:noWrap/>
            <w:hideMark/>
          </w:tcPr>
          <w:p w14:paraId="2FB27FA0"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c>
          <w:tcPr>
            <w:tcW w:w="1014" w:type="dxa"/>
            <w:shd w:val="clear" w:color="auto" w:fill="D0CECE" w:themeFill="background2" w:themeFillShade="E6"/>
            <w:noWrap/>
            <w:hideMark/>
          </w:tcPr>
          <w:p w14:paraId="6DD6EB93"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19</w:t>
            </w:r>
          </w:p>
        </w:tc>
        <w:tc>
          <w:tcPr>
            <w:tcW w:w="1134" w:type="dxa"/>
            <w:noWrap/>
            <w:hideMark/>
          </w:tcPr>
          <w:p w14:paraId="6918470F"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(0.52) ↓</w:t>
            </w:r>
          </w:p>
        </w:tc>
        <w:tc>
          <w:tcPr>
            <w:tcW w:w="1134" w:type="dxa"/>
            <w:noWrap/>
            <w:hideMark/>
          </w:tcPr>
          <w:p w14:paraId="636AF093"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0.82↑</w:t>
            </w:r>
          </w:p>
        </w:tc>
        <w:tc>
          <w:tcPr>
            <w:tcW w:w="1417" w:type="dxa"/>
            <w:noWrap/>
            <w:hideMark/>
          </w:tcPr>
          <w:p w14:paraId="189C2759"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r>
      <w:tr w:rsidR="005508BA" w:rsidRPr="00B4519F" w14:paraId="2A58BAC7" w14:textId="77777777" w:rsidTr="007A41AF">
        <w:trPr>
          <w:trHeight w:val="290"/>
        </w:trPr>
        <w:tc>
          <w:tcPr>
            <w:tcW w:w="1418" w:type="dxa"/>
            <w:tcBorders>
              <w:right w:val="single" w:sz="4" w:space="0" w:color="auto"/>
            </w:tcBorders>
            <w:noWrap/>
            <w:hideMark/>
          </w:tcPr>
          <w:p w14:paraId="077EE24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396" w:type="dxa"/>
            <w:tcBorders>
              <w:left w:val="single" w:sz="4" w:space="0" w:color="auto"/>
            </w:tcBorders>
            <w:noWrap/>
            <w:hideMark/>
          </w:tcPr>
          <w:p w14:paraId="29BC6DA1"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014" w:type="dxa"/>
            <w:noWrap/>
            <w:hideMark/>
          </w:tcPr>
          <w:p w14:paraId="3CC6822B"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0.70</w:t>
            </w:r>
          </w:p>
        </w:tc>
        <w:tc>
          <w:tcPr>
            <w:tcW w:w="1134" w:type="dxa"/>
            <w:shd w:val="clear" w:color="auto" w:fill="D0CECE" w:themeFill="background2" w:themeFillShade="E6"/>
            <w:noWrap/>
            <w:hideMark/>
          </w:tcPr>
          <w:p w14:paraId="267C8CCE"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32</w:t>
            </w:r>
          </w:p>
        </w:tc>
        <w:tc>
          <w:tcPr>
            <w:tcW w:w="1134" w:type="dxa"/>
            <w:noWrap/>
            <w:hideMark/>
          </w:tcPr>
          <w:p w14:paraId="133284DE"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0.76↓</w:t>
            </w:r>
          </w:p>
        </w:tc>
        <w:tc>
          <w:tcPr>
            <w:tcW w:w="1417" w:type="dxa"/>
            <w:noWrap/>
            <w:hideMark/>
          </w:tcPr>
          <w:p w14:paraId="141FFDCF"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r>
      <w:tr w:rsidR="005508BA" w:rsidRPr="00B4519F" w14:paraId="721D1CD6" w14:textId="77777777" w:rsidTr="007A41AF">
        <w:trPr>
          <w:trHeight w:val="290"/>
        </w:trPr>
        <w:tc>
          <w:tcPr>
            <w:tcW w:w="1418" w:type="dxa"/>
            <w:tcBorders>
              <w:right w:val="single" w:sz="4" w:space="0" w:color="auto"/>
            </w:tcBorders>
            <w:noWrap/>
            <w:hideMark/>
          </w:tcPr>
          <w:p w14:paraId="29023032"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396" w:type="dxa"/>
            <w:tcBorders>
              <w:left w:val="single" w:sz="4" w:space="0" w:color="auto"/>
            </w:tcBorders>
            <w:noWrap/>
            <w:hideMark/>
          </w:tcPr>
          <w:p w14:paraId="53FFC814"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0.89</w:t>
            </w:r>
          </w:p>
        </w:tc>
        <w:tc>
          <w:tcPr>
            <w:tcW w:w="1014" w:type="dxa"/>
            <w:noWrap/>
            <w:hideMark/>
          </w:tcPr>
          <w:p w14:paraId="16AB7FE9"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4C56BC8D"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0.86</w:t>
            </w:r>
          </w:p>
        </w:tc>
        <w:tc>
          <w:tcPr>
            <w:tcW w:w="1134" w:type="dxa"/>
            <w:shd w:val="clear" w:color="auto" w:fill="D0CECE" w:themeFill="background2" w:themeFillShade="E6"/>
            <w:noWrap/>
            <w:hideMark/>
          </w:tcPr>
          <w:p w14:paraId="368C3BD3"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86</w:t>
            </w:r>
          </w:p>
        </w:tc>
        <w:tc>
          <w:tcPr>
            <w:tcW w:w="1417" w:type="dxa"/>
            <w:noWrap/>
            <w:hideMark/>
          </w:tcPr>
          <w:p w14:paraId="3CDFD5E2"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0.79↓</w:t>
            </w:r>
          </w:p>
        </w:tc>
      </w:tr>
      <w:tr w:rsidR="005508BA" w:rsidRPr="00B4519F" w14:paraId="12813DFE" w14:textId="77777777" w:rsidTr="007A41AF">
        <w:trPr>
          <w:trHeight w:val="290"/>
        </w:trPr>
        <w:tc>
          <w:tcPr>
            <w:tcW w:w="1418" w:type="dxa"/>
            <w:tcBorders>
              <w:right w:val="single" w:sz="4" w:space="0" w:color="auto"/>
            </w:tcBorders>
            <w:noWrap/>
            <w:hideMark/>
          </w:tcPr>
          <w:p w14:paraId="61E8207F"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c>
          <w:tcPr>
            <w:tcW w:w="1396" w:type="dxa"/>
            <w:tcBorders>
              <w:left w:val="single" w:sz="4" w:space="0" w:color="auto"/>
            </w:tcBorders>
            <w:noWrap/>
            <w:hideMark/>
          </w:tcPr>
          <w:p w14:paraId="21339190"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c>
          <w:tcPr>
            <w:tcW w:w="1014" w:type="dxa"/>
            <w:noWrap/>
            <w:hideMark/>
          </w:tcPr>
          <w:p w14:paraId="52640A97"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62F7356B"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c>
          <w:tcPr>
            <w:tcW w:w="1134" w:type="dxa"/>
            <w:noWrap/>
            <w:hideMark/>
          </w:tcPr>
          <w:p w14:paraId="40C93FA9"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0.94</w:t>
            </w:r>
          </w:p>
        </w:tc>
        <w:tc>
          <w:tcPr>
            <w:tcW w:w="1417" w:type="dxa"/>
            <w:shd w:val="clear" w:color="auto" w:fill="D0CECE" w:themeFill="background2" w:themeFillShade="E6"/>
            <w:noWrap/>
            <w:hideMark/>
          </w:tcPr>
          <w:p w14:paraId="039BFE8E"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124</w:t>
            </w:r>
          </w:p>
        </w:tc>
      </w:tr>
    </w:tbl>
    <w:p w14:paraId="732DA8F6" w14:textId="77777777" w:rsidR="007F3B28" w:rsidRDefault="007F3B28">
      <w:r>
        <w:br w:type="page"/>
      </w:r>
    </w:p>
    <w:p w14:paraId="224B90E4" w14:textId="77777777" w:rsidR="00491B6E" w:rsidRDefault="00491B6E" w:rsidP="00491B6E">
      <w:pPr>
        <w:rPr>
          <w:b/>
          <w:bCs/>
        </w:rPr>
      </w:pPr>
    </w:p>
    <w:p w14:paraId="1BF35676" w14:textId="26CAA542" w:rsidR="005B661F" w:rsidRDefault="007F3B28" w:rsidP="007F3B28">
      <w:r>
        <w:rPr>
          <w:b/>
          <w:bCs/>
        </w:rPr>
        <w:t xml:space="preserve">Table </w:t>
      </w:r>
      <w:r w:rsidR="00B12EF6">
        <w:rPr>
          <w:b/>
          <w:bCs/>
        </w:rPr>
        <w:t>5</w:t>
      </w:r>
      <w:r>
        <w:rPr>
          <w:b/>
          <w:bCs/>
        </w:rPr>
        <w:t xml:space="preserve">: </w:t>
      </w:r>
      <w:r>
        <w:t>Integration strength comparisons between pairs of modules, including effect sizes (Z) and significance of strength differences (</w:t>
      </w:r>
      <w:r>
        <w:rPr>
          <w:i/>
          <w:iCs/>
        </w:rPr>
        <w:t>p</w:t>
      </w:r>
      <w:r>
        <w:t>).</w:t>
      </w:r>
    </w:p>
    <w:p w14:paraId="5B54D935" w14:textId="77777777" w:rsidR="007F3B28" w:rsidRDefault="007F3B28" w:rsidP="007F3B28"/>
    <w:tbl>
      <w:tblPr>
        <w:tblStyle w:val="TableGridLight"/>
        <w:tblW w:w="6255" w:type="dxa"/>
        <w:tblInd w:w="-147" w:type="dxa"/>
        <w:tblLook w:val="04A0" w:firstRow="1" w:lastRow="0" w:firstColumn="1" w:lastColumn="0" w:noHBand="0" w:noVBand="1"/>
      </w:tblPr>
      <w:tblGrid>
        <w:gridCol w:w="2274"/>
        <w:gridCol w:w="653"/>
        <w:gridCol w:w="1189"/>
        <w:gridCol w:w="1418"/>
        <w:gridCol w:w="721"/>
      </w:tblGrid>
      <w:tr w:rsidR="005B661F" w:rsidRPr="005B661F" w14:paraId="61CA3C28" w14:textId="77777777" w:rsidTr="00AC1D7B">
        <w:trPr>
          <w:trHeight w:val="290"/>
        </w:trPr>
        <w:tc>
          <w:tcPr>
            <w:tcW w:w="2274" w:type="dxa"/>
            <w:tcBorders>
              <w:bottom w:val="single" w:sz="4" w:space="0" w:color="auto"/>
            </w:tcBorders>
            <w:noWrap/>
            <w:hideMark/>
          </w:tcPr>
          <w:p w14:paraId="50577E5A" w14:textId="77777777" w:rsidR="005B661F" w:rsidRPr="005B661F" w:rsidRDefault="005B661F" w:rsidP="005B661F">
            <w:pPr>
              <w:suppressAutoHyphens w:val="0"/>
              <w:rPr>
                <w:lang w:val="en-AU" w:eastAsia="en-AU"/>
              </w:rPr>
            </w:pPr>
          </w:p>
        </w:tc>
        <w:tc>
          <w:tcPr>
            <w:tcW w:w="653" w:type="dxa"/>
            <w:tcBorders>
              <w:bottom w:val="single" w:sz="4" w:space="0" w:color="auto"/>
            </w:tcBorders>
            <w:noWrap/>
            <w:hideMark/>
          </w:tcPr>
          <w:p w14:paraId="479727A0"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full</w:t>
            </w:r>
          </w:p>
        </w:tc>
        <w:tc>
          <w:tcPr>
            <w:tcW w:w="1189" w:type="dxa"/>
            <w:tcBorders>
              <w:bottom w:val="single" w:sz="4" w:space="0" w:color="auto"/>
            </w:tcBorders>
            <w:noWrap/>
            <w:hideMark/>
          </w:tcPr>
          <w:p w14:paraId="0CD7F24E"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residual</w:t>
            </w:r>
          </w:p>
        </w:tc>
        <w:tc>
          <w:tcPr>
            <w:tcW w:w="1418" w:type="dxa"/>
            <w:tcBorders>
              <w:bottom w:val="single" w:sz="4" w:space="0" w:color="auto"/>
            </w:tcBorders>
            <w:noWrap/>
            <w:hideMark/>
          </w:tcPr>
          <w:p w14:paraId="53775142"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difference</w:t>
            </w:r>
          </w:p>
        </w:tc>
        <w:tc>
          <w:tcPr>
            <w:tcW w:w="721" w:type="dxa"/>
            <w:tcBorders>
              <w:bottom w:val="single" w:sz="4" w:space="0" w:color="auto"/>
            </w:tcBorders>
            <w:noWrap/>
            <w:hideMark/>
          </w:tcPr>
          <w:p w14:paraId="2375304A" w14:textId="77777777" w:rsidR="005B661F" w:rsidRPr="005B661F" w:rsidRDefault="005B661F" w:rsidP="005B661F">
            <w:pPr>
              <w:suppressAutoHyphens w:val="0"/>
              <w:rPr>
                <w:rFonts w:ascii="Calibri" w:hAnsi="Calibri" w:cs="Calibri"/>
                <w:i/>
                <w:iCs/>
                <w:color w:val="000000"/>
                <w:sz w:val="22"/>
                <w:szCs w:val="22"/>
                <w:lang w:val="en-AU" w:eastAsia="en-AU"/>
              </w:rPr>
            </w:pPr>
            <w:r w:rsidRPr="005B661F">
              <w:rPr>
                <w:rFonts w:ascii="Calibri" w:hAnsi="Calibri" w:cs="Calibri"/>
                <w:i/>
                <w:iCs/>
                <w:color w:val="000000"/>
                <w:sz w:val="22"/>
                <w:szCs w:val="22"/>
                <w:lang w:val="en-AU" w:eastAsia="en-AU"/>
              </w:rPr>
              <w:t>p</w:t>
            </w:r>
          </w:p>
        </w:tc>
      </w:tr>
      <w:tr w:rsidR="005B661F" w:rsidRPr="005B661F" w14:paraId="33BE5ECF" w14:textId="77777777" w:rsidTr="00AC1D7B">
        <w:trPr>
          <w:trHeight w:val="290"/>
        </w:trPr>
        <w:tc>
          <w:tcPr>
            <w:tcW w:w="2274" w:type="dxa"/>
            <w:tcBorders>
              <w:top w:val="single" w:sz="4" w:space="0" w:color="auto"/>
            </w:tcBorders>
            <w:noWrap/>
            <w:hideMark/>
          </w:tcPr>
          <w:p w14:paraId="2672A9FE" w14:textId="40EC705E"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molar</w:t>
            </w:r>
          </w:p>
        </w:tc>
        <w:tc>
          <w:tcPr>
            <w:tcW w:w="653" w:type="dxa"/>
            <w:tcBorders>
              <w:top w:val="single" w:sz="4" w:space="0" w:color="auto"/>
            </w:tcBorders>
            <w:noWrap/>
            <w:hideMark/>
          </w:tcPr>
          <w:p w14:paraId="17F0387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3.34</w:t>
            </w:r>
          </w:p>
        </w:tc>
        <w:tc>
          <w:tcPr>
            <w:tcW w:w="1189" w:type="dxa"/>
            <w:tcBorders>
              <w:top w:val="single" w:sz="4" w:space="0" w:color="auto"/>
            </w:tcBorders>
            <w:noWrap/>
            <w:hideMark/>
          </w:tcPr>
          <w:p w14:paraId="75B3C443"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2.25</w:t>
            </w:r>
          </w:p>
        </w:tc>
        <w:tc>
          <w:tcPr>
            <w:tcW w:w="1418" w:type="dxa"/>
            <w:tcBorders>
              <w:top w:val="single" w:sz="4" w:space="0" w:color="auto"/>
            </w:tcBorders>
            <w:noWrap/>
            <w:hideMark/>
          </w:tcPr>
          <w:p w14:paraId="0C7D28A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0.86</w:t>
            </w:r>
          </w:p>
        </w:tc>
        <w:tc>
          <w:tcPr>
            <w:tcW w:w="721" w:type="dxa"/>
            <w:tcBorders>
              <w:top w:val="single" w:sz="4" w:space="0" w:color="auto"/>
            </w:tcBorders>
            <w:noWrap/>
            <w:hideMark/>
          </w:tcPr>
          <w:p w14:paraId="388DD20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0.388</w:t>
            </w:r>
          </w:p>
        </w:tc>
      </w:tr>
      <w:tr w:rsidR="005B661F" w:rsidRPr="005B661F" w14:paraId="0A00F1CE" w14:textId="77777777" w:rsidTr="00AC1D7B">
        <w:trPr>
          <w:trHeight w:val="290"/>
        </w:trPr>
        <w:tc>
          <w:tcPr>
            <w:tcW w:w="2274" w:type="dxa"/>
            <w:noWrap/>
            <w:hideMark/>
          </w:tcPr>
          <w:p w14:paraId="2947FB00" w14:textId="09C415DD"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orbital</w:t>
            </w:r>
          </w:p>
        </w:tc>
        <w:tc>
          <w:tcPr>
            <w:tcW w:w="653" w:type="dxa"/>
            <w:noWrap/>
            <w:hideMark/>
          </w:tcPr>
          <w:p w14:paraId="4974F3A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4.16</w:t>
            </w:r>
          </w:p>
        </w:tc>
        <w:tc>
          <w:tcPr>
            <w:tcW w:w="1189" w:type="dxa"/>
            <w:noWrap/>
            <w:hideMark/>
          </w:tcPr>
          <w:p w14:paraId="26B37661"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418" w:type="dxa"/>
            <w:noWrap/>
            <w:hideMark/>
          </w:tcPr>
          <w:p w14:paraId="4DD129A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0.63</w:t>
            </w:r>
          </w:p>
        </w:tc>
        <w:tc>
          <w:tcPr>
            <w:tcW w:w="721" w:type="dxa"/>
            <w:noWrap/>
            <w:hideMark/>
          </w:tcPr>
          <w:p w14:paraId="6C36B6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0.526</w:t>
            </w:r>
          </w:p>
        </w:tc>
      </w:tr>
      <w:tr w:rsidR="005B661F" w:rsidRPr="005B661F" w14:paraId="2FEC9B49" w14:textId="77777777" w:rsidTr="00AC1D7B">
        <w:trPr>
          <w:trHeight w:val="290"/>
        </w:trPr>
        <w:tc>
          <w:tcPr>
            <w:tcW w:w="2274" w:type="dxa"/>
            <w:noWrap/>
            <w:hideMark/>
          </w:tcPr>
          <w:p w14:paraId="61491186" w14:textId="63279F0B"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rostrum</w:t>
            </w:r>
          </w:p>
        </w:tc>
        <w:tc>
          <w:tcPr>
            <w:tcW w:w="653" w:type="dxa"/>
            <w:noWrap/>
            <w:hideMark/>
          </w:tcPr>
          <w:p w14:paraId="4B322988"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4.29</w:t>
            </w:r>
          </w:p>
        </w:tc>
        <w:tc>
          <w:tcPr>
            <w:tcW w:w="1189" w:type="dxa"/>
            <w:noWrap/>
            <w:hideMark/>
          </w:tcPr>
          <w:p w14:paraId="5E7016C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2.98</w:t>
            </w:r>
          </w:p>
        </w:tc>
        <w:tc>
          <w:tcPr>
            <w:tcW w:w="1418" w:type="dxa"/>
            <w:noWrap/>
            <w:hideMark/>
          </w:tcPr>
          <w:p w14:paraId="0D27B2D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1.88</w:t>
            </w:r>
          </w:p>
        </w:tc>
        <w:tc>
          <w:tcPr>
            <w:tcW w:w="721" w:type="dxa"/>
            <w:noWrap/>
            <w:hideMark/>
          </w:tcPr>
          <w:p w14:paraId="470543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0.06</w:t>
            </w:r>
          </w:p>
        </w:tc>
      </w:tr>
      <w:tr w:rsidR="005B661F" w:rsidRPr="005B661F" w14:paraId="50C9D79C" w14:textId="77777777" w:rsidTr="00AC1D7B">
        <w:trPr>
          <w:trHeight w:val="290"/>
        </w:trPr>
        <w:tc>
          <w:tcPr>
            <w:tcW w:w="2274" w:type="dxa"/>
            <w:noWrap/>
            <w:hideMark/>
          </w:tcPr>
          <w:p w14:paraId="230DFAA4" w14:textId="447286B7" w:rsidR="005B661F" w:rsidRPr="005B661F" w:rsidRDefault="00AC1D7B" w:rsidP="005B661F">
            <w:pPr>
              <w:suppressAutoHyphens w:val="0"/>
              <w:rPr>
                <w:rFonts w:ascii="Calibri" w:hAnsi="Calibri" w:cs="Calibri"/>
                <w:b/>
                <w:bCs/>
                <w:color w:val="000000"/>
                <w:sz w:val="22"/>
                <w:szCs w:val="22"/>
                <w:lang w:val="en-AU" w:eastAsia="en-AU"/>
              </w:rPr>
            </w:pPr>
            <w:r>
              <w:rPr>
                <w:rFonts w:ascii="Calibri" w:hAnsi="Calibri" w:cs="Calibri"/>
                <w:b/>
                <w:bCs/>
                <w:color w:val="000000"/>
                <w:sz w:val="22"/>
                <w:szCs w:val="22"/>
                <w:lang w:val="en-AU" w:eastAsia="en-AU"/>
              </w:rPr>
              <w:t>basicranium</w:t>
            </w:r>
            <w:r w:rsidR="005B661F" w:rsidRPr="005B661F">
              <w:rPr>
                <w:rFonts w:ascii="Calibri" w:hAnsi="Calibri" w:cs="Calibri"/>
                <w:b/>
                <w:bCs/>
                <w:color w:val="000000"/>
                <w:sz w:val="22"/>
                <w:szCs w:val="22"/>
                <w:lang w:val="en-AU" w:eastAsia="en-AU"/>
              </w:rPr>
              <w:t xml:space="preserve"> x vault</w:t>
            </w:r>
          </w:p>
        </w:tc>
        <w:tc>
          <w:tcPr>
            <w:tcW w:w="653" w:type="dxa"/>
            <w:noWrap/>
            <w:hideMark/>
          </w:tcPr>
          <w:p w14:paraId="6A5525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3.93</w:t>
            </w:r>
          </w:p>
        </w:tc>
        <w:tc>
          <w:tcPr>
            <w:tcW w:w="1189" w:type="dxa"/>
            <w:noWrap/>
            <w:hideMark/>
          </w:tcPr>
          <w:p w14:paraId="5F7DCAE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4.89</w:t>
            </w:r>
          </w:p>
        </w:tc>
        <w:tc>
          <w:tcPr>
            <w:tcW w:w="1418" w:type="dxa"/>
            <w:noWrap/>
            <w:hideMark/>
          </w:tcPr>
          <w:p w14:paraId="77DF274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2.11</w:t>
            </w:r>
          </w:p>
        </w:tc>
        <w:tc>
          <w:tcPr>
            <w:tcW w:w="721" w:type="dxa"/>
            <w:noWrap/>
            <w:hideMark/>
          </w:tcPr>
          <w:p w14:paraId="46F2198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0.035</w:t>
            </w:r>
          </w:p>
        </w:tc>
      </w:tr>
      <w:tr w:rsidR="005B661F" w:rsidRPr="005B661F" w14:paraId="450295B9" w14:textId="77777777" w:rsidTr="00AC1D7B">
        <w:trPr>
          <w:trHeight w:val="290"/>
        </w:trPr>
        <w:tc>
          <w:tcPr>
            <w:tcW w:w="2274" w:type="dxa"/>
            <w:noWrap/>
            <w:hideMark/>
          </w:tcPr>
          <w:p w14:paraId="6A6162C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orbital</w:t>
            </w:r>
          </w:p>
        </w:tc>
        <w:tc>
          <w:tcPr>
            <w:tcW w:w="653" w:type="dxa"/>
            <w:noWrap/>
            <w:hideMark/>
          </w:tcPr>
          <w:p w14:paraId="35171D5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3.09</w:t>
            </w:r>
          </w:p>
        </w:tc>
        <w:tc>
          <w:tcPr>
            <w:tcW w:w="1189" w:type="dxa"/>
            <w:noWrap/>
            <w:hideMark/>
          </w:tcPr>
          <w:p w14:paraId="52CE9E6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1.44</w:t>
            </w:r>
          </w:p>
        </w:tc>
        <w:tc>
          <w:tcPr>
            <w:tcW w:w="1418" w:type="dxa"/>
            <w:noWrap/>
            <w:hideMark/>
          </w:tcPr>
          <w:p w14:paraId="5B9EB30C"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1.23</w:t>
            </w:r>
          </w:p>
        </w:tc>
        <w:tc>
          <w:tcPr>
            <w:tcW w:w="721" w:type="dxa"/>
            <w:noWrap/>
            <w:hideMark/>
          </w:tcPr>
          <w:p w14:paraId="7247BBF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0.217</w:t>
            </w:r>
          </w:p>
        </w:tc>
      </w:tr>
      <w:tr w:rsidR="005B661F" w:rsidRPr="005B661F" w14:paraId="283A7459" w14:textId="77777777" w:rsidTr="00AC1D7B">
        <w:trPr>
          <w:trHeight w:val="290"/>
        </w:trPr>
        <w:tc>
          <w:tcPr>
            <w:tcW w:w="2274" w:type="dxa"/>
            <w:noWrap/>
            <w:hideMark/>
          </w:tcPr>
          <w:p w14:paraId="0F36AD7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rostrum</w:t>
            </w:r>
          </w:p>
        </w:tc>
        <w:tc>
          <w:tcPr>
            <w:tcW w:w="653" w:type="dxa"/>
            <w:noWrap/>
            <w:hideMark/>
          </w:tcPr>
          <w:p w14:paraId="3FA90D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3.81</w:t>
            </w:r>
          </w:p>
        </w:tc>
        <w:tc>
          <w:tcPr>
            <w:tcW w:w="1189" w:type="dxa"/>
            <w:noWrap/>
            <w:hideMark/>
          </w:tcPr>
          <w:p w14:paraId="53745FE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4.24</w:t>
            </w:r>
          </w:p>
        </w:tc>
        <w:tc>
          <w:tcPr>
            <w:tcW w:w="1418" w:type="dxa"/>
            <w:noWrap/>
            <w:hideMark/>
          </w:tcPr>
          <w:p w14:paraId="32908DF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0.45</w:t>
            </w:r>
          </w:p>
        </w:tc>
        <w:tc>
          <w:tcPr>
            <w:tcW w:w="721" w:type="dxa"/>
            <w:noWrap/>
            <w:hideMark/>
          </w:tcPr>
          <w:p w14:paraId="6EA4180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0.654</w:t>
            </w:r>
          </w:p>
        </w:tc>
      </w:tr>
      <w:tr w:rsidR="005B661F" w:rsidRPr="005B661F" w14:paraId="73798EFA" w14:textId="77777777" w:rsidTr="00AC1D7B">
        <w:trPr>
          <w:trHeight w:val="290"/>
        </w:trPr>
        <w:tc>
          <w:tcPr>
            <w:tcW w:w="2274" w:type="dxa"/>
            <w:noWrap/>
            <w:hideMark/>
          </w:tcPr>
          <w:p w14:paraId="658E4FF9"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molar x vault</w:t>
            </w:r>
          </w:p>
        </w:tc>
        <w:tc>
          <w:tcPr>
            <w:tcW w:w="653" w:type="dxa"/>
            <w:noWrap/>
            <w:hideMark/>
          </w:tcPr>
          <w:p w14:paraId="1F9EF4E7"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3.69</w:t>
            </w:r>
          </w:p>
        </w:tc>
        <w:tc>
          <w:tcPr>
            <w:tcW w:w="1189" w:type="dxa"/>
            <w:noWrap/>
            <w:hideMark/>
          </w:tcPr>
          <w:p w14:paraId="3025F58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2.74</w:t>
            </w:r>
          </w:p>
        </w:tc>
        <w:tc>
          <w:tcPr>
            <w:tcW w:w="1418" w:type="dxa"/>
            <w:noWrap/>
            <w:hideMark/>
          </w:tcPr>
          <w:p w14:paraId="3B49B51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w:t>
            </w:r>
          </w:p>
        </w:tc>
        <w:tc>
          <w:tcPr>
            <w:tcW w:w="721" w:type="dxa"/>
            <w:noWrap/>
            <w:hideMark/>
          </w:tcPr>
          <w:p w14:paraId="15B59DF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0.036</w:t>
            </w:r>
          </w:p>
        </w:tc>
      </w:tr>
      <w:tr w:rsidR="005B661F" w:rsidRPr="005B661F" w14:paraId="1CCA8F51" w14:textId="77777777" w:rsidTr="00AC1D7B">
        <w:trPr>
          <w:trHeight w:val="290"/>
        </w:trPr>
        <w:tc>
          <w:tcPr>
            <w:tcW w:w="2274" w:type="dxa"/>
            <w:noWrap/>
            <w:hideMark/>
          </w:tcPr>
          <w:p w14:paraId="196EF7E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orbital x rostrum</w:t>
            </w:r>
          </w:p>
        </w:tc>
        <w:tc>
          <w:tcPr>
            <w:tcW w:w="653" w:type="dxa"/>
            <w:noWrap/>
            <w:hideMark/>
          </w:tcPr>
          <w:p w14:paraId="5128D56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4.45</w:t>
            </w:r>
          </w:p>
        </w:tc>
        <w:tc>
          <w:tcPr>
            <w:tcW w:w="1189" w:type="dxa"/>
            <w:noWrap/>
            <w:hideMark/>
          </w:tcPr>
          <w:p w14:paraId="268F6F4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3.43</w:t>
            </w:r>
          </w:p>
        </w:tc>
        <w:tc>
          <w:tcPr>
            <w:tcW w:w="1418" w:type="dxa"/>
            <w:noWrap/>
            <w:hideMark/>
          </w:tcPr>
          <w:p w14:paraId="67AD3D6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1.37</w:t>
            </w:r>
          </w:p>
        </w:tc>
        <w:tc>
          <w:tcPr>
            <w:tcW w:w="721" w:type="dxa"/>
            <w:noWrap/>
            <w:hideMark/>
          </w:tcPr>
          <w:p w14:paraId="7C1A6CB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0.17</w:t>
            </w:r>
          </w:p>
        </w:tc>
      </w:tr>
      <w:tr w:rsidR="005B661F" w:rsidRPr="005B661F" w14:paraId="7DA8B98C" w14:textId="77777777" w:rsidTr="00AC1D7B">
        <w:trPr>
          <w:trHeight w:val="290"/>
        </w:trPr>
        <w:tc>
          <w:tcPr>
            <w:tcW w:w="2274" w:type="dxa"/>
            <w:tcBorders>
              <w:bottom w:val="single" w:sz="4" w:space="0" w:color="BFBFBF" w:themeColor="background1" w:themeShade="BF"/>
            </w:tcBorders>
            <w:noWrap/>
            <w:hideMark/>
          </w:tcPr>
          <w:p w14:paraId="21E8C542"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orbital x vault</w:t>
            </w:r>
          </w:p>
        </w:tc>
        <w:tc>
          <w:tcPr>
            <w:tcW w:w="653" w:type="dxa"/>
            <w:tcBorders>
              <w:bottom w:val="single" w:sz="4" w:space="0" w:color="BFBFBF" w:themeColor="background1" w:themeShade="BF"/>
            </w:tcBorders>
            <w:noWrap/>
            <w:hideMark/>
          </w:tcPr>
          <w:p w14:paraId="79E43C9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189" w:type="dxa"/>
            <w:tcBorders>
              <w:bottom w:val="single" w:sz="4" w:space="0" w:color="BFBFBF" w:themeColor="background1" w:themeShade="BF"/>
            </w:tcBorders>
            <w:noWrap/>
            <w:hideMark/>
          </w:tcPr>
          <w:p w14:paraId="43F5F90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4.22</w:t>
            </w:r>
          </w:p>
        </w:tc>
        <w:tc>
          <w:tcPr>
            <w:tcW w:w="1418" w:type="dxa"/>
            <w:tcBorders>
              <w:bottom w:val="single" w:sz="4" w:space="0" w:color="BFBFBF" w:themeColor="background1" w:themeShade="BF"/>
            </w:tcBorders>
            <w:noWrap/>
            <w:hideMark/>
          </w:tcPr>
          <w:p w14:paraId="4E5F389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2.41</w:t>
            </w:r>
          </w:p>
        </w:tc>
        <w:tc>
          <w:tcPr>
            <w:tcW w:w="721" w:type="dxa"/>
            <w:tcBorders>
              <w:bottom w:val="single" w:sz="4" w:space="0" w:color="BFBFBF" w:themeColor="background1" w:themeShade="BF"/>
            </w:tcBorders>
            <w:noWrap/>
            <w:hideMark/>
          </w:tcPr>
          <w:p w14:paraId="360BCC48"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0.016</w:t>
            </w:r>
          </w:p>
        </w:tc>
      </w:tr>
      <w:tr w:rsidR="005B661F" w:rsidRPr="005B661F" w14:paraId="27CF6ADE" w14:textId="77777777" w:rsidTr="00AC1D7B">
        <w:trPr>
          <w:trHeight w:val="290"/>
        </w:trPr>
        <w:tc>
          <w:tcPr>
            <w:tcW w:w="2274" w:type="dxa"/>
            <w:tcBorders>
              <w:bottom w:val="single" w:sz="4" w:space="0" w:color="auto"/>
            </w:tcBorders>
            <w:noWrap/>
            <w:hideMark/>
          </w:tcPr>
          <w:p w14:paraId="4CE3366E"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rostrum x vault</w:t>
            </w:r>
          </w:p>
        </w:tc>
        <w:tc>
          <w:tcPr>
            <w:tcW w:w="653" w:type="dxa"/>
            <w:tcBorders>
              <w:bottom w:val="single" w:sz="4" w:space="0" w:color="auto"/>
            </w:tcBorders>
            <w:noWrap/>
            <w:hideMark/>
          </w:tcPr>
          <w:p w14:paraId="43ABFC7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4.94</w:t>
            </w:r>
          </w:p>
        </w:tc>
        <w:tc>
          <w:tcPr>
            <w:tcW w:w="1189" w:type="dxa"/>
            <w:tcBorders>
              <w:bottom w:val="single" w:sz="4" w:space="0" w:color="auto"/>
            </w:tcBorders>
            <w:noWrap/>
            <w:hideMark/>
          </w:tcPr>
          <w:p w14:paraId="3802422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3.19</w:t>
            </w:r>
          </w:p>
        </w:tc>
        <w:tc>
          <w:tcPr>
            <w:tcW w:w="1418" w:type="dxa"/>
            <w:tcBorders>
              <w:bottom w:val="single" w:sz="4" w:space="0" w:color="auto"/>
            </w:tcBorders>
            <w:noWrap/>
            <w:hideMark/>
          </w:tcPr>
          <w:p w14:paraId="49B04D2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2.48</w:t>
            </w:r>
          </w:p>
        </w:tc>
        <w:tc>
          <w:tcPr>
            <w:tcW w:w="721" w:type="dxa"/>
            <w:tcBorders>
              <w:bottom w:val="single" w:sz="4" w:space="0" w:color="auto"/>
            </w:tcBorders>
            <w:noWrap/>
            <w:hideMark/>
          </w:tcPr>
          <w:p w14:paraId="0B8C7E21"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0.013</w:t>
            </w:r>
          </w:p>
        </w:tc>
      </w:tr>
    </w:tbl>
    <w:p w14:paraId="1C4E7940" w14:textId="77777777" w:rsidR="005B661F" w:rsidRDefault="005B661F" w:rsidP="005B661F">
      <w:pPr>
        <w:rPr>
          <w:b/>
          <w:bCs/>
        </w:rPr>
      </w:pPr>
    </w:p>
    <w:p w14:paraId="44D54E3D" w14:textId="7991847C" w:rsidR="002173F8" w:rsidRDefault="00BF18AC">
      <w:pPr>
        <w:spacing w:line="480" w:lineRule="auto"/>
      </w:pPr>
      <w:r>
        <w:t>In contrast to the</w:t>
      </w:r>
      <w:r w:rsidR="00F637F6">
        <w:t xml:space="preserve"> mixed changes in</w:t>
      </w:r>
      <w:r>
        <w:t xml:space="preserve"> integration patterns, modularity among all cranial partitions</w:t>
      </w:r>
      <w:r w:rsidR="00B4519F">
        <w:t xml:space="preserve"> </w:t>
      </w:r>
      <w:r w:rsidR="00E40BB6">
        <w:t xml:space="preserve">increases after the removal of size </w:t>
      </w:r>
      <w:r>
        <w:t>(</w:t>
      </w:r>
      <w:r w:rsidRPr="00BF18AC">
        <w:t xml:space="preserve">Table </w:t>
      </w:r>
      <w:r w:rsidR="00B12EF6">
        <w:t>6</w:t>
      </w:r>
      <w:r>
        <w:t xml:space="preserve">, with no apparent difference as to </w:t>
      </w:r>
      <w:r w:rsidR="00F637F6">
        <w:t>how much</w:t>
      </w:r>
      <w:r>
        <w:t xml:space="preserve"> integration levels change or whether there is a significant change in integration strength after size removal. </w:t>
      </w:r>
      <w:r w:rsidR="00F637F6">
        <w:t>This is also reflected in our Mantel tests comparison of distance matrices between species according to their PCA scores</w:t>
      </w:r>
      <w:r w:rsidR="007F3B28">
        <w:t xml:space="preserve"> (Table </w:t>
      </w:r>
      <w:r w:rsidR="00B12EF6">
        <w:t>7</w:t>
      </w:r>
      <w:r w:rsidR="007F3B28">
        <w:t>)</w:t>
      </w:r>
      <w:r w:rsidR="00F637F6">
        <w:t xml:space="preserve">; while remaining nearly all significant (meaning that the distribution of species in PC morphospaces remains more similar than expected at random), all partition comparisons had lower Mantel r statistics after the removal of size, with exception of the rostrum/molar comparison which remained nearly unchanged in both the CR-based modularity assessment (Table </w:t>
      </w:r>
      <w:r w:rsidR="00B12EF6">
        <w:t>6</w:t>
      </w:r>
      <w:r w:rsidR="00F637F6">
        <w:t xml:space="preserve"> and the Mantel tests</w:t>
      </w:r>
      <w:r w:rsidR="007F3B28">
        <w:t xml:space="preserve"> (Table </w:t>
      </w:r>
      <w:r w:rsidR="00B12EF6">
        <w:t>7</w:t>
      </w:r>
      <w:r w:rsidR="007F3B28">
        <w:t>)</w:t>
      </w:r>
      <w:r w:rsidR="00F637F6">
        <w:t xml:space="preserve">. </w:t>
      </w:r>
    </w:p>
    <w:p w14:paraId="6100281D" w14:textId="41BBED15" w:rsidR="002173F8" w:rsidRDefault="007F3B28" w:rsidP="007F3B28">
      <w:r>
        <w:rPr>
          <w:b/>
          <w:bCs/>
        </w:rPr>
        <w:t xml:space="preserve">Table </w:t>
      </w:r>
      <w:r w:rsidR="00B12EF6">
        <w:rPr>
          <w:b/>
          <w:bCs/>
        </w:rPr>
        <w:t>6</w:t>
      </w:r>
      <w:r>
        <w:rPr>
          <w:b/>
          <w:bCs/>
        </w:rPr>
        <w:t xml:space="preserve">: </w:t>
      </w:r>
      <w:r w:rsidR="008B2993">
        <w:t>Phylogenetically</w:t>
      </w:r>
      <w:r>
        <w:t xml:space="preserve"> informed modularity, expressed as CR coefficients, between the full shape (lower triangle) and residual shape (upper triangle) of modules. Numbers on the diagonal are landmark numbers for each partition.</w:t>
      </w:r>
    </w:p>
    <w:p w14:paraId="0F11C8D1" w14:textId="77777777" w:rsidR="007F3B28" w:rsidRDefault="007F3B28" w:rsidP="007F3B28"/>
    <w:tbl>
      <w:tblPr>
        <w:tblW w:w="7513" w:type="dxa"/>
        <w:tblLook w:val="04A0" w:firstRow="1" w:lastRow="0" w:firstColumn="1" w:lastColumn="0" w:noHBand="0" w:noVBand="1"/>
      </w:tblPr>
      <w:tblGrid>
        <w:gridCol w:w="1418"/>
        <w:gridCol w:w="1396"/>
        <w:gridCol w:w="1014"/>
        <w:gridCol w:w="1134"/>
        <w:gridCol w:w="1134"/>
        <w:gridCol w:w="1417"/>
      </w:tblGrid>
      <w:tr w:rsidR="002173F8" w:rsidRPr="0025189D" w14:paraId="7E7A3A85" w14:textId="77777777" w:rsidTr="00E40BB6">
        <w:trPr>
          <w:trHeight w:val="290"/>
        </w:trPr>
        <w:tc>
          <w:tcPr>
            <w:tcW w:w="1418" w:type="dxa"/>
            <w:tcBorders>
              <w:top w:val="nil"/>
              <w:left w:val="nil"/>
              <w:right w:val="nil"/>
            </w:tcBorders>
            <w:shd w:val="clear" w:color="auto" w:fill="auto"/>
            <w:noWrap/>
            <w:vAlign w:val="bottom"/>
            <w:hideMark/>
          </w:tcPr>
          <w:p w14:paraId="49AEF8E0" w14:textId="77777777" w:rsidR="002173F8" w:rsidRPr="0025189D" w:rsidRDefault="002173F8" w:rsidP="00863A43">
            <w:pPr>
              <w:suppressAutoHyphens w:val="0"/>
              <w:rPr>
                <w:lang w:val="en-AU" w:eastAsia="en-AU"/>
              </w:rPr>
            </w:pPr>
          </w:p>
        </w:tc>
        <w:tc>
          <w:tcPr>
            <w:tcW w:w="1396" w:type="dxa"/>
            <w:tcBorders>
              <w:top w:val="nil"/>
              <w:left w:val="nil"/>
              <w:bottom w:val="single" w:sz="4" w:space="0" w:color="auto"/>
              <w:right w:val="nil"/>
            </w:tcBorders>
            <w:shd w:val="clear" w:color="auto" w:fill="auto"/>
            <w:noWrap/>
            <w:vAlign w:val="bottom"/>
            <w:hideMark/>
          </w:tcPr>
          <w:p w14:paraId="588E9293" w14:textId="1E9B6312"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014" w:type="dxa"/>
            <w:tcBorders>
              <w:top w:val="nil"/>
              <w:left w:val="nil"/>
              <w:bottom w:val="single" w:sz="4" w:space="0" w:color="auto"/>
              <w:right w:val="nil"/>
            </w:tcBorders>
            <w:shd w:val="clear" w:color="auto" w:fill="auto"/>
            <w:noWrap/>
            <w:vAlign w:val="bottom"/>
            <w:hideMark/>
          </w:tcPr>
          <w:p w14:paraId="7099EC23" w14:textId="5700A731"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134" w:type="dxa"/>
            <w:tcBorders>
              <w:top w:val="nil"/>
              <w:left w:val="nil"/>
              <w:bottom w:val="single" w:sz="4" w:space="0" w:color="auto"/>
              <w:right w:val="nil"/>
            </w:tcBorders>
            <w:shd w:val="clear" w:color="auto" w:fill="auto"/>
            <w:noWrap/>
            <w:vAlign w:val="bottom"/>
            <w:hideMark/>
          </w:tcPr>
          <w:p w14:paraId="5C04F9A4" w14:textId="55F980F4"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134" w:type="dxa"/>
            <w:tcBorders>
              <w:top w:val="nil"/>
              <w:left w:val="nil"/>
              <w:bottom w:val="single" w:sz="4" w:space="0" w:color="auto"/>
              <w:right w:val="nil"/>
            </w:tcBorders>
            <w:shd w:val="clear" w:color="auto" w:fill="auto"/>
            <w:noWrap/>
            <w:vAlign w:val="bottom"/>
            <w:hideMark/>
          </w:tcPr>
          <w:p w14:paraId="45E9FD64" w14:textId="08CF245B"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417" w:type="dxa"/>
            <w:tcBorders>
              <w:top w:val="nil"/>
              <w:left w:val="nil"/>
              <w:bottom w:val="single" w:sz="4" w:space="0" w:color="auto"/>
              <w:right w:val="nil"/>
            </w:tcBorders>
            <w:shd w:val="clear" w:color="auto" w:fill="auto"/>
            <w:noWrap/>
            <w:vAlign w:val="bottom"/>
            <w:hideMark/>
          </w:tcPr>
          <w:p w14:paraId="3CAAC5FC" w14:textId="110F970C"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r>
      <w:tr w:rsidR="00880FFA" w:rsidRPr="0025189D" w14:paraId="7AB20D12"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322408B0" w14:textId="6E6544E3"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
        </w:tc>
        <w:tc>
          <w:tcPr>
            <w:tcW w:w="1396" w:type="dxa"/>
            <w:tcBorders>
              <w:top w:val="single" w:sz="4" w:space="0" w:color="auto"/>
              <w:left w:val="single" w:sz="4" w:space="0" w:color="auto"/>
              <w:bottom w:val="nil"/>
              <w:right w:val="nil"/>
            </w:tcBorders>
            <w:shd w:val="clear" w:color="auto" w:fill="D0CECE" w:themeFill="background2" w:themeFillShade="E6"/>
            <w:noWrap/>
            <w:vAlign w:val="bottom"/>
            <w:hideMark/>
          </w:tcPr>
          <w:p w14:paraId="2B6E11E5" w14:textId="3A62C6B9"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64</w:t>
            </w:r>
          </w:p>
        </w:tc>
        <w:tc>
          <w:tcPr>
            <w:tcW w:w="1014" w:type="dxa"/>
            <w:tcBorders>
              <w:top w:val="single" w:sz="4" w:space="0" w:color="auto"/>
              <w:left w:val="nil"/>
              <w:bottom w:val="nil"/>
              <w:right w:val="nil"/>
            </w:tcBorders>
            <w:shd w:val="clear" w:color="auto" w:fill="auto"/>
            <w:noWrap/>
            <w:vAlign w:val="bottom"/>
            <w:hideMark/>
          </w:tcPr>
          <w:p w14:paraId="38B13C62" w14:textId="7D7EADD6"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0.52</w:t>
            </w:r>
          </w:p>
        </w:tc>
        <w:tc>
          <w:tcPr>
            <w:tcW w:w="1134" w:type="dxa"/>
            <w:tcBorders>
              <w:top w:val="single" w:sz="4" w:space="0" w:color="auto"/>
              <w:left w:val="nil"/>
              <w:bottom w:val="nil"/>
              <w:right w:val="nil"/>
            </w:tcBorders>
            <w:shd w:val="clear" w:color="auto" w:fill="auto"/>
            <w:noWrap/>
            <w:vAlign w:val="bottom"/>
            <w:hideMark/>
          </w:tcPr>
          <w:p w14:paraId="02664C4E" w14:textId="4C731597"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w:t>
            </w:r>
          </w:p>
        </w:tc>
        <w:tc>
          <w:tcPr>
            <w:tcW w:w="1134" w:type="dxa"/>
            <w:tcBorders>
              <w:top w:val="single" w:sz="4" w:space="0" w:color="auto"/>
              <w:left w:val="nil"/>
              <w:bottom w:val="nil"/>
              <w:right w:val="nil"/>
            </w:tcBorders>
            <w:shd w:val="clear" w:color="auto" w:fill="auto"/>
            <w:noWrap/>
            <w:vAlign w:val="bottom"/>
            <w:hideMark/>
          </w:tcPr>
          <w:p w14:paraId="2989F181" w14:textId="659E2F55"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0.63</w:t>
            </w:r>
          </w:p>
        </w:tc>
        <w:tc>
          <w:tcPr>
            <w:tcW w:w="1417" w:type="dxa"/>
            <w:tcBorders>
              <w:top w:val="single" w:sz="4" w:space="0" w:color="auto"/>
              <w:left w:val="nil"/>
              <w:bottom w:val="nil"/>
              <w:right w:val="nil"/>
            </w:tcBorders>
            <w:shd w:val="clear" w:color="auto" w:fill="auto"/>
            <w:noWrap/>
            <w:vAlign w:val="bottom"/>
            <w:hideMark/>
          </w:tcPr>
          <w:p w14:paraId="2C0298F1" w14:textId="630544DC" w:rsidR="00880FFA" w:rsidRPr="0008082D" w:rsidRDefault="00880FFA" w:rsidP="00880FFA">
            <w:pPr>
              <w:suppressAutoHyphens w:val="0"/>
              <w:jc w:val="right"/>
              <w:rPr>
                <w:rFonts w:ascii="Calibri" w:hAnsi="Calibri" w:cs="Calibri"/>
                <w:color w:val="FF0000"/>
                <w:sz w:val="22"/>
                <w:szCs w:val="22"/>
                <w:lang w:val="en-AU" w:eastAsia="en-AU"/>
              </w:rPr>
            </w:pPr>
            <w:r>
              <w:rPr>
                <w:rFonts w:ascii="Calibri" w:hAnsi="Calibri" w:cs="Calibri"/>
                <w:color w:val="000000"/>
                <w:sz w:val="22"/>
                <w:szCs w:val="22"/>
              </w:rPr>
              <w:t>0.73</w:t>
            </w:r>
          </w:p>
        </w:tc>
      </w:tr>
      <w:tr w:rsidR="00880FFA" w:rsidRPr="0025189D" w14:paraId="53228DD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1BAC5C3C" w14:textId="20BA7EC4"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396" w:type="dxa"/>
            <w:tcBorders>
              <w:top w:val="nil"/>
              <w:left w:val="single" w:sz="4" w:space="0" w:color="auto"/>
              <w:bottom w:val="nil"/>
              <w:right w:val="nil"/>
            </w:tcBorders>
            <w:shd w:val="clear" w:color="auto" w:fill="auto"/>
            <w:noWrap/>
            <w:vAlign w:val="bottom"/>
            <w:hideMark/>
          </w:tcPr>
          <w:p w14:paraId="3E5B2477" w14:textId="26DD9EF6"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0.56</w:t>
            </w:r>
          </w:p>
        </w:tc>
        <w:tc>
          <w:tcPr>
            <w:tcW w:w="1014" w:type="dxa"/>
            <w:tcBorders>
              <w:top w:val="nil"/>
              <w:left w:val="nil"/>
              <w:bottom w:val="nil"/>
              <w:right w:val="nil"/>
            </w:tcBorders>
            <w:shd w:val="clear" w:color="auto" w:fill="D0CECE" w:themeFill="background2" w:themeFillShade="E6"/>
            <w:noWrap/>
            <w:vAlign w:val="bottom"/>
            <w:hideMark/>
          </w:tcPr>
          <w:p w14:paraId="4992CBB0" w14:textId="5BE4E640"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19</w:t>
            </w:r>
          </w:p>
        </w:tc>
        <w:tc>
          <w:tcPr>
            <w:tcW w:w="1134" w:type="dxa"/>
            <w:tcBorders>
              <w:top w:val="nil"/>
              <w:left w:val="nil"/>
              <w:bottom w:val="nil"/>
              <w:right w:val="nil"/>
            </w:tcBorders>
            <w:shd w:val="clear" w:color="auto" w:fill="auto"/>
            <w:noWrap/>
            <w:vAlign w:val="bottom"/>
            <w:hideMark/>
          </w:tcPr>
          <w:p w14:paraId="1F9CEC57" w14:textId="0804EA31" w:rsidR="00880FFA" w:rsidRPr="0008082D" w:rsidRDefault="00880FFA" w:rsidP="00880FFA">
            <w:pPr>
              <w:suppressAutoHyphens w:val="0"/>
              <w:jc w:val="right"/>
              <w:rPr>
                <w:rFonts w:ascii="Calibri" w:hAnsi="Calibri" w:cs="Calibri"/>
                <w:i/>
                <w:iCs/>
                <w:color w:val="000000"/>
                <w:sz w:val="22"/>
                <w:szCs w:val="22"/>
                <w:lang w:val="en-AU" w:eastAsia="en-AU"/>
              </w:rPr>
            </w:pPr>
            <w:r>
              <w:rPr>
                <w:rFonts w:ascii="Calibri" w:hAnsi="Calibri" w:cs="Calibri"/>
                <w:color w:val="000000"/>
                <w:sz w:val="22"/>
                <w:szCs w:val="22"/>
              </w:rPr>
              <w:t>0.46</w:t>
            </w:r>
          </w:p>
        </w:tc>
        <w:tc>
          <w:tcPr>
            <w:tcW w:w="1134" w:type="dxa"/>
            <w:tcBorders>
              <w:top w:val="nil"/>
              <w:left w:val="nil"/>
              <w:bottom w:val="nil"/>
              <w:right w:val="nil"/>
            </w:tcBorders>
            <w:shd w:val="clear" w:color="auto" w:fill="auto"/>
            <w:noWrap/>
            <w:vAlign w:val="bottom"/>
            <w:hideMark/>
          </w:tcPr>
          <w:p w14:paraId="6223916E" w14:textId="6DD2EC22"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417" w:type="dxa"/>
            <w:tcBorders>
              <w:top w:val="nil"/>
              <w:left w:val="nil"/>
              <w:bottom w:val="nil"/>
              <w:right w:val="nil"/>
            </w:tcBorders>
            <w:shd w:val="clear" w:color="auto" w:fill="auto"/>
            <w:noWrap/>
            <w:vAlign w:val="bottom"/>
            <w:hideMark/>
          </w:tcPr>
          <w:p w14:paraId="098F2246" w14:textId="276C99B7"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0.62</w:t>
            </w:r>
          </w:p>
        </w:tc>
      </w:tr>
      <w:tr w:rsidR="00880FFA" w:rsidRPr="0025189D" w14:paraId="6009624F"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FA7D2E8" w14:textId="1F45D214"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396" w:type="dxa"/>
            <w:tcBorders>
              <w:top w:val="nil"/>
              <w:left w:val="single" w:sz="4" w:space="0" w:color="auto"/>
              <w:bottom w:val="nil"/>
              <w:right w:val="nil"/>
            </w:tcBorders>
            <w:shd w:val="clear" w:color="auto" w:fill="auto"/>
            <w:noWrap/>
            <w:vAlign w:val="bottom"/>
            <w:hideMark/>
          </w:tcPr>
          <w:p w14:paraId="145306C5" w14:textId="368681F1"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014" w:type="dxa"/>
            <w:tcBorders>
              <w:top w:val="nil"/>
              <w:left w:val="nil"/>
              <w:bottom w:val="nil"/>
              <w:right w:val="nil"/>
            </w:tcBorders>
            <w:shd w:val="clear" w:color="auto" w:fill="auto"/>
            <w:noWrap/>
            <w:vAlign w:val="bottom"/>
            <w:hideMark/>
          </w:tcPr>
          <w:p w14:paraId="50376A0A" w14:textId="1CD22D38"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w:t>
            </w:r>
          </w:p>
        </w:tc>
        <w:tc>
          <w:tcPr>
            <w:tcW w:w="1134" w:type="dxa"/>
            <w:tcBorders>
              <w:top w:val="nil"/>
              <w:left w:val="nil"/>
              <w:bottom w:val="nil"/>
              <w:right w:val="nil"/>
            </w:tcBorders>
            <w:shd w:val="clear" w:color="auto" w:fill="D0CECE" w:themeFill="background2" w:themeFillShade="E6"/>
            <w:noWrap/>
            <w:vAlign w:val="bottom"/>
            <w:hideMark/>
          </w:tcPr>
          <w:p w14:paraId="78EBDD7E" w14:textId="7292190E"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w:t>
            </w:r>
          </w:p>
        </w:tc>
        <w:tc>
          <w:tcPr>
            <w:tcW w:w="1134" w:type="dxa"/>
            <w:tcBorders>
              <w:top w:val="nil"/>
              <w:left w:val="nil"/>
              <w:bottom w:val="nil"/>
              <w:right w:val="nil"/>
            </w:tcBorders>
            <w:shd w:val="clear" w:color="auto" w:fill="auto"/>
            <w:noWrap/>
            <w:vAlign w:val="bottom"/>
            <w:hideMark/>
          </w:tcPr>
          <w:p w14:paraId="0B9D1F24" w14:textId="2110B120"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417" w:type="dxa"/>
            <w:tcBorders>
              <w:top w:val="nil"/>
              <w:left w:val="nil"/>
              <w:bottom w:val="nil"/>
              <w:right w:val="nil"/>
            </w:tcBorders>
            <w:shd w:val="clear" w:color="auto" w:fill="auto"/>
            <w:noWrap/>
            <w:vAlign w:val="bottom"/>
            <w:hideMark/>
          </w:tcPr>
          <w:p w14:paraId="25C05F01" w14:textId="60FF73C3"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0.74</w:t>
            </w:r>
          </w:p>
        </w:tc>
      </w:tr>
      <w:tr w:rsidR="00880FFA" w:rsidRPr="0025189D" w14:paraId="6053739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30D4C56" w14:textId="0EA01A1E"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396" w:type="dxa"/>
            <w:tcBorders>
              <w:top w:val="nil"/>
              <w:left w:val="single" w:sz="4" w:space="0" w:color="auto"/>
              <w:bottom w:val="nil"/>
              <w:right w:val="nil"/>
            </w:tcBorders>
            <w:shd w:val="clear" w:color="auto" w:fill="auto"/>
            <w:noWrap/>
            <w:vAlign w:val="bottom"/>
            <w:hideMark/>
          </w:tcPr>
          <w:p w14:paraId="10365EB4" w14:textId="4898F718"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014" w:type="dxa"/>
            <w:tcBorders>
              <w:top w:val="nil"/>
              <w:left w:val="nil"/>
              <w:bottom w:val="nil"/>
              <w:right w:val="nil"/>
            </w:tcBorders>
            <w:shd w:val="clear" w:color="auto" w:fill="auto"/>
            <w:noWrap/>
            <w:vAlign w:val="bottom"/>
            <w:hideMark/>
          </w:tcPr>
          <w:p w14:paraId="10DBE29B" w14:textId="1903B28C"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0.68</w:t>
            </w:r>
          </w:p>
        </w:tc>
        <w:tc>
          <w:tcPr>
            <w:tcW w:w="1134" w:type="dxa"/>
            <w:tcBorders>
              <w:top w:val="nil"/>
              <w:left w:val="nil"/>
              <w:bottom w:val="nil"/>
              <w:right w:val="nil"/>
            </w:tcBorders>
            <w:shd w:val="clear" w:color="auto" w:fill="auto"/>
            <w:noWrap/>
            <w:vAlign w:val="bottom"/>
            <w:hideMark/>
          </w:tcPr>
          <w:p w14:paraId="5E910529" w14:textId="222190ED"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0.81</w:t>
            </w:r>
          </w:p>
        </w:tc>
        <w:tc>
          <w:tcPr>
            <w:tcW w:w="1134" w:type="dxa"/>
            <w:tcBorders>
              <w:top w:val="nil"/>
              <w:left w:val="nil"/>
              <w:bottom w:val="nil"/>
              <w:right w:val="nil"/>
            </w:tcBorders>
            <w:shd w:val="clear" w:color="auto" w:fill="D0CECE" w:themeFill="background2" w:themeFillShade="E6"/>
            <w:noWrap/>
            <w:vAlign w:val="bottom"/>
            <w:hideMark/>
          </w:tcPr>
          <w:p w14:paraId="7C7FE037" w14:textId="294F6EFF"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86</w:t>
            </w:r>
          </w:p>
        </w:tc>
        <w:tc>
          <w:tcPr>
            <w:tcW w:w="1417" w:type="dxa"/>
            <w:tcBorders>
              <w:top w:val="nil"/>
              <w:left w:val="nil"/>
              <w:bottom w:val="nil"/>
              <w:right w:val="nil"/>
            </w:tcBorders>
            <w:shd w:val="clear" w:color="auto" w:fill="auto"/>
            <w:noWrap/>
            <w:vAlign w:val="bottom"/>
            <w:hideMark/>
          </w:tcPr>
          <w:p w14:paraId="50C99484" w14:textId="33A2AA65"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0.72</w:t>
            </w:r>
          </w:p>
        </w:tc>
      </w:tr>
      <w:tr w:rsidR="00880FFA" w:rsidRPr="0025189D" w14:paraId="5F964D6D"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7C85D69E" w14:textId="1419D820"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c>
          <w:tcPr>
            <w:tcW w:w="1396" w:type="dxa"/>
            <w:tcBorders>
              <w:top w:val="nil"/>
              <w:left w:val="single" w:sz="4" w:space="0" w:color="auto"/>
              <w:bottom w:val="nil"/>
              <w:right w:val="nil"/>
            </w:tcBorders>
            <w:shd w:val="clear" w:color="auto" w:fill="auto"/>
            <w:noWrap/>
            <w:vAlign w:val="bottom"/>
            <w:hideMark/>
          </w:tcPr>
          <w:p w14:paraId="35877425" w14:textId="1169560D"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014" w:type="dxa"/>
            <w:tcBorders>
              <w:top w:val="nil"/>
              <w:left w:val="nil"/>
              <w:bottom w:val="nil"/>
              <w:right w:val="nil"/>
            </w:tcBorders>
            <w:shd w:val="clear" w:color="auto" w:fill="auto"/>
            <w:noWrap/>
            <w:vAlign w:val="bottom"/>
            <w:hideMark/>
          </w:tcPr>
          <w:p w14:paraId="287F75F3" w14:textId="36881DD7"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0.69</w:t>
            </w:r>
          </w:p>
        </w:tc>
        <w:tc>
          <w:tcPr>
            <w:tcW w:w="1134" w:type="dxa"/>
            <w:tcBorders>
              <w:top w:val="nil"/>
              <w:left w:val="nil"/>
              <w:bottom w:val="nil"/>
              <w:right w:val="nil"/>
            </w:tcBorders>
            <w:shd w:val="clear" w:color="auto" w:fill="auto"/>
            <w:noWrap/>
            <w:vAlign w:val="bottom"/>
            <w:hideMark/>
          </w:tcPr>
          <w:p w14:paraId="3CDCC232" w14:textId="1C21AA4E"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0.84</w:t>
            </w:r>
          </w:p>
        </w:tc>
        <w:tc>
          <w:tcPr>
            <w:tcW w:w="1134" w:type="dxa"/>
            <w:tcBorders>
              <w:top w:val="nil"/>
              <w:left w:val="nil"/>
              <w:bottom w:val="nil"/>
              <w:right w:val="nil"/>
            </w:tcBorders>
            <w:shd w:val="clear" w:color="auto" w:fill="auto"/>
            <w:noWrap/>
            <w:vAlign w:val="bottom"/>
            <w:hideMark/>
          </w:tcPr>
          <w:p w14:paraId="7C12C69C" w14:textId="5A11BE11"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0.86</w:t>
            </w:r>
          </w:p>
        </w:tc>
        <w:tc>
          <w:tcPr>
            <w:tcW w:w="1417" w:type="dxa"/>
            <w:tcBorders>
              <w:top w:val="nil"/>
              <w:left w:val="nil"/>
              <w:bottom w:val="nil"/>
              <w:right w:val="nil"/>
            </w:tcBorders>
            <w:shd w:val="clear" w:color="auto" w:fill="D0CECE" w:themeFill="background2" w:themeFillShade="E6"/>
            <w:noWrap/>
            <w:vAlign w:val="bottom"/>
            <w:hideMark/>
          </w:tcPr>
          <w:p w14:paraId="775A55B1" w14:textId="4F36A202"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w:t>
            </w:r>
          </w:p>
        </w:tc>
      </w:tr>
      <w:bookmarkEnd w:id="16"/>
    </w:tbl>
    <w:p w14:paraId="22930071" w14:textId="77777777" w:rsidR="008922AE" w:rsidRDefault="008922AE">
      <w:pPr>
        <w:spacing w:line="480" w:lineRule="auto"/>
      </w:pPr>
    </w:p>
    <w:p w14:paraId="0B5E188D" w14:textId="4B4D4430" w:rsidR="008922AE" w:rsidRDefault="00000000" w:rsidP="00D37864">
      <w:pPr>
        <w:spacing w:after="200"/>
        <w:rPr>
          <w:b/>
          <w:bCs/>
        </w:rPr>
      </w:pPr>
      <w:bookmarkStart w:id="18" w:name="_heading=h.1ksv4uv"/>
      <w:bookmarkEnd w:id="18"/>
      <w:r>
        <w:rPr>
          <w:b/>
          <w:color w:val="000000"/>
        </w:rPr>
        <w:lastRenderedPageBreak/>
        <w:t xml:space="preserve">Table </w:t>
      </w:r>
      <w:r w:rsidR="00B12EF6">
        <w:rPr>
          <w:b/>
          <w:color w:val="000000"/>
        </w:rPr>
        <w:t>7</w:t>
      </w:r>
      <w:r>
        <w:rPr>
          <w:b/>
          <w:color w:val="000000"/>
        </w:rPr>
        <w:t xml:space="preserve">: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976A94">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8" w:space="0" w:color="000000"/>
              <w:left w:val="single" w:sz="4" w:space="0" w:color="000000"/>
              <w:bottom w:val="single" w:sz="4" w:space="0" w:color="000000"/>
              <w:right w:val="single" w:sz="4" w:space="0" w:color="000000"/>
            </w:tcBorders>
            <w:shd w:val="clear" w:color="auto" w:fill="auto"/>
          </w:tcPr>
          <w:p w14:paraId="33E07EEA" w14:textId="77777777" w:rsidR="008922AE" w:rsidRDefault="008922AE">
            <w:pPr>
              <w:widowControl w:val="0"/>
              <w:spacing w:line="480" w:lineRule="auto"/>
            </w:pP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671987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top w:val="single" w:sz="8" w:space="0" w:color="000000"/>
              <w:left w:val="single" w:sz="4" w:space="0" w:color="000000"/>
              <w:bottom w:val="single" w:sz="4" w:space="0" w:color="000000"/>
              <w:right w:val="single" w:sz="4" w:space="0" w:color="000000"/>
            </w:tcBorders>
            <w:shd w:val="clear" w:color="auto" w:fill="auto"/>
          </w:tcPr>
          <w:p w14:paraId="0EF4108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42B2DCA"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478865F0"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top w:val="single" w:sz="8" w:space="0" w:color="000000"/>
              <w:left w:val="single" w:sz="4" w:space="0" w:color="000000"/>
              <w:bottom w:val="single" w:sz="4" w:space="0" w:color="000000"/>
              <w:right w:val="single" w:sz="4" w:space="0" w:color="000000"/>
            </w:tcBorders>
            <w:shd w:val="clear" w:color="auto" w:fill="auto"/>
          </w:tcPr>
          <w:p w14:paraId="56BB93EF" w14:textId="77777777" w:rsidR="008922AE" w:rsidRDefault="00000000">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976A94" w14:paraId="5F04A7CE"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7802AB3C" w14:textId="77777777" w:rsidR="00976A94" w:rsidRDefault="00976A94" w:rsidP="00976A94">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9701E33" w14:textId="60C7EA50"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64</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358AD" w14:textId="039043E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0.3</w:t>
            </w:r>
            <w:r>
              <w:rPr>
                <w:color w:val="000000"/>
              </w:rPr>
              <w:t>55</w:t>
            </w:r>
            <w:r w:rsidRPr="00976A94">
              <w:rPr>
                <w:color w:val="000000"/>
              </w:rPr>
              <w:t xml:space="preserve"> (0.03)</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ADCFFF" w14:textId="27953937"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0.2</w:t>
            </w:r>
            <w:r>
              <w:rPr>
                <w:color w:val="000000"/>
              </w:rPr>
              <w:t>90</w:t>
            </w:r>
            <w:r w:rsidRPr="00976A94">
              <w:rPr>
                <w:color w:val="000000"/>
              </w:rPr>
              <w:t xml:space="preserve"> (0.0</w:t>
            </w:r>
            <w:r>
              <w:rPr>
                <w:color w:val="000000"/>
              </w:rPr>
              <w:t>7</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139E2" w14:textId="583C7472"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w:t>
            </w:r>
            <w:r>
              <w:rPr>
                <w:color w:val="000000"/>
              </w:rPr>
              <w:t>08</w:t>
            </w:r>
            <w:r w:rsidRPr="00976A94">
              <w:rPr>
                <w:color w:val="000000"/>
              </w:rPr>
              <w:t xml:space="preserve"> (0.0</w:t>
            </w:r>
            <w:r>
              <w:rPr>
                <w:color w:val="000000"/>
              </w:rPr>
              <w:t>1</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818D" w14:textId="33F564E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74</w:t>
            </w:r>
            <w:r w:rsidRPr="00976A94">
              <w:rPr>
                <w:color w:val="000000"/>
              </w:rPr>
              <w:t xml:space="preserve"> (0.01)</w:t>
            </w:r>
          </w:p>
        </w:tc>
      </w:tr>
      <w:tr w:rsidR="00976A94" w14:paraId="6C05F08F"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0A682C5" w14:textId="77777777" w:rsidR="00976A94" w:rsidRDefault="00976A94" w:rsidP="00976A94">
            <w:pPr>
              <w:widowControl w:val="0"/>
              <w:spacing w:line="480" w:lineRule="auto"/>
              <w:rPr>
                <w:color w:val="000000"/>
              </w:rPr>
            </w:pPr>
            <w:r>
              <w:rPr>
                <w:color w:val="000000"/>
              </w:rPr>
              <w:t>Molar</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39FDA" w14:textId="336D9D0B"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0.514 (0.01)</w:t>
            </w:r>
          </w:p>
        </w:tc>
        <w:tc>
          <w:tcPr>
            <w:tcW w:w="1584"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3483156" w14:textId="06E84F8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19</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95A22" w14:textId="5BA834F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0.3</w:t>
            </w:r>
            <w:r>
              <w:rPr>
                <w:color w:val="000000"/>
              </w:rPr>
              <w:t>51</w:t>
            </w:r>
            <w:r w:rsidRPr="00976A94">
              <w:rPr>
                <w:color w:val="000000"/>
              </w:rPr>
              <w:t xml:space="preserve"> (0.0</w:t>
            </w:r>
            <w:r>
              <w:rPr>
                <w:color w:val="000000"/>
              </w:rPr>
              <w:t>3</w:t>
            </w:r>
            <w:r w:rsidRPr="00976A94">
              <w:rPr>
                <w:color w:val="000000"/>
              </w:rPr>
              <w:t>)</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236C13" w14:textId="2FE31AC1"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58</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5D555" w14:textId="7C4285E5"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0.4</w:t>
            </w:r>
            <w:r>
              <w:rPr>
                <w:color w:val="000000"/>
              </w:rPr>
              <w:t>24</w:t>
            </w:r>
            <w:r w:rsidRPr="00976A94">
              <w:rPr>
                <w:color w:val="000000"/>
              </w:rPr>
              <w:t xml:space="preserve"> (0.0</w:t>
            </w:r>
            <w:r>
              <w:rPr>
                <w:color w:val="000000"/>
              </w:rPr>
              <w:t>2</w:t>
            </w:r>
            <w:r w:rsidRPr="00976A94">
              <w:rPr>
                <w:color w:val="000000"/>
              </w:rPr>
              <w:t>)</w:t>
            </w:r>
          </w:p>
        </w:tc>
      </w:tr>
      <w:tr w:rsidR="00976A94" w14:paraId="63FBE544" w14:textId="77777777" w:rsidTr="00976A94">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3AEA9BD4" w14:textId="77777777" w:rsidR="00976A94" w:rsidRDefault="00976A94" w:rsidP="00976A94">
            <w:pPr>
              <w:widowControl w:val="0"/>
              <w:spacing w:line="480" w:lineRule="auto"/>
              <w:rPr>
                <w:color w:val="000000"/>
              </w:rPr>
            </w:pPr>
            <w:r>
              <w:rPr>
                <w:color w:val="000000"/>
              </w:rPr>
              <w:t>Orbital</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8F3D9" w14:textId="16312BBB"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0.601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B1E3" w14:textId="5424956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0.55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10381414" w14:textId="55ADA746"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32</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70919" w14:textId="4702D725"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0.62</w:t>
            </w:r>
            <w:r>
              <w:rPr>
                <w:color w:val="000000"/>
              </w:rPr>
              <w:t>0</w:t>
            </w:r>
            <w:r w:rsidRPr="00976A94">
              <w:rPr>
                <w:color w:val="000000"/>
              </w:rPr>
              <w:t xml:space="preserve">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4E902" w14:textId="2A7E85F3"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06</w:t>
            </w:r>
            <w:r w:rsidRPr="00976A94">
              <w:rPr>
                <w:color w:val="000000"/>
              </w:rPr>
              <w:t xml:space="preserve"> (0.01)</w:t>
            </w:r>
          </w:p>
        </w:tc>
      </w:tr>
      <w:tr w:rsidR="00976A94" w14:paraId="56A21C23" w14:textId="77777777" w:rsidTr="00976A94">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4" w:space="0" w:color="000000"/>
              <w:right w:val="single" w:sz="4" w:space="0" w:color="000000"/>
            </w:tcBorders>
            <w:shd w:val="clear" w:color="auto" w:fill="auto"/>
          </w:tcPr>
          <w:p w14:paraId="51973EFD" w14:textId="77777777" w:rsidR="00976A94" w:rsidRDefault="00976A94" w:rsidP="00976A94">
            <w:pPr>
              <w:widowControl w:val="0"/>
              <w:spacing w:line="480" w:lineRule="auto"/>
              <w:rPr>
                <w:color w:val="000000"/>
              </w:rPr>
            </w:pPr>
            <w:r>
              <w:rPr>
                <w:color w:val="000000"/>
              </w:rPr>
              <w:t>Rostrum</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584F38" w14:textId="27E3D18D"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0.719 (0.01)</w:t>
            </w:r>
          </w:p>
        </w:tc>
        <w:tc>
          <w:tcPr>
            <w:tcW w:w="15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E3F2FC" w14:textId="726B4FC7"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0.625 (0.01)</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ED66A4" w14:textId="52B0CA7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0.807 (0.01)</w:t>
            </w:r>
          </w:p>
        </w:tc>
        <w:tc>
          <w:tcPr>
            <w:tcW w:w="1585" w:type="dxa"/>
            <w:tcBorders>
              <w:top w:val="single" w:sz="4" w:space="0" w:color="000000"/>
              <w:left w:val="single" w:sz="4" w:space="0" w:color="000000"/>
              <w:bottom w:val="single" w:sz="4" w:space="0" w:color="000000"/>
              <w:right w:val="single" w:sz="4" w:space="0" w:color="000000"/>
            </w:tcBorders>
            <w:shd w:val="clear" w:color="auto" w:fill="D0CECE" w:themeFill="background2" w:themeFillShade="E6"/>
            <w:vAlign w:val="center"/>
          </w:tcPr>
          <w:p w14:paraId="05878B28" w14:textId="0512078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86</w:t>
            </w:r>
          </w:p>
        </w:tc>
        <w:tc>
          <w:tcPr>
            <w:tcW w:w="1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F239D9" w14:textId="4CB9510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94</w:t>
            </w:r>
            <w:r w:rsidRPr="00976A94">
              <w:rPr>
                <w:color w:val="000000"/>
              </w:rPr>
              <w:t xml:space="preserve"> (0.01)</w:t>
            </w:r>
          </w:p>
        </w:tc>
      </w:tr>
      <w:tr w:rsidR="00976A94" w14:paraId="7D3932D3" w14:textId="77777777" w:rsidTr="00976A94">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6" w:type="dxa"/>
            <w:tcBorders>
              <w:top w:val="single" w:sz="4" w:space="0" w:color="000000"/>
              <w:left w:val="single" w:sz="4" w:space="0" w:color="000000"/>
              <w:bottom w:val="single" w:sz="8" w:space="0" w:color="000000"/>
              <w:right w:val="single" w:sz="4" w:space="0" w:color="000000"/>
            </w:tcBorders>
            <w:shd w:val="clear" w:color="auto" w:fill="auto"/>
          </w:tcPr>
          <w:p w14:paraId="241E508B" w14:textId="77777777" w:rsidR="00976A94" w:rsidRDefault="00976A94" w:rsidP="00976A94">
            <w:pPr>
              <w:widowControl w:val="0"/>
              <w:spacing w:line="480" w:lineRule="auto"/>
              <w:rPr>
                <w:color w:val="000000"/>
              </w:rPr>
            </w:pPr>
            <w:r>
              <w:rPr>
                <w:color w:val="000000"/>
              </w:rPr>
              <w:t>Vault</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3A04B891" w14:textId="493140B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0.753 (0.01)</w:t>
            </w:r>
          </w:p>
        </w:tc>
        <w:tc>
          <w:tcPr>
            <w:tcW w:w="1584"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22964DF" w14:textId="2D95ED7D"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0.564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690FA2D0" w14:textId="6ED17ECC"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0.731 (0.01)</w:t>
            </w:r>
          </w:p>
        </w:tc>
        <w:tc>
          <w:tcPr>
            <w:tcW w:w="1585" w:type="dxa"/>
            <w:tcBorders>
              <w:top w:val="single" w:sz="4" w:space="0" w:color="000000"/>
              <w:left w:val="single" w:sz="4" w:space="0" w:color="000000"/>
              <w:bottom w:val="single" w:sz="8" w:space="0" w:color="000000"/>
              <w:right w:val="single" w:sz="4" w:space="0" w:color="000000"/>
            </w:tcBorders>
            <w:shd w:val="clear" w:color="auto" w:fill="auto"/>
            <w:vAlign w:val="center"/>
          </w:tcPr>
          <w:p w14:paraId="17E603AB" w14:textId="1F688ED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0.762 (0.01)</w:t>
            </w:r>
          </w:p>
        </w:tc>
        <w:tc>
          <w:tcPr>
            <w:tcW w:w="1585" w:type="dxa"/>
            <w:tcBorders>
              <w:top w:val="single" w:sz="4" w:space="0" w:color="000000"/>
              <w:left w:val="single" w:sz="4" w:space="0" w:color="000000"/>
              <w:bottom w:val="single" w:sz="8" w:space="0" w:color="000000"/>
              <w:right w:val="single" w:sz="4" w:space="0" w:color="000000"/>
            </w:tcBorders>
            <w:shd w:val="clear" w:color="auto" w:fill="D0CECE" w:themeFill="background2" w:themeFillShade="E6"/>
            <w:vAlign w:val="center"/>
          </w:tcPr>
          <w:p w14:paraId="6E27857E" w14:textId="64CD525A"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124</w:t>
            </w:r>
          </w:p>
        </w:tc>
      </w:tr>
    </w:tbl>
    <w:p w14:paraId="574A50C6" w14:textId="34CE1D33" w:rsidR="007A4070" w:rsidRDefault="007A4070">
      <w:r>
        <w:br w:type="page"/>
      </w:r>
    </w:p>
    <w:p w14:paraId="4903F1C0" w14:textId="77777777" w:rsidR="008922AE" w:rsidRDefault="00000000">
      <w:pPr>
        <w:spacing w:line="480" w:lineRule="auto"/>
        <w:rPr>
          <w:b/>
          <w:bCs/>
        </w:rPr>
      </w:pPr>
      <w:bookmarkStart w:id="19" w:name="_heading=h.44sinio"/>
      <w:bookmarkEnd w:id="19"/>
      <w:r>
        <w:rPr>
          <w:b/>
          <w:bCs/>
        </w:rPr>
        <w:lastRenderedPageBreak/>
        <w:t>Discussion</w:t>
      </w:r>
    </w:p>
    <w:p w14:paraId="053EAD22" w14:textId="6C478D29" w:rsidR="00BB4074" w:rsidRDefault="00000000">
      <w:pPr>
        <w:spacing w:line="480" w:lineRule="auto"/>
      </w:pPr>
      <w:r>
        <w:t xml:space="preserve">In this study, </w:t>
      </w:r>
      <w:r w:rsidR="005D171E">
        <w:t xml:space="preserve">we </w:t>
      </w:r>
      <w:r w:rsidR="00D37864">
        <w:t xml:space="preserve">sought </w:t>
      </w:r>
      <w:r>
        <w:t xml:space="preserve">understand </w:t>
      </w:r>
      <w:r w:rsidR="00D37864">
        <w:t xml:space="preserve">the degree to which non-allometric shape variation occurs in the highly allometric clade of Australian murid rodents and their more remote invasive relatives. The comparison of datasets with and without size-related shape variation reveals the strong impact of size on shape, but also shows that substantial non-allometric variation exists </w:t>
      </w:r>
      <w:r w:rsidR="00BB4074">
        <w:t>in the clade, with its own signatures of shape divergence, ordinated variation, and significant levels of integration.</w:t>
      </w:r>
    </w:p>
    <w:p w14:paraId="52510919" w14:textId="4BECBACB" w:rsidR="001A1274" w:rsidRDefault="00117A04" w:rsidP="000A2700">
      <w:pPr>
        <w:spacing w:line="480" w:lineRule="auto"/>
        <w:ind w:firstLine="720"/>
      </w:pPr>
      <w:r>
        <w:t xml:space="preserve">Allometry in mammalian crania, and the associated shape variation as predicted by CREA, has often been attributed to the integration of size with masticatory biomechanics </w: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 </w:instrTex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EN.CITE.DATA </w:instrText>
      </w:r>
      <w:r>
        <w:fldChar w:fldCharType="end"/>
      </w:r>
      <w:r>
        <w:fldChar w:fldCharType="separate"/>
      </w:r>
      <w:r>
        <w:rPr>
          <w:noProof/>
        </w:rPr>
        <w:t>(Marroig &amp; Cheverud, 2005; Mitchell</w:t>
      </w:r>
      <w:r w:rsidRPr="004550BE">
        <w:rPr>
          <w:i/>
          <w:noProof/>
        </w:rPr>
        <w:t xml:space="preserve"> et al.</w:t>
      </w:r>
      <w:r>
        <w:rPr>
          <w:noProof/>
        </w:rPr>
        <w:t>, 2018; Mitchell</w:t>
      </w:r>
      <w:r w:rsidRPr="004550BE">
        <w:rPr>
          <w:i/>
          <w:noProof/>
        </w:rPr>
        <w:t xml:space="preserve"> et al.</w:t>
      </w:r>
      <w:r>
        <w:rPr>
          <w:noProof/>
        </w:rPr>
        <w:t>, 2024; Singleton, 2005; Weisbecker</w:t>
      </w:r>
      <w:r w:rsidRPr="004550BE">
        <w:rPr>
          <w:i/>
          <w:noProof/>
        </w:rPr>
        <w:t xml:space="preserve"> et al.</w:t>
      </w:r>
      <w:r>
        <w:rPr>
          <w:noProof/>
        </w:rPr>
        <w:t>, 2019)</w:t>
      </w:r>
      <w:r>
        <w:fldChar w:fldCharType="end"/>
      </w:r>
      <w:r>
        <w:t xml:space="preserve">. This is probably particularly true for rodents, where high levels of allometry likely reflect constraints imposed by their highly derived gnawing function </w: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 </w:instrText>
      </w:r>
      <w:r>
        <w:fldChar w:fldCharType="begin">
          <w:fldData xml:space="preserve">PEVuZE5vdGU+PENpdGU+PEF1dGhvcj5Db3g8L0F1dGhvcj48WWVhcj4yMDEyPC9ZZWFyPjxSZWNO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</w:fldData>
        </w:fldChar>
      </w:r>
      <w:r>
        <w:instrText xml:space="preserve"> ADDIN EN.CITE.DATA </w:instrText>
      </w:r>
      <w:r>
        <w:fldChar w:fldCharType="end"/>
      </w:r>
      <w:r>
        <w:fldChar w:fldCharType="separate"/>
      </w:r>
      <w:r>
        <w:rPr>
          <w:noProof/>
        </w:rPr>
        <w:t>(Cox</w:t>
      </w:r>
      <w:r w:rsidRPr="004550BE">
        <w:rPr>
          <w:i/>
          <w:noProof/>
        </w:rPr>
        <w:t xml:space="preserve"> et al.</w:t>
      </w:r>
      <w:r>
        <w:rPr>
          <w:noProof/>
        </w:rPr>
        <w:t>, 2012; Druzinsky, 2015; Ginot</w:t>
      </w:r>
      <w:r w:rsidRPr="004550BE">
        <w:rPr>
          <w:i/>
          <w:noProof/>
        </w:rPr>
        <w:t xml:space="preserve"> et al.</w:t>
      </w:r>
      <w:r>
        <w:rPr>
          <w:noProof/>
        </w:rPr>
        <w:t>, 2018; Lessa &amp; Patton, 1989; Marcy</w:t>
      </w:r>
      <w:r w:rsidRPr="004550BE">
        <w:rPr>
          <w:i/>
          <w:noProof/>
        </w:rPr>
        <w:t xml:space="preserve"> et al.</w:t>
      </w:r>
      <w:r>
        <w:rPr>
          <w:noProof/>
        </w:rPr>
        <w:t>, 2020; Marcy</w:t>
      </w:r>
      <w:r w:rsidRPr="004550BE">
        <w:rPr>
          <w:i/>
          <w:noProof/>
        </w:rPr>
        <w:t xml:space="preserve"> et al.</w:t>
      </w:r>
      <w:r>
        <w:rPr>
          <w:noProof/>
        </w:rPr>
        <w:t>, 2016)</w:t>
      </w:r>
      <w:r>
        <w:fldChar w:fldCharType="end"/>
      </w:r>
      <w:r>
        <w:t>. The greater likelihood of an Ornstein-</w:t>
      </w:r>
      <w:proofErr w:type="spellStart"/>
      <w:r>
        <w:t>Uhlenbeck</w:t>
      </w:r>
      <w:proofErr w:type="spellEnd"/>
      <w:r>
        <w:t xml:space="preserve"> </w:t>
      </w:r>
      <w:r w:rsidR="001A1274">
        <w:t xml:space="preserve">(OU) </w:t>
      </w:r>
      <w:r>
        <w:t xml:space="preserve">pattern of limited diversification around a local optimum </w:t>
      </w:r>
      <w:r>
        <w:fldChar w:fldCharType="begin"/>
      </w:r>
      <w:r>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Pr>
          <w:noProof/>
        </w:rPr>
        <w:t>(Harmon</w:t>
      </w:r>
      <w:r w:rsidRPr="004550BE">
        <w:rPr>
          <w:i/>
          <w:noProof/>
        </w:rPr>
        <w:t xml:space="preserve"> et al.</w:t>
      </w:r>
      <w:r>
        <w:rPr>
          <w:noProof/>
        </w:rPr>
        <w:t>, 2010)</w:t>
      </w:r>
      <w:r>
        <w:fldChar w:fldCharType="end"/>
      </w:r>
      <w:r>
        <w:t xml:space="preserve"> reinforces this impression, particularly because </w:t>
      </w:r>
      <w:r w:rsidR="00AC1D7B">
        <w:t xml:space="preserve">size itself </w:t>
      </w:r>
      <w:r w:rsidR="00E622ED">
        <w:t xml:space="preserve">most likely evolves according to BM. </w:t>
      </w:r>
      <w:r>
        <w:t xml:space="preserve">However, </w:t>
      </w:r>
      <w:r w:rsidR="005C1908">
        <w:t xml:space="preserve">the OU- mode of evolution is also most likely in our residual dataset, foreshadowing the finds of our downstream analyses that </w:t>
      </w:r>
      <w:r>
        <w:t xml:space="preserve">allometric variation </w:t>
      </w:r>
      <w:r w:rsidR="005C1908">
        <w:t>is</w:t>
      </w:r>
      <w:r>
        <w:t xml:space="preserve"> only one manifestation of the overarching impact </w:t>
      </w:r>
      <w:r w:rsidR="001A1274">
        <w:t>of</w:t>
      </w:r>
      <w:r>
        <w:t xml:space="preserve"> biomechanical adaptation on the rodent cranium. </w:t>
      </w:r>
    </w:p>
    <w:p w14:paraId="5BE129DB" w14:textId="0F990A07" w:rsidR="00D37864" w:rsidRDefault="005C1908" w:rsidP="000A2700">
      <w:pPr>
        <w:spacing w:line="480" w:lineRule="auto"/>
        <w:ind w:firstLine="720"/>
      </w:pPr>
      <w:r>
        <w:t xml:space="preserve">An OU pattern is also suggested by plotting morphological divergences against time, which plateau around 2 million years. Of particular interest here are several “spikes” of morphological divergence where a substantial change in either size or cranial function </w:t>
      </w:r>
      <w:proofErr w:type="gramStart"/>
      <w:r>
        <w:t xml:space="preserve">evolved </w:t>
      </w:r>
      <w:r w:rsidR="00117A04">
        <w:t>.</w:t>
      </w:r>
      <w:proofErr w:type="gramEnd"/>
      <w:r w:rsidR="00117A04">
        <w:t xml:space="preserve"> </w:t>
      </w:r>
      <w:r w:rsidR="00E622ED">
        <w:t xml:space="preserve">In the full shape dataset, this </w:t>
      </w:r>
      <w:r w:rsidR="00FA2890">
        <w:t>corresponds to</w:t>
      </w:r>
      <w:r w:rsidR="00E622ED">
        <w:t xml:space="preserve"> the </w:t>
      </w:r>
      <w:r w:rsidR="00FA2890">
        <w:t xml:space="preserve">evolution of </w:t>
      </w:r>
      <w:r w:rsidR="00E622ED">
        <w:t xml:space="preserve">unique– but allometrically expected </w:t>
      </w:r>
      <w:r w:rsidR="00E622ED">
        <w:lastRenderedPageBreak/>
        <w:t xml:space="preserve">- shapes of the </w:t>
      </w:r>
      <w:r w:rsidR="003B404E">
        <w:t>large-bodied frugivores</w:t>
      </w:r>
      <w:r w:rsidR="00E622ED">
        <w:t xml:space="preserve"> </w:t>
      </w:r>
      <w:r w:rsidR="003B404E">
        <w:fldChar w:fldCharType="begin"/>
      </w:r>
      <w:r w:rsidR="003B404E">
        <w:instrText xml:space="preserve"> ADDIN EN.CITE &lt;EndNote&gt;&lt;Cite&gt;&lt;Author&gt;Marcy&lt;/Author&gt;&lt;Year&gt;2020&lt;/Year&gt;&lt;RecNum&gt;5&lt;/RecNum&gt;&lt;Prefix&gt;sensu Schluter`; &lt;/Prefix&gt;&lt;DisplayText&gt;(sensu Schluter; 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3B404E">
        <w:fldChar w:fldCharType="separate"/>
      </w:r>
      <w:r w:rsidR="003B404E">
        <w:rPr>
          <w:noProof/>
        </w:rPr>
        <w:t>(sensu Schluter; Marcy</w:t>
      </w:r>
      <w:r w:rsidR="003B404E" w:rsidRPr="004550BE">
        <w:rPr>
          <w:i/>
          <w:noProof/>
        </w:rPr>
        <w:t xml:space="preserve"> et al.</w:t>
      </w:r>
      <w:r w:rsidR="003B404E">
        <w:rPr>
          <w:noProof/>
        </w:rPr>
        <w:t>, 2020)</w:t>
      </w:r>
      <w:r w:rsidR="003B404E">
        <w:fldChar w:fldCharType="end"/>
      </w:r>
      <w:r w:rsidR="003B404E">
        <w:t xml:space="preserve">. </w:t>
      </w:r>
      <w:r w:rsidR="00FA2890">
        <w:t>Changes of lesser magnitude are then revealed by the allometry-free data, where</w:t>
      </w:r>
      <w:r w:rsidR="003B404E">
        <w:t xml:space="preserve"> divergence</w:t>
      </w:r>
      <w:r w:rsidR="00E622ED">
        <w:t>s</w:t>
      </w:r>
      <w:r w:rsidR="003B404E">
        <w:t xml:space="preserve"> </w:t>
      </w:r>
      <w:r w:rsidR="00E622ED">
        <w:t>are greatest where the dietary shift to carnivory select</w:t>
      </w:r>
      <w:r w:rsidR="00556C57">
        <w:t>ed</w:t>
      </w:r>
      <w:r w:rsidR="00E622ED">
        <w:t xml:space="preserve"> for a fundamentally different masticatory action </w:t>
      </w:r>
      <w:r w:rsidR="00E622ED">
        <w:fldChar w:fldCharType="begin"/>
      </w:r>
      <w:r w:rsidR="00E622ED">
        <w:instrText xml:space="preserve"> ADDIN EN.CITE &lt;EndNote&gt;&lt;Cite&gt;&lt;Author&gt;Freeman&lt;/Author&gt;&lt;Year&gt;2008&lt;/Year&gt;&lt;RecNum&gt;64&lt;/RecNum&gt;&lt;DisplayText&gt;(Freeman &amp;amp; Lemen, 2008; Satoh &amp;amp; Iwaku, 2006)&lt;/DisplayText&gt;&lt;record&gt;&lt;rec-number&gt;64&lt;/rec-number&gt;&lt;foreign-keys&gt;&lt;key app="EN" db-id="p9vfsf2vj2tvwjevww9pzwfazxfv5txvw5ap" timestamp="1712289762"&gt;64&lt;/key&gt;&lt;/foreign-keys&gt;&lt;ref-type name="Journal Article"&gt;17&lt;/ref-type&gt;&lt;contributors&gt;&lt;authors&gt;&lt;author&gt;Freeman, P. W.&lt;/author&gt;&lt;author&gt;Lemen, C. A.&lt;/author&gt;&lt;/authors&gt;&lt;/contributors&gt;&lt;titles&gt;&lt;title&gt;A simple morphological predictor of bite force in rodents&lt;/title&gt;&lt;secondary-title&gt;Journal of Zoology&lt;/secondary-title&gt;&lt;/titles&gt;&lt;periodical&gt;&lt;full-title&gt;Journal of Zoology&lt;/full-title&gt;&lt;/periodical&gt;&lt;pages&gt;418-422&lt;/pages&gt;&lt;volume&gt;275&lt;/volume&gt;&lt;number&gt;4&lt;/number&gt;&lt;dates&gt;&lt;year&gt;2008&lt;/year&gt;&lt;/dates&gt;&lt;isbn&gt;0952-8369&lt;/isbn&gt;&lt;urls&gt;&lt;related-urls&gt;&lt;url&gt;https://zslpublications.onlinelibrary.wiley.com/doi/abs/10.1111/j.1469-7998.2008.00459.x&lt;/url&gt;&lt;/related-urls&gt;&lt;/urls&gt;&lt;electronic-resource-num&gt;https://doi.org/10.1111/j.1469-7998.2008.00459.x&lt;/electronic-resource-num&gt;&lt;/record&gt;&lt;/Cite&gt;&lt;Cite&gt;&lt;Author&gt;Satoh&lt;/Author&gt;&lt;Year&gt;2006&lt;/Year&gt;&lt;RecNum&gt;65&lt;/RecNum&gt;&lt;record&gt;&lt;rec-number&gt;65&lt;/rec-number&gt;&lt;foreign-keys&gt;&lt;key app="EN" db-id="p9vfsf2vj2tvwjevww9pzwfazxfv5txvw5ap" timestamp="1712290124"&gt;65&lt;/key&gt;&lt;/foreign-keys&gt;&lt;ref-type name="Journal Article"&gt;17&lt;/ref-type&gt;&lt;contributors&gt;&lt;authors&gt;&lt;author&gt;Satoh, Kazuhiko&lt;/author&gt;&lt;author&gt;Iwaku, Fumihiko&lt;/author&gt;&lt;/authors&gt;&lt;/contributors&gt;&lt;titles&gt;&lt;title&gt;Jaw muscle functional anatomy in northern grasshopper mouse, Onychomys leucogaster, a carnivorous murid&lt;/title&gt;&lt;secondary-title&gt;Journal of Morphology&lt;/secondary-title&gt;&lt;/titles&gt;&lt;periodical&gt;&lt;full-title&gt;Journal of Morphology&lt;/full-title&gt;&lt;/periodical&gt;&lt;pages&gt;987-999&lt;/pages&gt;&lt;volume&gt;267&lt;/volume&gt;&lt;number&gt;8&lt;/number&gt;&lt;dates&gt;&lt;year&gt;2006&lt;/year&gt;&lt;/dates&gt;&lt;isbn&gt;0362-2525&lt;/isbn&gt;&lt;urls&gt;&lt;related-urls&gt;&lt;url&gt;https://onlinelibrary.wiley.com/doi/abs/10.1002/jmor.10443&lt;/url&gt;&lt;/related-urls&gt;&lt;/urls&gt;&lt;electronic-resource-num&gt;https://doi.org/10.1002/jmor.10443&lt;/electronic-resource-num&gt;&lt;/record&gt;&lt;/Cite&gt;&lt;/EndNote&gt;</w:instrText>
      </w:r>
      <w:r w:rsidR="00E622ED">
        <w:fldChar w:fldCharType="separate"/>
      </w:r>
      <w:r w:rsidR="00E622ED">
        <w:rPr>
          <w:noProof/>
        </w:rPr>
        <w:t>(Freeman &amp; Lemen, 2008; Satoh &amp; Iwaku, 2006)</w:t>
      </w:r>
      <w:r w:rsidR="00E622ED">
        <w:fldChar w:fldCharType="end"/>
      </w:r>
      <w:r w:rsidR="00117A04">
        <w:t>, and where the</w:t>
      </w:r>
      <w:r w:rsidR="003B404E">
        <w:t xml:space="preserve"> hopping </w:t>
      </w:r>
      <w:r w:rsidR="003B404E">
        <w:rPr>
          <w:i/>
        </w:rPr>
        <w:t>Notomys</w:t>
      </w:r>
      <w:r w:rsidR="003B404E">
        <w:t xml:space="preserve"> </w:t>
      </w:r>
      <w:r w:rsidR="00117A04">
        <w:t>display a</w:t>
      </w:r>
      <w:r w:rsidR="003B404E">
        <w:t xml:space="preserve"> change in the genus-level allometric multidimensional intercept</w:t>
      </w:r>
      <w:r w:rsidR="00AF057B">
        <w:t xml:space="preserve"> (</w:t>
      </w:r>
      <w:r w:rsidR="00117A04">
        <w:t>discussed further below)</w:t>
      </w:r>
      <w:r w:rsidR="003B404E">
        <w:t xml:space="preserve">. </w:t>
      </w:r>
    </w:p>
    <w:p w14:paraId="4C445303" w14:textId="70E3E567" w:rsidR="00017363" w:rsidRDefault="009637AC" w:rsidP="00684B6D">
      <w:pPr>
        <w:spacing w:line="480" w:lineRule="auto"/>
        <w:ind w:firstLine="720"/>
      </w:pPr>
      <w:r>
        <w:t>The OU-patterned evolution of shape in allometric and allometry-free contexts is also reflected in the fact that the</w:t>
      </w:r>
      <w:r w:rsidR="005D171E">
        <w:t xml:space="preserve"> cranium and </w:t>
      </w:r>
      <w:proofErr w:type="gramStart"/>
      <w:r w:rsidR="005D171E">
        <w:t>all</w:t>
      </w:r>
      <w:proofErr w:type="gramEnd"/>
      <w:r w:rsidR="005D171E">
        <w:t xml:space="preserve"> but one pair of modules remain significantly </w:t>
      </w:r>
      <w:r w:rsidR="00D7787B">
        <w:t>and sometimes</w:t>
      </w:r>
      <w:r w:rsidR="003E13B3">
        <w:t xml:space="preserve"> slightly</w:t>
      </w:r>
      <w:r w:rsidR="00D7787B">
        <w:t xml:space="preserve"> more </w:t>
      </w:r>
      <w:r w:rsidR="005D171E">
        <w:t>integrated</w:t>
      </w:r>
      <w:r w:rsidR="00366596">
        <w:t xml:space="preserve"> </w:t>
      </w:r>
      <w:r w:rsidR="00D7787B">
        <w:t>after removal of allometry</w:t>
      </w:r>
      <w:r w:rsidR="00FE5C11">
        <w:t>, confirming our expectation that allometric patterns are just one manifestation</w:t>
      </w:r>
      <w:r>
        <w:t xml:space="preserve"> of cranial adaptation and do</w:t>
      </w:r>
      <w:r w:rsidR="00556C57">
        <w:t xml:space="preserve"> not represent a singular constraining process</w:t>
      </w:r>
      <w:r w:rsidR="00FE5C11">
        <w:t>.</w:t>
      </w:r>
      <w:r w:rsidR="00366596">
        <w:t xml:space="preserve"> </w:t>
      </w:r>
      <w:r w:rsidR="00017363">
        <w:t>The extremely high integration between the rostrum and the cranial vault</w:t>
      </w:r>
      <w:r w:rsidR="003E13B3">
        <w:t xml:space="preserve"> </w:t>
      </w:r>
      <w:r w:rsidR="00017363">
        <w:t xml:space="preserve">in the full dataset </w:t>
      </w:r>
      <w:r w:rsidR="005C1908">
        <w:t xml:space="preserve">is </w:t>
      </w:r>
      <w:r w:rsidR="00017363">
        <w:t xml:space="preserve">predicted by CREA, </w:t>
      </w:r>
      <w:r w:rsidR="003E13B3">
        <w:t>and</w:t>
      </w:r>
      <w:r w:rsidR="00017363">
        <w:t xml:space="preserve"> notable because it </w:t>
      </w:r>
      <w:r w:rsidR="003E13B3">
        <w:t>supports the hypothesis of Mitchell et al. (2024) that CREA is a mosaic arising from different mechanisms: bite force allometry affecting the rostral area and</w:t>
      </w:r>
      <w:r w:rsidR="00017363">
        <w:t xml:space="preserve"> hypo-allometry of the brain</w:t>
      </w:r>
      <w:r w:rsidR="003E13B3">
        <w:t xml:space="preserve"> affecting the cranial vault. Consistent with CREA patterns being driven mostly by allometry, the integration between the vault and the rostrum also drops most dramatically after the removal of size</w:t>
      </w:r>
      <w:r w:rsidR="00FC4A4E">
        <w:t>. However, the significant integration remaining between all but one module</w:t>
      </w:r>
      <w:r w:rsidR="005C1908">
        <w:t xml:space="preserve"> </w:t>
      </w:r>
      <w:r w:rsidR="00692FAA">
        <w:t xml:space="preserve">pair </w:t>
      </w:r>
      <w:r w:rsidR="005C1908">
        <w:t>after size removal</w:t>
      </w:r>
      <w:r w:rsidR="00FC4A4E">
        <w:t xml:space="preserve"> </w:t>
      </w:r>
      <w:r w:rsidR="005C1908">
        <w:t>again emphasizes that other sources of covariation clearly shape cranial variation in Australian rodents.</w:t>
      </w:r>
      <w:r w:rsidR="000A2700">
        <w:t xml:space="preserve"> </w:t>
      </w:r>
    </w:p>
    <w:p w14:paraId="00D582A9" w14:textId="5FD79FC7" w:rsidR="000A2700" w:rsidRDefault="000A2700" w:rsidP="00684B6D">
      <w:pPr>
        <w:spacing w:line="480" w:lineRule="auto"/>
        <w:ind w:firstLine="720"/>
      </w:pPr>
      <w:r>
        <w:t xml:space="preserve">As already discussed in Marcy et al. (2020), the allometric prediction and variation among PC1 extremes support the existence of a CREA pattern </w:t>
      </w:r>
      <w:r w:rsidR="00B9790A">
        <w:t xml:space="preserve">of rostral elongation and relative reduction of braincase size. However, the gracilization that is part of the expected CREA pattern is not as apparent in our sample as it is in other mammals </w:t>
      </w:r>
      <w:r w:rsidR="00B9790A">
        <w:fldChar w:fldCharType="begin"/>
      </w:r>
      <w:r w:rsidR="00B9790A">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B9790A">
        <w:fldChar w:fldCharType="separate"/>
      </w:r>
      <w:r w:rsidR="00B9790A">
        <w:rPr>
          <w:noProof/>
        </w:rPr>
        <w:t>(Mitchell</w:t>
      </w:r>
      <w:r w:rsidR="00B9790A" w:rsidRPr="00B9790A">
        <w:rPr>
          <w:i/>
          <w:noProof/>
        </w:rPr>
        <w:t xml:space="preserve"> et al.</w:t>
      </w:r>
      <w:r w:rsidR="00B9790A">
        <w:rPr>
          <w:noProof/>
        </w:rPr>
        <w:t>, 2024)</w:t>
      </w:r>
      <w:r w:rsidR="00B9790A">
        <w:fldChar w:fldCharType="end"/>
      </w:r>
      <w:r w:rsidR="00B9790A">
        <w:t xml:space="preserve"> because the rostral elongation coincides with a dorsal expansion of the rostrum. Visual assessment of the </w:t>
      </w:r>
      <w:r w:rsidR="00B9790A">
        <w:lastRenderedPageBreak/>
        <w:t>cranial meshes in Fig. 3 suggests that this might be a unique feature of</w:t>
      </w:r>
      <w:r w:rsidR="008B48CD">
        <w:t xml:space="preserve"> rodent</w:t>
      </w:r>
      <w:r w:rsidR="00B9790A">
        <w:t xml:space="preserve"> cranial allometry </w:t>
      </w:r>
      <w:r w:rsidR="008B48CD">
        <w:t xml:space="preserve">related to the ever-growing incisors, which </w:t>
      </w:r>
      <w:r w:rsidR="00B9790A">
        <w:t xml:space="preserve">extend </w:t>
      </w:r>
      <w:r w:rsidR="008B48CD">
        <w:t>much further</w:t>
      </w:r>
      <w:r w:rsidR="00B9790A">
        <w:t xml:space="preserve"> into the dorsal rostrum</w:t>
      </w:r>
      <w:r w:rsidR="008B48CD">
        <w:t xml:space="preserve"> compared to other mammals</w:t>
      </w:r>
      <w:r w:rsidR="00B9790A">
        <w:t xml:space="preserve"> and are known to dominate the rostral shape of rodents </w:t>
      </w:r>
      <w:r w:rsidR="00B9790A">
        <w:fldChar w:fldCharType="begin"/>
      </w:r>
      <w:r w:rsidR="00B9790A">
        <w:instrText xml:space="preserve"> ADDIN EN.CITE &lt;EndNote&gt;&lt;Cite&gt;&lt;Author&gt;Marcy&lt;/Author&gt;&lt;Year&gt;2016&lt;/Year&gt;&lt;RecNum&gt;46&lt;/RecNum&gt;&lt;DisplayText&gt;(Marcy&lt;style face="italic"&gt; et al.&lt;/style&gt;, 2016)&lt;/DisplayText&gt;&lt;record&gt;&lt;rec-number&gt;46&lt;/rec-number&gt;&lt;foreign-keys&gt;&lt;key app="EN" db-id="p9vfsf2vj2tvwjevww9pzwfazxfv5txvw5ap" timestamp="1709692331"&gt;46&lt;/key&gt;&lt;/foreign-keys&gt;&lt;ref-type name="Journal Article"&gt;17&lt;/ref-type&gt;&lt;contributors&gt;&lt;authors&gt;&lt;author&gt;Marcy, A. E.&lt;/author&gt;&lt;author&gt;Hadly, E. A.&lt;/author&gt;&lt;author&gt;Sherratt, E.&lt;/author&gt;&lt;author&gt;Garland, K.&lt;/author&gt;&lt;author&gt;Weisbecker, V.&lt;/author&gt;&lt;/authors&gt;&lt;/contributors&gt;&lt;titles&gt;&lt;title&gt;&lt;style face="normal" font="default" size="100%"&gt;Getting a head in hard soils: Convergent skull evolution and divergent allometric patterns explain shape variation in a highly diverse genus of pocket gophers (&lt;/style&gt;&lt;style face="italic" font="default" size="100%"&gt;Thomomys&lt;/style&gt;&lt;style face="normal" font="default" size="100%"&gt;)&lt;/style&gt;&lt;/title&gt;&lt;secondary-title&gt;BMC Evolutionary Biology&lt;/secondary-title&gt;&lt;/titles&gt;&lt;periodical&gt;&lt;full-title&gt;BMC Evolutionary Biology&lt;/full-title&gt;&lt;/periodical&gt;&lt;pages&gt;207&lt;/pages&gt;&lt;volume&gt;16&lt;/volume&gt;&lt;number&gt;1&lt;/number&gt;&lt;dates&gt;&lt;year&gt;2016&lt;/year&gt;&lt;pub-dates&gt;&lt;date&gt;2016/10/10&lt;/date&gt;&lt;/pub-dates&gt;&lt;/dates&gt;&lt;isbn&gt;1471-2148&lt;/isbn&gt;&lt;urls&gt;&lt;related-urls&gt;&lt;url&gt;https://doi.org/10.1186/s12862-016-0782-1&lt;/url&gt;&lt;/related-urls&gt;&lt;/urls&gt;&lt;electronic-resource-num&gt;https://doi.org/10.1186/s12862-016-0782-1&lt;/electronic-resource-num&gt;&lt;/record&gt;&lt;/Cite&gt;&lt;/EndNote&gt;</w:instrText>
      </w:r>
      <w:r w:rsidR="00B9790A">
        <w:fldChar w:fldCharType="separate"/>
      </w:r>
      <w:r w:rsidR="00B9790A">
        <w:rPr>
          <w:noProof/>
        </w:rPr>
        <w:t>(Marcy</w:t>
      </w:r>
      <w:r w:rsidR="00B9790A" w:rsidRPr="00B9790A">
        <w:rPr>
          <w:i/>
          <w:noProof/>
        </w:rPr>
        <w:t xml:space="preserve"> et al.</w:t>
      </w:r>
      <w:r w:rsidR="00B9790A">
        <w:rPr>
          <w:noProof/>
        </w:rPr>
        <w:t>, 2016)</w:t>
      </w:r>
      <w:r w:rsidR="00B9790A">
        <w:fldChar w:fldCharType="end"/>
      </w:r>
      <w:r w:rsidR="00B9790A">
        <w:t>.</w:t>
      </w:r>
    </w:p>
    <w:p w14:paraId="2078DBB0" w14:textId="2F445CBF" w:rsidR="00AF7813" w:rsidRDefault="005C1908" w:rsidP="005C1908">
      <w:pPr>
        <w:spacing w:line="480" w:lineRule="auto"/>
      </w:pPr>
      <w:r>
        <w:tab/>
      </w:r>
      <w:r w:rsidR="00692FAA">
        <w:t xml:space="preserve">While our ordinations, </w:t>
      </w:r>
      <w:proofErr w:type="spellStart"/>
      <w:r w:rsidR="00692FAA">
        <w:t>visualisations</w:t>
      </w:r>
      <w:proofErr w:type="spellEnd"/>
      <w:r w:rsidR="00692FAA">
        <w:t xml:space="preserve"> of shape change, and integration results are all consistent with the existence of a CREA pattern, a challenge arises through the very low (even non-significant, in separate GPAs) amount of variation in the rostrum that is attributable to size. Interpreting this unexpected result represents a challenge and we </w:t>
      </w:r>
      <w:r w:rsidR="00B27B76">
        <w:t xml:space="preserve">can only </w:t>
      </w:r>
      <w:r w:rsidR="00692FAA">
        <w:t>offer some suggestions</w:t>
      </w:r>
      <w:r w:rsidR="00B27B76">
        <w:t xml:space="preserve"> here</w:t>
      </w:r>
      <w:r w:rsidR="00692FAA">
        <w:t xml:space="preserve">. </w:t>
      </w:r>
      <w:r w:rsidR="003024F1">
        <w:t xml:space="preserve">One possibility is that the </w:t>
      </w:r>
      <w:proofErr w:type="spellStart"/>
      <w:r w:rsidR="003024F1">
        <w:t>visualisations</w:t>
      </w:r>
      <w:proofErr w:type="spellEnd"/>
      <w:r w:rsidR="003024F1">
        <w:t xml:space="preserve"> of Procrustes-superimposed landmark variation are victim </w:t>
      </w:r>
      <w:r w:rsidR="000A2700">
        <w:t>to</w:t>
      </w:r>
      <w:r w:rsidR="003024F1">
        <w:t xml:space="preserve"> the “Pinocchio-Effect”, where variation in the tip of a triangular shape – such as most vertebrate rostra - </w:t>
      </w:r>
      <w:r w:rsidR="00692FAA">
        <w:t>is</w:t>
      </w:r>
      <w:r w:rsidR="003024F1">
        <w:t xml:space="preserve"> exaggerated </w:t>
      </w:r>
      <w:r w:rsidR="003024F1">
        <w:fldChar w:fldCharType="begin"/>
      </w:r>
      <w:r w:rsidR="003024F1">
        <w:instrText xml:space="preserve"> ADDIN EN.CITE &lt;EndNote&gt;&lt;Cite&gt;&lt;Author&gt;Klingenberg&lt;/Author&gt;&lt;Year&gt;2021&lt;/Year&gt;&lt;RecNum&gt;77&lt;/RecNum&gt;&lt;Prefix&gt;summarized in &lt;/Prefix&gt;&lt;DisplayText&gt;(summarized in Klingenberg, 2021)&lt;/DisplayText&gt;&lt;record&gt;&lt;rec-number&gt;77&lt;/rec-number&gt;&lt;foreign-keys&gt;&lt;key app="EN" db-id="p9vfsf2vj2tvwjevww9pzwfazxfv5txvw5ap" timestamp="1712814073"&gt;77&lt;/key&gt;&lt;/foreign-keys&gt;&lt;ref-type name="Journal Article"&gt;17&lt;/ref-type&gt;&lt;contributors&gt;&lt;authors&gt;&lt;author&gt;Klingenberg, Christian Peter&lt;/author&gt;&lt;/authors&gt;&lt;/contributors&gt;&lt;titles&gt;&lt;title&gt;How Exactly Did the Nose Get That Long? A Critical Rethinking of the Pinocchio Effect and How Shape Changes Relate to Landmarks&lt;/title&gt;&lt;secondary-title&gt;Evolutionary Biology&lt;/secondary-title&gt;&lt;/titles&gt;&lt;periodical&gt;&lt;full-title&gt;Evolutionary Biology&lt;/full-title&gt;&lt;/periodical&gt;&lt;pages&gt;115-127&lt;/pages&gt;&lt;volume&gt;48&lt;/volume&gt;&lt;number&gt;1&lt;/number&gt;&lt;dates&gt;&lt;year&gt;2021&lt;/year&gt;&lt;pub-dates&gt;&lt;date&gt;2021/03/01&lt;/date&gt;&lt;/pub-dates&gt;&lt;/dates&gt;&lt;isbn&gt;1934-2845&lt;/isbn&gt;&lt;urls&gt;&lt;related-urls&gt;&lt;url&gt;https://doi.org/10.1007/s11692-020-09520-y&lt;/url&gt;&lt;/related-urls&gt;&lt;/urls&gt;&lt;electronic-resource-num&gt;10.1007/s11692-020-09520-y&lt;/electronic-resource-num&gt;&lt;/record&gt;&lt;/Cite&gt;&lt;/EndNote&gt;</w:instrText>
      </w:r>
      <w:r w:rsidR="003024F1">
        <w:fldChar w:fldCharType="separate"/>
      </w:r>
      <w:r w:rsidR="003024F1">
        <w:rPr>
          <w:noProof/>
        </w:rPr>
        <w:t>(summarized in Klingenberg, 2021)</w:t>
      </w:r>
      <w:r w:rsidR="003024F1">
        <w:fldChar w:fldCharType="end"/>
      </w:r>
      <w:r w:rsidR="003024F1">
        <w:t>.</w:t>
      </w:r>
      <w:r w:rsidR="00692FAA">
        <w:t xml:space="preserve"> However, this should also affect the statistical analyses of the rostral module</w:t>
      </w:r>
      <w:r w:rsidR="00B27B76">
        <w:t xml:space="preserve">; moreover, </w:t>
      </w:r>
      <w:r w:rsidR="007A4070">
        <w:t>comparisons of cranial meshes demonstrate that the differences in rostral shape between small and large species are real and substantial</w:t>
      </w:r>
      <w:r w:rsidR="003024F1">
        <w:t xml:space="preserve">. </w:t>
      </w:r>
      <w:r w:rsidR="000A2700">
        <w:t>It is probably relevant that rostral shape is clearly shaped by more processes</w:t>
      </w:r>
      <w:r w:rsidR="00AF7813">
        <w:t xml:space="preserve"> </w:t>
      </w:r>
      <w:r w:rsidR="000A2700">
        <w:t xml:space="preserve">(e.g. variation in angle as seen in residual PC1), than the cranial vault </w:t>
      </w:r>
      <w:r w:rsidR="00AF7813">
        <w:t xml:space="preserve">whose variation and disparity are </w:t>
      </w:r>
      <w:r w:rsidR="000A2700">
        <w:t>strongly</w:t>
      </w:r>
      <w:r w:rsidR="00AF7813">
        <w:t xml:space="preserve"> driven by size. A strong </w:t>
      </w:r>
      <w:r w:rsidR="000A2700">
        <w:t xml:space="preserve">association between the substantial allometric component of vault variation and low allometric component of rostrum variation would then explain the high integration values and emphasis on rostral shape variation in the </w:t>
      </w:r>
      <w:proofErr w:type="spellStart"/>
      <w:r w:rsidR="000A2700">
        <w:t>visualisations</w:t>
      </w:r>
      <w:proofErr w:type="spellEnd"/>
      <w:r w:rsidR="000A2700">
        <w:t xml:space="preserve">, </w:t>
      </w:r>
      <w:proofErr w:type="gramStart"/>
      <w:r w:rsidR="000A2700">
        <w:t>and also</w:t>
      </w:r>
      <w:proofErr w:type="gramEnd"/>
      <w:r w:rsidR="000A2700">
        <w:t xml:space="preserve"> account for the drastically and significantly lower strength of integration between the two after size removal. </w:t>
      </w:r>
    </w:p>
    <w:p w14:paraId="7DAC2B49" w14:textId="393EE2B7" w:rsidR="000E15A6" w:rsidRDefault="00FE5C11" w:rsidP="00684B6D">
      <w:pPr>
        <w:spacing w:line="480" w:lineRule="auto"/>
        <w:ind w:firstLine="720"/>
      </w:pPr>
      <w:r>
        <w:t xml:space="preserve">The Australian </w:t>
      </w:r>
      <w:proofErr w:type="spellStart"/>
      <w:r>
        <w:t>muroids</w:t>
      </w:r>
      <w:proofErr w:type="spellEnd"/>
      <w:r>
        <w:t xml:space="preserve"> in our sample display relatively few dietary </w:t>
      </w:r>
      <w:proofErr w:type="spellStart"/>
      <w:r>
        <w:t>specialisations</w:t>
      </w:r>
      <w:proofErr w:type="spellEnd"/>
      <w:r>
        <w:t xml:space="preserve">, </w:t>
      </w:r>
      <w:r w:rsidR="00EB0E80">
        <w:t xml:space="preserve">which prevented statistical analyses of their influence on cranial variation. However, </w:t>
      </w:r>
      <w:r>
        <w:t>a focus on the distribution of these species</w:t>
      </w:r>
      <w:r w:rsidR="00556C57">
        <w:t>’ cranial shape</w:t>
      </w:r>
      <w:r>
        <w:t xml:space="preserve"> in the full and residual shape morphospaces is </w:t>
      </w:r>
      <w:r>
        <w:lastRenderedPageBreak/>
        <w:t xml:space="preserve">consistent with known hypotheses of mammalian cranial </w:t>
      </w:r>
      <w:r w:rsidR="00EB0E80">
        <w:t>biomechanics</w:t>
      </w:r>
      <w:r>
        <w:t xml:space="preserve">. </w:t>
      </w:r>
      <w:r w:rsidR="00EE1CC5">
        <w:t>Residual PC1 emphasizes</w:t>
      </w:r>
      <w:r w:rsidR="000E15A6">
        <w:t xml:space="preserve"> the angle at which the rostrum and incisors are situated relative to the remainder of the cranium</w:t>
      </w:r>
      <w:r w:rsidR="00380507">
        <w:t>. This</w:t>
      </w:r>
      <w:r w:rsidR="000E15A6">
        <w:t xml:space="preserve"> </w:t>
      </w:r>
      <w:r w:rsidR="00A21F2A">
        <w:t>will result</w:t>
      </w:r>
      <w:r w:rsidR="000E15A6">
        <w:t xml:space="preserve"> in a change</w:t>
      </w:r>
      <w:r w:rsidR="001F08AE">
        <w:t>d</w:t>
      </w:r>
      <w:r w:rsidR="000E15A6">
        <w:t xml:space="preserve"> </w:t>
      </w:r>
      <w:r w:rsidR="00A21F2A">
        <w:t>gape and leverage of incisor biting</w:t>
      </w:r>
      <w:r w:rsidR="00380507">
        <w:t xml:space="preserve">, an effect known </w:t>
      </w:r>
      <w:r w:rsidR="00866A5E">
        <w:t>to change gape and bite force in</w:t>
      </w:r>
      <w:r w:rsidR="00E92636">
        <w:t xml:space="preserve"> </w:t>
      </w:r>
      <w:r w:rsidR="00380507">
        <w:t>lower jaw of rodents</w:t>
      </w:r>
      <w:r w:rsidR="00866A5E">
        <w:t xml:space="preserve"> </w:t>
      </w:r>
      <w:r w:rsidR="00866A5E">
        <w:fldChar w:fldCharType="begin"/>
      </w:r>
      <w:r w:rsidR="00866A5E">
        <w:instrText xml:space="preserve"> ADDIN EN.CITE &lt;EndNote&gt;&lt;Cite&gt;&lt;Author&gt;Freeman&lt;/Author&gt;&lt;Year&gt;2008&lt;/Year&gt;&lt;RecNum&gt;64&lt;/RecNum&gt;&lt;DisplayText&gt;(Freeman &amp;amp; Lemen, 2008)&lt;/DisplayText&gt;&lt;record&gt;&lt;rec-number&gt;64&lt;/rec-number&gt;&lt;foreign-keys&gt;&lt;key app="EN" db-id="p9vfsf2vj2tvwjevww9pzwfazxfv5txvw5ap" timestamp="1712289762"&gt;64&lt;/key&gt;&lt;/foreign-keys&gt;&lt;ref-type name="Journal Article"&gt;17&lt;/ref-type&gt;&lt;contributors&gt;&lt;authors&gt;&lt;author&gt;Freeman, P. W.&lt;/author&gt;&lt;author&gt;Lemen, C. A.&lt;/author&gt;&lt;/authors&gt;&lt;/contributors&gt;&lt;titles&gt;&lt;title&gt;A simple morphological predictor of bite force in rodents&lt;/title&gt;&lt;secondary-title&gt;Journal of Zoology&lt;/secondary-title&gt;&lt;/titles&gt;&lt;periodical&gt;&lt;full-title&gt;Journal of Zoology&lt;/full-title&gt;&lt;/periodical&gt;&lt;pages&gt;418-422&lt;/pages&gt;&lt;volume&gt;275&lt;/volume&gt;&lt;number&gt;4&lt;/number&gt;&lt;dates&gt;&lt;year&gt;2008&lt;/year&gt;&lt;/dates&gt;&lt;isbn&gt;0952-8369&lt;/isbn&gt;&lt;urls&gt;&lt;related-urls&gt;&lt;url&gt;https://zslpublications.onlinelibrary.wiley.com/doi/abs/10.1111/j.1469-7998.2008.00459.x&lt;/url&gt;&lt;/related-urls&gt;&lt;/urls&gt;&lt;electronic-resource-num&gt;https://doi.org/10.1111/j.1469-7998.2008.00459.x&lt;/electronic-resource-num&gt;&lt;/record&gt;&lt;/Cite&gt;&lt;/EndNote&gt;</w:instrText>
      </w:r>
      <w:r w:rsidR="00866A5E">
        <w:fldChar w:fldCharType="separate"/>
      </w:r>
      <w:r w:rsidR="00866A5E">
        <w:rPr>
          <w:noProof/>
        </w:rPr>
        <w:t>(Freeman &amp; Lemen, 2008)</w:t>
      </w:r>
      <w:r w:rsidR="00866A5E">
        <w:fldChar w:fldCharType="end"/>
      </w:r>
      <w:r w:rsidR="00A21F2A">
        <w:t>. The carnivorous species, whose crania are least adapted to the extensive gnawing action typical of other rodents, have the straightest rostra</w:t>
      </w:r>
      <w:r w:rsidR="00380507">
        <w:t xml:space="preserve"> resulting in </w:t>
      </w:r>
      <w:r w:rsidR="00A21F2A">
        <w:t xml:space="preserve">widest gape, which is consistent with the </w:t>
      </w:r>
      <w:r w:rsidR="008B4CD1">
        <w:t xml:space="preserve">benefits of larger gapes </w:t>
      </w:r>
      <w:r w:rsidR="00E92636">
        <w:t>in carnivorous rodents</w:t>
      </w:r>
      <w:r w:rsidR="008B4CD1">
        <w:t xml:space="preserve"> </w:t>
      </w:r>
      <w:r w:rsidR="008B4CD1">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92636">
        <w:instrText xml:space="preserve"> ADDIN EN.CITE </w:instrText>
      </w:r>
      <w:r w:rsidR="00E92636">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92636">
        <w:instrText xml:space="preserve"> ADDIN EN.CITE.DATA </w:instrText>
      </w:r>
      <w:r w:rsidR="00E92636">
        <w:fldChar w:fldCharType="end"/>
      </w:r>
      <w:r w:rsidR="008B4CD1">
        <w:fldChar w:fldCharType="separate"/>
      </w:r>
      <w:r w:rsidR="00E92636">
        <w:rPr>
          <w:noProof/>
        </w:rPr>
        <w:t>(Hennekam</w:t>
      </w:r>
      <w:r w:rsidR="00E92636" w:rsidRPr="00E92636">
        <w:rPr>
          <w:i/>
          <w:noProof/>
        </w:rPr>
        <w:t xml:space="preserve"> et al.</w:t>
      </w:r>
      <w:r w:rsidR="00E92636">
        <w:rPr>
          <w:noProof/>
        </w:rPr>
        <w:t>, 2020; Satoh &amp; Iwaku, 2006; Williams</w:t>
      </w:r>
      <w:r w:rsidR="00E92636" w:rsidRPr="00E92636">
        <w:rPr>
          <w:i/>
          <w:noProof/>
        </w:rPr>
        <w:t xml:space="preserve"> et al.</w:t>
      </w:r>
      <w:r w:rsidR="00E92636">
        <w:rPr>
          <w:noProof/>
        </w:rPr>
        <w:t>, 2009)</w:t>
      </w:r>
      <w:r w:rsidR="008B4CD1">
        <w:fldChar w:fldCharType="end"/>
      </w:r>
      <w:r w:rsidR="00A21F2A">
        <w:t xml:space="preserve">. By contrast, the specialized </w:t>
      </w:r>
      <w:proofErr w:type="gramStart"/>
      <w:r w:rsidR="00EB0E80">
        <w:t>grass-feeding</w:t>
      </w:r>
      <w:proofErr w:type="gramEnd"/>
      <w:r w:rsidR="00EB0E80">
        <w:t xml:space="preserve"> </w:t>
      </w:r>
      <w:proofErr w:type="spellStart"/>
      <w:r w:rsidR="00EB0E80">
        <w:rPr>
          <w:i/>
          <w:iCs/>
        </w:rPr>
        <w:t>Mastacomys</w:t>
      </w:r>
      <w:proofErr w:type="spellEnd"/>
      <w:r w:rsidR="00A21F2A">
        <w:t xml:space="preserve"> </w:t>
      </w:r>
      <w:r w:rsidR="00EB0E80">
        <w:t xml:space="preserve">and granivore </w:t>
      </w:r>
      <w:r w:rsidR="00EB0E80">
        <w:rPr>
          <w:i/>
          <w:iCs/>
        </w:rPr>
        <w:t xml:space="preserve">Conilurus penicillatus </w:t>
      </w:r>
      <w:r w:rsidR="00EB0E80">
        <w:t xml:space="preserve">score </w:t>
      </w:r>
      <w:r w:rsidR="00A21F2A">
        <w:t>low on both the residual PC1 and 2, reflecting curved anterior rostra and</w:t>
      </w:r>
      <w:r w:rsidR="00323F8B">
        <w:t xml:space="preserve"> overall</w:t>
      </w:r>
      <w:r>
        <w:t xml:space="preserve"> smaller cranial </w:t>
      </w:r>
      <w:r w:rsidR="00323F8B">
        <w:t>vaults</w:t>
      </w:r>
      <w:r w:rsidR="00A21F2A">
        <w:t xml:space="preserve">. This </w:t>
      </w:r>
      <w:r w:rsidR="00EB0E80">
        <w:t>is consistent with finds of</w:t>
      </w:r>
      <w:r w:rsidR="00A21F2A">
        <w:t xml:space="preserve"> the wider skulls and dorsally shifted temporalis muscles that increase the mechanical advantage for masticating fibrous foods, which has evolved in specialist folivores across several rodent families </w:t>
      </w:r>
      <w:r w:rsidR="00A21F2A">
        <w:fldChar w:fldCharType="begin"/>
      </w:r>
      <w:r w:rsidR="00A21F2A">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21F2A">
        <w:fldChar w:fldCharType="separate"/>
      </w:r>
      <w:r w:rsidR="00A21F2A">
        <w:rPr>
          <w:noProof/>
        </w:rPr>
        <w:t>(Samuels, 2009)</w:t>
      </w:r>
      <w:r w:rsidR="00A21F2A">
        <w:fldChar w:fldCharType="end"/>
      </w:r>
      <w:r w:rsidR="00323F8B">
        <w:t xml:space="preserve"> and leads to more robust cranial dimensions</w:t>
      </w:r>
      <w:r>
        <w:t xml:space="preserve"> in this species </w:t>
      </w:r>
      <w:r>
        <w:fldChar w:fldCharType="begin"/>
      </w:r>
      <w:r>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&amp; Ford, 2007)</w:t>
      </w:r>
      <w:r>
        <w:fldChar w:fldCharType="end"/>
      </w:r>
      <w:r>
        <w:t xml:space="preserve"> and other folivores</w:t>
      </w:r>
      <w:r w:rsidR="00323F8B">
        <w:t xml:space="preserve"> </w:t>
      </w:r>
      <w:r w:rsidR="00323F8B">
        <w:fldChar w:fldCharType="begin"/>
      </w:r>
      <w:r>
        <w:instrText xml:space="preserve"> ADDIN EN.CITE &lt;EndNote&gt;&lt;Cite&gt;&lt;Author&gt;Barbero&lt;/Author&gt;&lt;Year&gt;2023&lt;/Year&gt;&lt;RecNum&gt;68&lt;/RecNum&gt;&lt;DisplayText&gt;(Barbero&lt;style face="italic"&gt; et al.&lt;/style&gt;, 2023)&lt;/DisplayText&gt;&lt;record&gt;&lt;rec-number&gt;68&lt;/rec-number&gt;&lt;foreign-keys&gt;&lt;key app="EN" db-id="p9vfsf2vj2tvwjevww9pzwfazxfv5txvw5ap" timestamp="1712292421"&gt;68&lt;/key&gt;&lt;/foreign-keys&gt;&lt;ref-type name="Journal Article"&gt;17&lt;/ref-type&gt;&lt;contributors&gt;&lt;authors&gt;&lt;author&gt;Barbero, Sofía&lt;/author&gt;&lt;author&gt;Teta, Pablo&lt;/author&gt;&lt;author&gt;Cassini, Guillermo Hernán&lt;/author&gt;&lt;/authors&gt;&lt;/contributors&gt;&lt;titles&gt;&lt;title&gt;An ecomorphological approach to the relationship between craniomandibular morphology and diet in sigmodontine rodents from central-eastern Argentina&lt;/title&gt;&lt;secondary-title&gt;Zoology&lt;/secondary-title&gt;&lt;/titles&gt;&lt;periodical&gt;&lt;full-title&gt;Zoology&lt;/full-title&gt;&lt;/periodical&gt;&lt;pages&gt;126066&lt;/pages&gt;&lt;volume&gt;156&lt;/volume&gt;&lt;keywords&gt;&lt;keyword&gt;Ecomorphology&lt;/keyword&gt;&lt;keyword&gt;Trophic ecology&lt;/keyword&gt;&lt;keyword&gt;Form-function&lt;/keyword&gt;&lt;keyword&gt;Pampas&lt;/keyword&gt;&lt;keyword&gt;South America&lt;/keyword&gt;&lt;/keywords&gt;&lt;dates&gt;&lt;year&gt;2023&lt;/year&gt;&lt;pub-dates&gt;&lt;date&gt;2023/02/01/&lt;/date&gt;&lt;/pub-dates&gt;&lt;/dates&gt;&lt;isbn&gt;0944-2006&lt;/isbn&gt;&lt;urls&gt;&lt;related-urls&gt;&lt;url&gt;https://www.sciencedirect.com/science/article/pii/S0944200622000678&lt;/url&gt;&lt;/related-urls&gt;&lt;/urls&gt;&lt;electronic-resource-num&gt;https://doi.org/10.1016/j.zool.2022.126066&lt;/electronic-resource-num&gt;&lt;/record&gt;&lt;/Cite&gt;&lt;/EndNote&gt;</w:instrText>
      </w:r>
      <w:r w:rsidR="00323F8B">
        <w:fldChar w:fldCharType="separate"/>
      </w:r>
      <w:r>
        <w:rPr>
          <w:noProof/>
        </w:rPr>
        <w:t>(Barbero</w:t>
      </w:r>
      <w:r w:rsidRPr="00FE5C11">
        <w:rPr>
          <w:i/>
          <w:noProof/>
        </w:rPr>
        <w:t xml:space="preserve"> et al.</w:t>
      </w:r>
      <w:r>
        <w:rPr>
          <w:noProof/>
        </w:rPr>
        <w:t>, 2023)</w:t>
      </w:r>
      <w:r w:rsidR="00323F8B">
        <w:fldChar w:fldCharType="end"/>
      </w:r>
      <w:r w:rsidR="00A21F2A">
        <w:t>.</w:t>
      </w:r>
      <w:r w:rsidR="001F08AE" w:rsidRPr="001F08AE">
        <w:t xml:space="preserve"> </w:t>
      </w:r>
      <w:r w:rsidR="001F08AE">
        <w:t xml:space="preserve">Similarly, cranial morphology is expected to be determined by the toughest foods encountered by a species </w: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 </w:instrTex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EN.CITE.DATA </w:instrText>
      </w:r>
      <w:r w:rsidR="001F08AE">
        <w:fldChar w:fldCharType="end"/>
      </w:r>
      <w:r w:rsidR="001F08AE">
        <w:fldChar w:fldCharType="separate"/>
      </w:r>
      <w:r w:rsidR="001F08AE">
        <w:rPr>
          <w:noProof/>
        </w:rPr>
        <w:t>(Figueirido</w:t>
      </w:r>
      <w:r w:rsidR="001F08AE" w:rsidRPr="004550BE">
        <w:rPr>
          <w:i/>
          <w:noProof/>
        </w:rPr>
        <w:t xml:space="preserve"> et al.</w:t>
      </w:r>
      <w:r w:rsidR="001F08AE">
        <w:rPr>
          <w:noProof/>
        </w:rPr>
        <w:t>, 2014; Mitchell, 2019; Strait</w:t>
      </w:r>
      <w:r w:rsidR="001F08AE" w:rsidRPr="004550BE">
        <w:rPr>
          <w:i/>
          <w:noProof/>
        </w:rPr>
        <w:t xml:space="preserve"> et al.</w:t>
      </w:r>
      <w:r w:rsidR="001F08AE">
        <w:rPr>
          <w:noProof/>
        </w:rPr>
        <w:t>, 2009; Van Valkenburgh, 1989)</w:t>
      </w:r>
      <w:r w:rsidR="001F08AE">
        <w:fldChar w:fldCharType="end"/>
      </w:r>
      <w:r w:rsidR="001F08AE">
        <w:t>, so that frequent consumption of hard seeds and insects by the desert-living hopping generalist</w:t>
      </w:r>
      <w:r w:rsidR="00EB0E80">
        <w:t xml:space="preserve">s </w:t>
      </w:r>
      <w:r w:rsidR="00EB0E80">
        <w:rPr>
          <w:i/>
          <w:iCs/>
        </w:rPr>
        <w:t xml:space="preserve">Notomys </w:t>
      </w:r>
      <w:r w:rsidR="00EB0E80">
        <w:t xml:space="preserve">and </w:t>
      </w:r>
      <w:r w:rsidR="00EB0E80">
        <w:rPr>
          <w:i/>
          <w:iCs/>
        </w:rPr>
        <w:t>Conilurus</w:t>
      </w:r>
      <w:r w:rsidR="001F08AE">
        <w:t xml:space="preserve"> </w:t>
      </w:r>
      <w:r w:rsidR="001F08AE">
        <w:fldChar w:fldCharType="begin"/>
      </w:r>
      <w:r w:rsidR="001F08AE">
        <w:instrText xml:space="preserve"> ADDIN EN.CITE &lt;EndNote&gt;&lt;Cite&gt;&lt;Author&gt;Murray&lt;/Author&gt;&lt;Year&gt;1999&lt;/Year&gt;&lt;RecNum&gt;54&lt;/RecNum&gt;&lt;DisplayText&gt;(Murray&lt;style face="italic"&gt; et al.&lt;/style&gt;,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F08AE">
        <w:fldChar w:fldCharType="separate"/>
      </w:r>
      <w:r w:rsidR="001F08AE">
        <w:rPr>
          <w:noProof/>
        </w:rPr>
        <w:t>(Murray</w:t>
      </w:r>
      <w:r w:rsidR="001F08AE" w:rsidRPr="004550BE">
        <w:rPr>
          <w:i/>
          <w:noProof/>
        </w:rPr>
        <w:t xml:space="preserve"> et al.</w:t>
      </w:r>
      <w:r w:rsidR="001F08AE">
        <w:rPr>
          <w:noProof/>
        </w:rPr>
        <w:t>, 1999)</w:t>
      </w:r>
      <w:r w:rsidR="001F08AE">
        <w:fldChar w:fldCharType="end"/>
      </w:r>
      <w:r w:rsidR="001F08AE">
        <w:t xml:space="preserve"> might explain their more robust cranial dimensions than expected for their size.</w:t>
      </w:r>
    </w:p>
    <w:p w14:paraId="329BCC41" w14:textId="2E144CC5" w:rsidR="002E42C0" w:rsidRDefault="00A21F2A" w:rsidP="007F6BB1">
      <w:pPr>
        <w:spacing w:line="480" w:lineRule="auto"/>
        <w:ind w:firstLine="720"/>
      </w:pPr>
      <w:r>
        <w:t>Another</w:t>
      </w:r>
      <w:r w:rsidR="007F6BB1">
        <w:t>, potentially non-biomechanical</w:t>
      </w:r>
      <w:r>
        <w:t xml:space="preserve"> effect emerging from the ordination of shape residuals is a tendency of the </w:t>
      </w:r>
      <w:r w:rsidR="00B86823">
        <w:t xml:space="preserve">dorsal </w:t>
      </w:r>
      <w:r>
        <w:t xml:space="preserve">cranial </w:t>
      </w:r>
      <w:r w:rsidR="00B86823">
        <w:t>v</w:t>
      </w:r>
      <w:r>
        <w:t>ault to expand</w:t>
      </w:r>
      <w:r w:rsidR="00323F8B">
        <w:t xml:space="preserve"> dorsally</w:t>
      </w:r>
      <w:r>
        <w:t xml:space="preserve"> together with </w:t>
      </w:r>
      <w:r w:rsidR="00323F8B">
        <w:t>a ventral</w:t>
      </w:r>
      <w:r>
        <w:t xml:space="preserve"> expansion of th</w:t>
      </w:r>
      <w:r w:rsidR="00B86823">
        <w:t>e basicranium on PC2, resulting in</w:t>
      </w:r>
      <w:r>
        <w:t xml:space="preserve"> </w:t>
      </w:r>
      <w:r w:rsidR="00537CA3">
        <w:t>overall</w:t>
      </w:r>
      <w:r>
        <w:t xml:space="preserve"> braincase expansion</w:t>
      </w:r>
      <w:r w:rsidR="00B86823">
        <w:t xml:space="preserve">. </w:t>
      </w:r>
      <w:r w:rsidR="00537CA3">
        <w:t xml:space="preserve">This may be related to changes in the </w:t>
      </w:r>
      <w:r w:rsidR="00323F8B">
        <w:t>proportions</w:t>
      </w:r>
      <w:r w:rsidR="00537CA3">
        <w:t xml:space="preserve"> between cranium</w:t>
      </w:r>
      <w:r w:rsidR="00323F8B">
        <w:t xml:space="preserve"> </w:t>
      </w:r>
      <w:r w:rsidR="00537CA3">
        <w:t xml:space="preserve">and brain size, either through increase </w:t>
      </w:r>
      <w:r w:rsidR="00537CA3" w:rsidRPr="00323F8B">
        <w:t>or</w:t>
      </w:r>
      <w:r w:rsidR="00537CA3">
        <w:t xml:space="preserve"> decrease in encephalization </w:t>
      </w:r>
      <w:r w:rsidR="00537CA3">
        <w:fldChar w:fldCharType="begin"/>
      </w:r>
      <w:r w:rsidR="00537CA3">
        <w:instrText xml:space="preserve"> ADDIN EN.CITE &lt;EndNote&gt;&lt;Cite&gt;&lt;Author&gt;Smaers&lt;/Author&gt;&lt;Year&gt;2021&lt;/Year&gt;&lt;RecNum&gt;38&lt;/RecNum&gt;&lt;DisplayText&gt;(Smaers&lt;style face="italic"&gt; et al.&lt;/style&gt;,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537CA3">
        <w:fldChar w:fldCharType="separate"/>
      </w:r>
      <w:r w:rsidR="00537CA3">
        <w:rPr>
          <w:noProof/>
        </w:rPr>
        <w:t>(Smaers</w:t>
      </w:r>
      <w:r w:rsidR="00537CA3" w:rsidRPr="004550BE">
        <w:rPr>
          <w:i/>
          <w:noProof/>
        </w:rPr>
        <w:t xml:space="preserve"> et al.</w:t>
      </w:r>
      <w:r w:rsidR="00537CA3">
        <w:rPr>
          <w:noProof/>
        </w:rPr>
        <w:t>, 2021)</w:t>
      </w:r>
      <w:r w:rsidR="00537CA3">
        <w:fldChar w:fldCharType="end"/>
      </w:r>
      <w:r w:rsidR="00537CA3">
        <w:t xml:space="preserve"> or a different distribution of brain tissue within </w:t>
      </w:r>
      <w:r w:rsidR="00537CA3">
        <w:lastRenderedPageBreak/>
        <w:t xml:space="preserve">the braincase </w:t>
      </w:r>
      <w:r w:rsidR="00537CA3">
        <w:fldChar w:fldCharType="begin"/>
      </w:r>
      <w:r w:rsidR="00537CA3">
        <w:instrText xml:space="preserve"> ADDIN EN.CITE &lt;EndNote&gt;&lt;Cite&gt;&lt;Author&gt;Weisbecker&lt;/Author&gt;&lt;Year&gt;2021&lt;/Year&gt;&lt;RecNum&gt;39&lt;/RecNum&gt;&lt;DisplayText&gt;(Weisbecker&lt;style face="italic"&gt; et al.&lt;/style&gt;,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537CA3">
        <w:fldChar w:fldCharType="separate"/>
      </w:r>
      <w:r w:rsidR="00537CA3">
        <w:rPr>
          <w:noProof/>
        </w:rPr>
        <w:t>(Weisbecker</w:t>
      </w:r>
      <w:r w:rsidR="00537CA3" w:rsidRPr="004550BE">
        <w:rPr>
          <w:i/>
          <w:noProof/>
        </w:rPr>
        <w:t xml:space="preserve"> et al.</w:t>
      </w:r>
      <w:r w:rsidR="00537CA3">
        <w:rPr>
          <w:noProof/>
        </w:rPr>
        <w:t>, 2021)</w:t>
      </w:r>
      <w:r w:rsidR="00537CA3">
        <w:fldChar w:fldCharType="end"/>
      </w:r>
      <w:r w:rsidR="00537CA3">
        <w:t>.</w:t>
      </w:r>
      <w:r w:rsidR="00323F8B">
        <w:t xml:space="preserve"> The genera where this effect is most obvious – </w:t>
      </w:r>
      <w:proofErr w:type="spellStart"/>
      <w:r w:rsidR="00323F8B">
        <w:rPr>
          <w:i/>
          <w:iCs/>
        </w:rPr>
        <w:t>Mastacomys</w:t>
      </w:r>
      <w:proofErr w:type="spellEnd"/>
      <w:r w:rsidR="00323F8B">
        <w:rPr>
          <w:i/>
          <w:iCs/>
        </w:rPr>
        <w:t xml:space="preserve"> </w:t>
      </w:r>
      <w:r w:rsidR="00323F8B">
        <w:t xml:space="preserve">(with a relatively small braincase) and </w:t>
      </w:r>
      <w:r w:rsidR="00323F8B">
        <w:rPr>
          <w:i/>
          <w:iCs/>
        </w:rPr>
        <w:t xml:space="preserve">Notomys </w:t>
      </w:r>
      <w:r w:rsidR="00323F8B">
        <w:t xml:space="preserve">(with a relatively large braincase) indeed have large residuals, despite having </w:t>
      </w:r>
      <w:r w:rsidR="002E42C0">
        <w:t>slopes of static allometry that are not significantly different from the common slope</w:t>
      </w:r>
      <w:r w:rsidR="00323F8B">
        <w:t xml:space="preserve"> </w:t>
      </w:r>
      <w:r w:rsidR="002E42C0">
        <w:fldChar w:fldCharType="begin"/>
      </w:r>
      <w:r w:rsidR="002E42C0">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2E42C0">
        <w:fldChar w:fldCharType="separate"/>
      </w:r>
      <w:r w:rsidR="002E42C0">
        <w:rPr>
          <w:noProof/>
        </w:rPr>
        <w:t>(Marcy</w:t>
      </w:r>
      <w:r w:rsidR="002E42C0" w:rsidRPr="002E42C0">
        <w:rPr>
          <w:i/>
          <w:noProof/>
        </w:rPr>
        <w:t xml:space="preserve"> et al.</w:t>
      </w:r>
      <w:r w:rsidR="002E42C0">
        <w:rPr>
          <w:noProof/>
        </w:rPr>
        <w:t>, 2020)</w:t>
      </w:r>
      <w:r w:rsidR="002E42C0">
        <w:fldChar w:fldCharType="end"/>
      </w:r>
      <w:r w:rsidR="002E42C0">
        <w:t xml:space="preserve">. The changes in braincase dimension thus appear to reflect a “grade shift” of an otherwise identical allometric pattern. This further supports the expectation that bite force allometry should be expressed in similar patterns (represented by the allometric slope) in crania that have been selected for different bite forces due to dietary specialisation </w:t>
      </w:r>
      <w:r w:rsidR="002E42C0">
        <w:fldChar w:fldCharType="begin"/>
      </w:r>
      <w:r w:rsidR="007F6BB1">
        <w:instrText xml:space="preserve"> ADDIN EN.CITE &lt;EndNote&gt;&lt;Cite&gt;&lt;Author&gt;Mitchell&lt;/Author&gt;&lt;Year&gt;2024&lt;/Year&gt;&lt;RecNum&gt;57&lt;/RecNum&gt;&lt;Prefix&gt;represented by the intercept differences of the allomeric slope`; &lt;/Prefix&gt;&lt;DisplayText&gt;(represented by the intercept differences of the allomeric slope; 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2E42C0">
        <w:fldChar w:fldCharType="separate"/>
      </w:r>
      <w:r w:rsidR="007F6BB1">
        <w:rPr>
          <w:noProof/>
        </w:rPr>
        <w:t>(represented by the intercept differences of the allomeric slope; Mitchell</w:t>
      </w:r>
      <w:r w:rsidR="007F6BB1" w:rsidRPr="007F6BB1">
        <w:rPr>
          <w:i/>
          <w:noProof/>
        </w:rPr>
        <w:t xml:space="preserve"> et al.</w:t>
      </w:r>
      <w:r w:rsidR="007F6BB1">
        <w:rPr>
          <w:noProof/>
        </w:rPr>
        <w:t>, 2024)</w:t>
      </w:r>
      <w:r w:rsidR="002E42C0">
        <w:fldChar w:fldCharType="end"/>
      </w:r>
    </w:p>
    <w:p w14:paraId="4D8F6D67" w14:textId="553AAA39" w:rsidR="008922AE" w:rsidRDefault="00EB0E80" w:rsidP="002E42C0">
      <w:pPr>
        <w:spacing w:line="480" w:lineRule="auto"/>
        <w:ind w:firstLine="720"/>
      </w:pPr>
      <w:r>
        <w:t>Despite evidence that the allometric pattern in our sample is determined by stabilizing selection on mastication, the allometry-free morphospaces show that this appears not to constrain the evolution of adaptations such as postural variation coinciding with ecological specializations.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rsidR="00000000">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stabilizing selection on mastication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r>
        <w:rPr>
          <w:i/>
        </w:rPr>
        <w:t>Notomys</w:t>
      </w:r>
      <w:r>
        <w:t xml:space="preserve"> species do not lie on the common allometric line, but this separation is because of their basicranium</w:t>
      </w:r>
      <w:r w:rsidR="002E42C0">
        <w:t xml:space="preserve"> and vault shape,</w:t>
      </w:r>
      <w:r>
        <w:t xml:space="preserve"> not their facial tilt. The inclusion of a facial tilt in </w:t>
      </w:r>
      <w:r>
        <w:rPr>
          <w:i/>
        </w:rPr>
        <w:t>Conilurus</w:t>
      </w:r>
      <w:r>
        <w:t xml:space="preserve"> and </w:t>
      </w:r>
      <w:r>
        <w:rPr>
          <w:i/>
        </w:rPr>
        <w:t>Notomys</w:t>
      </w:r>
      <w:r>
        <w:t xml:space="preserve"> within the common allometric pattern therefore </w:t>
      </w:r>
      <w:r w:rsidR="00317F8E">
        <w:t xml:space="preserve">confirms the hypothesis that CREA – patters related to specific parts of the cranium, without representing a constraint on the entire skull. </w:t>
      </w:r>
    </w:p>
    <w:p w14:paraId="0B03191E" w14:textId="77777777" w:rsidR="008922AE" w:rsidRDefault="008922AE">
      <w:pPr>
        <w:spacing w:line="480" w:lineRule="auto"/>
      </w:pP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Pr>
          <w:b/>
        </w:rPr>
        <w:t xml:space="preserve">Conclusions </w:t>
      </w:r>
    </w:p>
    <w:p w14:paraId="090DB3B3" w14:textId="354F54E0" w:rsidR="008922AE" w:rsidRDefault="009637AC">
      <w:pPr>
        <w:spacing w:line="480" w:lineRule="auto"/>
      </w:pPr>
      <w:r>
        <w:t xml:space="preserve">This agrees with the observation that rodents occupy a highly distinct, slowly-evolving area in the morphospace of placental crania </w:t>
      </w:r>
      <w:r>
        <w:fldChar w:fldCharType="begin"/>
      </w:r>
      <w:r>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Pr>
          <w:noProof/>
        </w:rPr>
        <w:t>(Goswami</w:t>
      </w:r>
      <w:r w:rsidRPr="004550BE">
        <w:rPr>
          <w:i/>
          <w:noProof/>
        </w:rPr>
        <w:t xml:space="preserve"> et al.</w:t>
      </w:r>
      <w:r>
        <w:rPr>
          <w:noProof/>
        </w:rPr>
        <w:t>, 2022)</w:t>
      </w:r>
      <w:r>
        <w:fldChar w:fldCharType="end"/>
      </w:r>
      <w:r>
        <w:t xml:space="preserve">, and highlights the importance of interpreting allometric patterns in the context of other variation, even when allometry explains the majority of shape variation </w:t>
      </w:r>
      <w:r>
        <w:fldChar w:fldCharType="begin"/>
      </w:r>
      <w: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fldChar w:fldCharType="separate"/>
      </w:r>
      <w:r>
        <w:rPr>
          <w:noProof/>
        </w:rPr>
        <w:t>(Mitchell</w:t>
      </w:r>
      <w:r w:rsidRPr="004550BE">
        <w:rPr>
          <w:i/>
          <w:noProof/>
        </w:rPr>
        <w:t xml:space="preserve"> et al.</w:t>
      </w:r>
      <w:r>
        <w:rPr>
          <w:noProof/>
        </w:rPr>
        <w:t>, 2024)</w:t>
      </w:r>
      <w:r>
        <w:fldChar w:fldCharType="end"/>
      </w:r>
      <w:r>
        <w:t xml:space="preserve">. </w:t>
      </w:r>
      <w:r>
        <w:rPr>
          <w:bCs/>
        </w:rPr>
        <w:t>Characteri</w:t>
      </w:r>
      <w:r w:rsidR="00924ECB">
        <w:rPr>
          <w:bCs/>
        </w:rPr>
        <w:t>z</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4550BE">
        <w:rPr>
          <w:bCs/>
        </w:rP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4550BE">
        <w:rPr>
          <w:bCs/>
          <w:noProof/>
        </w:rPr>
        <w:t>(Mitchell</w:t>
      </w:r>
      <w:r w:rsidR="004550BE" w:rsidRPr="004550BE">
        <w:rPr>
          <w:bCs/>
          <w:i/>
          <w:noProof/>
        </w:rPr>
        <w:t xml:space="preserve"> et al.</w:t>
      </w:r>
      <w:r w:rsidR="004550BE">
        <w:rPr>
          <w:bCs/>
          <w:noProof/>
        </w:rPr>
        <w:t>, 2024)</w:t>
      </w:r>
      <w:r w:rsidR="00422522">
        <w:rPr>
          <w:bCs/>
        </w:rPr>
        <w:fldChar w:fldCharType="end"/>
      </w:r>
      <w:r>
        <w:rPr>
          <w:bCs/>
        </w:rPr>
        <w:t xml:space="preserve">. Our study supports the predictions of this framework in several ways. One, CREA emerges as just one out of several patterns that are well-explained by established biomechanical hypotheses, highlighting the overall strong impact of biomechanics on cranial shape. Two, size appears to be only a constraint where stabilizing selection for a particular cranial function – in our case, the highly </w:t>
      </w:r>
      <w:proofErr w:type="spellStart"/>
      <w:r>
        <w:rPr>
          <w:bCs/>
        </w:rPr>
        <w:t>specialised</w:t>
      </w:r>
      <w:proofErr w:type="spellEnd"/>
      <w:r>
        <w:rPr>
          <w:bCs/>
        </w:rPr>
        <w:t xml:space="preserve"> gnawing apparatus of rodents - is apparent, and disappears where changes in cranial function or diet are consistent with a change of selective regime; similar deviations are seen in rodents with substantial 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4550BE">
        <w:instrText xml:space="preserve"> ADDIN EN.CITE &lt;EndNote&gt;&lt;Cite&gt;&lt;Author&gt;Esselstyn&lt;/Author&gt;&lt;Year&gt;2012&lt;/Year&gt;&lt;RecNum&gt;56&lt;/RecNum&gt;&lt;DisplayText&gt;(Esselstyn&lt;style face="italic"&gt; et al.&lt;/style&gt;,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4550BE">
        <w:rPr>
          <w:noProof/>
        </w:rPr>
        <w:t>(Esselstyn</w:t>
      </w:r>
      <w:r w:rsidR="004550BE" w:rsidRPr="004550BE">
        <w:rPr>
          <w:i/>
          <w:noProof/>
        </w:rPr>
        <w:t xml:space="preserve"> et al.</w:t>
      </w:r>
      <w:r w:rsidR="004550BE">
        <w:rPr>
          <w:noProof/>
        </w:rPr>
        <w:t>, 2012)</w:t>
      </w:r>
      <w:r>
        <w:fldChar w:fldCharType="end"/>
      </w:r>
      <w:r>
        <w:t>.</w:t>
      </w:r>
    </w:p>
    <w:p w14:paraId="296795DD" w14:textId="77777777" w:rsidR="001D2733" w:rsidRDefault="001D2733">
      <w:pPr>
        <w:spacing w:line="480" w:lineRule="auto"/>
        <w:rPr>
          <w:bCs/>
        </w:rPr>
      </w:pPr>
    </w:p>
    <w:p w14:paraId="6DB39392" w14:textId="3396197F" w:rsidR="008922AE" w:rsidRDefault="00000000">
      <w:pPr>
        <w:spacing w:line="480" w:lineRule="auto"/>
      </w:pPr>
      <w:r>
        <w:t xml:space="preserve">One important insight is that some patterns of postural adaptation, in our case relating to facial tilt, appear to be integrated with a common allometric line, producing a shared evolutionary shape pattern for </w:t>
      </w:r>
      <w:proofErr w:type="gramStart"/>
      <w:r>
        <w:t>the majority of</w:t>
      </w:r>
      <w:proofErr w:type="gramEnd"/>
      <w:r>
        <w:t xml:space="preserve"> the diverse sample. This highlights how CREA itself is well-explained as</w:t>
      </w:r>
      <w:r w:rsidR="00DB4D1C">
        <w:t xml:space="preserve"> an</w:t>
      </w:r>
      <w:r>
        <w:t xml:space="preserve"> emergent property of several sub-patterns; separating these will be an important step for an even more nuanced assessment of what the CREA pattern means. </w:t>
      </w:r>
    </w:p>
    <w:p w14:paraId="1D313510" w14:textId="2837B95C" w:rsidR="00B1097F" w:rsidRDefault="00B1097F">
      <w:r>
        <w:lastRenderedPageBreak/>
        <w:br w:type="page"/>
      </w:r>
    </w:p>
    <w:p w14:paraId="29440382" w14:textId="4E578C3C" w:rsidR="008922AE" w:rsidRDefault="00000000" w:rsidP="00C62D76">
      <w:pPr>
        <w:spacing w:line="480" w:lineRule="auto"/>
        <w:rPr>
          <w:b/>
        </w:rPr>
      </w:pPr>
      <w:bookmarkStart w:id="20" w:name="_Hlk132629059"/>
      <w:bookmarkStart w:id="21" w:name="_Hlk147487310"/>
      <w:r>
        <w:rPr>
          <w:b/>
        </w:rPr>
        <w:lastRenderedPageBreak/>
        <w:t>References</w:t>
      </w:r>
      <w:bookmarkEnd w:id="20"/>
      <w:bookmarkEnd w:id="21"/>
    </w:p>
    <w:p w14:paraId="4B62B5EC" w14:textId="560DC65E" w:rsidR="00B9790A" w:rsidRPr="00B9790A" w:rsidRDefault="00751EC7" w:rsidP="00B9790A">
      <w:pPr>
        <w:pStyle w:val="EndNoteBibliography"/>
        <w:ind w:left="720" w:hanging="720"/>
        <w:rPr>
          <w:noProof/>
        </w:rPr>
      </w:pPr>
      <w:r>
        <w:fldChar w:fldCharType="begin"/>
      </w:r>
      <w:r>
        <w:instrText xml:space="preserve"> ADDIN EN.REFLIST </w:instrText>
      </w:r>
      <w:r>
        <w:fldChar w:fldCharType="separate"/>
      </w:r>
      <w:r w:rsidR="00B9790A" w:rsidRPr="00B9790A">
        <w:rPr>
          <w:noProof/>
        </w:rPr>
        <w:t xml:space="preserve">Adams, D. C. (2016). Evaluating modularity in morphometric data: challenges with the RV coefficient and a new test measure. </w:t>
      </w:r>
      <w:r w:rsidR="00B9790A" w:rsidRPr="00B9790A">
        <w:rPr>
          <w:i/>
          <w:noProof/>
        </w:rPr>
        <w:t>Methods in Ecology and Evolution, 7</w:t>
      </w:r>
      <w:r w:rsidR="00B9790A" w:rsidRPr="00B9790A">
        <w:rPr>
          <w:noProof/>
        </w:rPr>
        <w:t>(5), 565-572. doi:</w:t>
      </w:r>
      <w:hyperlink r:id="rId14" w:history="1">
        <w:r w:rsidR="00B9790A" w:rsidRPr="00B9790A">
          <w:rPr>
            <w:rStyle w:val="Hyperlink"/>
            <w:noProof/>
          </w:rPr>
          <w:t>https://doi.org/10.1111/2041-210X.12511</w:t>
        </w:r>
      </w:hyperlink>
    </w:p>
    <w:p w14:paraId="19ED02CB" w14:textId="77777777" w:rsidR="00B9790A" w:rsidRPr="00B9790A" w:rsidRDefault="00B9790A" w:rsidP="00B9790A">
      <w:pPr>
        <w:pStyle w:val="EndNoteBibliography"/>
        <w:ind w:left="720" w:hanging="720"/>
        <w:rPr>
          <w:noProof/>
        </w:rPr>
      </w:pPr>
      <w:r w:rsidRPr="00B9790A">
        <w:rPr>
          <w:noProof/>
        </w:rPr>
        <w:t xml:space="preserve">Adams, D. C., &amp; Collyer, M. L. (2016). On the comparison of the strength of morphological integration across morphometric datasets. </w:t>
      </w:r>
      <w:r w:rsidRPr="00B9790A">
        <w:rPr>
          <w:i/>
          <w:noProof/>
        </w:rPr>
        <w:t>Evolution, 70</w:t>
      </w:r>
      <w:r w:rsidRPr="00B9790A">
        <w:rPr>
          <w:noProof/>
        </w:rPr>
        <w:t xml:space="preserve">(11), 2623-2631. </w:t>
      </w:r>
    </w:p>
    <w:p w14:paraId="16A4AC17" w14:textId="2B60C1BA" w:rsidR="00B9790A" w:rsidRPr="00B9790A" w:rsidRDefault="00B9790A" w:rsidP="00B9790A">
      <w:pPr>
        <w:pStyle w:val="EndNoteBibliography"/>
        <w:ind w:left="720" w:hanging="720"/>
        <w:rPr>
          <w:noProof/>
        </w:rPr>
      </w:pPr>
      <w:r w:rsidRPr="00B9790A">
        <w:rPr>
          <w:noProof/>
        </w:rPr>
        <w:t xml:space="preserve">Adams, D. C., &amp; Collyer, M. L. (2019). Comparing the strength of modular signal, and evaluating alternative modular hypotheses, using covariance ratio effect sizes with morphometric data. </w:t>
      </w:r>
      <w:r w:rsidRPr="00B9790A">
        <w:rPr>
          <w:i/>
          <w:noProof/>
        </w:rPr>
        <w:t>Evolution, 73</w:t>
      </w:r>
      <w:r w:rsidRPr="00B9790A">
        <w:rPr>
          <w:noProof/>
        </w:rPr>
        <w:t>(12), 2352-2367. doi:</w:t>
      </w:r>
      <w:hyperlink r:id="rId15" w:history="1">
        <w:r w:rsidRPr="00B9790A">
          <w:rPr>
            <w:rStyle w:val="Hyperlink"/>
            <w:noProof/>
          </w:rPr>
          <w:t>https://doi.org/10.1111/evo.13867</w:t>
        </w:r>
      </w:hyperlink>
    </w:p>
    <w:p w14:paraId="3B6A6758" w14:textId="68502B52" w:rsidR="00B9790A" w:rsidRPr="00B9790A" w:rsidRDefault="00B9790A" w:rsidP="00B9790A">
      <w:pPr>
        <w:pStyle w:val="EndNoteBibliography"/>
        <w:ind w:left="720" w:hanging="720"/>
        <w:rPr>
          <w:noProof/>
        </w:rPr>
      </w:pPr>
      <w:r w:rsidRPr="00B9790A">
        <w:rPr>
          <w:noProof/>
        </w:rPr>
        <w:t xml:space="preserve">Adams, D. C., Collyer, M. L., Kaliontzopoulou, A., &amp; Baken, E. K. (2022). Geomorph: Software for geometric morphometric analyses. </w:t>
      </w:r>
      <w:r w:rsidRPr="00B9790A">
        <w:rPr>
          <w:i/>
          <w:noProof/>
        </w:rPr>
        <w:t xml:space="preserve">R package version 4.0.4. </w:t>
      </w:r>
      <w:hyperlink r:id="rId16" w:history="1">
        <w:r w:rsidRPr="00B9790A">
          <w:rPr>
            <w:rStyle w:val="Hyperlink"/>
            <w:i/>
            <w:noProof/>
          </w:rPr>
          <w:t>https://cran.r-project.org/package=geomorph</w:t>
        </w:r>
      </w:hyperlink>
      <w:r w:rsidRPr="00B9790A">
        <w:rPr>
          <w:noProof/>
        </w:rPr>
        <w:t xml:space="preserve">. </w:t>
      </w:r>
    </w:p>
    <w:p w14:paraId="5FB94F84" w14:textId="1BE611AE" w:rsidR="00B9790A" w:rsidRPr="00B9790A" w:rsidRDefault="00B9790A" w:rsidP="00B9790A">
      <w:pPr>
        <w:pStyle w:val="EndNoteBibliography"/>
        <w:ind w:left="720" w:hanging="720"/>
        <w:rPr>
          <w:noProof/>
        </w:rPr>
      </w:pPr>
      <w:r w:rsidRPr="00B9790A">
        <w:rPr>
          <w:noProof/>
        </w:rPr>
        <w:t xml:space="preserve">Adams, D. C., &amp; Felice, R. N. (2014). Assessing trait covariation and morphological integration on phylogenies using evolutionary covariance matrices. </w:t>
      </w:r>
      <w:r w:rsidRPr="00B9790A">
        <w:rPr>
          <w:i/>
          <w:noProof/>
        </w:rPr>
        <w:t>PLOS ONE, 9</w:t>
      </w:r>
      <w:r w:rsidRPr="00B9790A">
        <w:rPr>
          <w:noProof/>
        </w:rPr>
        <w:t>(4), e94335. doi:</w:t>
      </w:r>
      <w:hyperlink r:id="rId17" w:history="1">
        <w:r w:rsidRPr="00B9790A">
          <w:rPr>
            <w:rStyle w:val="Hyperlink"/>
            <w:noProof/>
          </w:rPr>
          <w:t>https://doi.org/10.1371/journal.pone.0094335</w:t>
        </w:r>
      </w:hyperlink>
    </w:p>
    <w:p w14:paraId="0465074C" w14:textId="77777777" w:rsidR="00B9790A" w:rsidRPr="00B9790A" w:rsidRDefault="00B9790A" w:rsidP="00B9790A">
      <w:pPr>
        <w:pStyle w:val="EndNoteBibliography"/>
        <w:ind w:left="720" w:hanging="720"/>
        <w:rPr>
          <w:noProof/>
        </w:rPr>
      </w:pPr>
      <w:r w:rsidRPr="00B9790A">
        <w:rPr>
          <w:noProof/>
        </w:rPr>
        <w:t xml:space="preserve">Aplin, K. P., &amp; Ford, F. (2014). Murine rodents: late but highly successful invaders. In H. H. T. Prins &amp; I. J. Gordon (Eds.), </w:t>
      </w:r>
      <w:r w:rsidRPr="00B9790A">
        <w:rPr>
          <w:i/>
          <w:noProof/>
        </w:rPr>
        <w:t>Invasion Biology and Ecological Theory: Insights from a Continent in Transformation</w:t>
      </w:r>
      <w:r w:rsidRPr="00B9790A">
        <w:rPr>
          <w:noProof/>
        </w:rPr>
        <w:t xml:space="preserve"> (pp. 196-240). Cambridge: Cambridge University Press.</w:t>
      </w:r>
    </w:p>
    <w:p w14:paraId="2732F92F" w14:textId="274CBB6D" w:rsidR="00B9790A" w:rsidRPr="00B9790A" w:rsidRDefault="00B9790A" w:rsidP="00B9790A">
      <w:pPr>
        <w:pStyle w:val="EndNoteBibliography"/>
        <w:ind w:left="720" w:hanging="720"/>
        <w:rPr>
          <w:noProof/>
        </w:rPr>
      </w:pPr>
      <w:r w:rsidRPr="00B9790A">
        <w:rPr>
          <w:noProof/>
        </w:rPr>
        <w:t xml:space="preserve">Baken, E. K., Collyer, M. L., Kaliontzopoulou, A., &amp; Adams, D. C. (2021). geomorph v4.0 and gmShiny: enhanced analytics and a new graphical interface for a comprehensive morphometric experience. </w:t>
      </w:r>
      <w:r w:rsidRPr="00B9790A">
        <w:rPr>
          <w:i/>
          <w:noProof/>
        </w:rPr>
        <w:t>Methods in Ecology and Evolution, 12</w:t>
      </w:r>
      <w:r w:rsidRPr="00B9790A">
        <w:rPr>
          <w:noProof/>
        </w:rPr>
        <w:t>, 2355-2363. doi:</w:t>
      </w:r>
      <w:hyperlink r:id="rId18" w:history="1">
        <w:r w:rsidRPr="00B9790A">
          <w:rPr>
            <w:rStyle w:val="Hyperlink"/>
            <w:noProof/>
          </w:rPr>
          <w:t>https://doi.org/10.1111/2041-210X.13723</w:t>
        </w:r>
      </w:hyperlink>
    </w:p>
    <w:p w14:paraId="41E099B3" w14:textId="4D9E92F2" w:rsidR="00B9790A" w:rsidRPr="00B9790A" w:rsidRDefault="00B9790A" w:rsidP="00B9790A">
      <w:pPr>
        <w:pStyle w:val="EndNoteBibliography"/>
        <w:ind w:left="720" w:hanging="720"/>
        <w:rPr>
          <w:noProof/>
        </w:rPr>
      </w:pPr>
      <w:r w:rsidRPr="00B9790A">
        <w:rPr>
          <w:noProof/>
        </w:rPr>
        <w:t xml:space="preserve">Barbero, S., Teta, P., &amp; Cassini, G. H. (2023). An ecomorphological approach to the relationship between craniomandibular morphology and diet in sigmodontine rodents from central-eastern Argentina. </w:t>
      </w:r>
      <w:r w:rsidRPr="00B9790A">
        <w:rPr>
          <w:i/>
          <w:noProof/>
        </w:rPr>
        <w:t>Zoology, 156</w:t>
      </w:r>
      <w:r w:rsidRPr="00B9790A">
        <w:rPr>
          <w:noProof/>
        </w:rPr>
        <w:t>, 126066. doi:</w:t>
      </w:r>
      <w:hyperlink r:id="rId19" w:history="1">
        <w:r w:rsidRPr="00B9790A">
          <w:rPr>
            <w:rStyle w:val="Hyperlink"/>
            <w:noProof/>
          </w:rPr>
          <w:t>https://doi.org/10.1016/j.zool.2022.126066</w:t>
        </w:r>
      </w:hyperlink>
    </w:p>
    <w:p w14:paraId="788FDFAE" w14:textId="77777777" w:rsidR="00B9790A" w:rsidRPr="00B9790A" w:rsidRDefault="00B9790A" w:rsidP="00B9790A">
      <w:pPr>
        <w:pStyle w:val="EndNoteBibliography"/>
        <w:ind w:left="720" w:hanging="720"/>
        <w:rPr>
          <w:noProof/>
        </w:rPr>
      </w:pPr>
      <w:r w:rsidRPr="00B9790A">
        <w:rPr>
          <w:noProof/>
        </w:rPr>
        <w:t xml:space="preserve">Bonferroni, C. (1936). Teoria statistica delle classi e calcolo delle probabilita. </w:t>
      </w:r>
      <w:r w:rsidRPr="00B9790A">
        <w:rPr>
          <w:i/>
          <w:noProof/>
        </w:rPr>
        <w:t>Pubblicazioni del R Istituto Superiore di Scienze Economiche e Commericiali di Firenze, 8</w:t>
      </w:r>
      <w:r w:rsidRPr="00B9790A">
        <w:rPr>
          <w:noProof/>
        </w:rPr>
        <w:t xml:space="preserve">, 3-62. </w:t>
      </w:r>
    </w:p>
    <w:p w14:paraId="04A02A5E" w14:textId="7B81C5F6" w:rsidR="00B9790A" w:rsidRPr="00B9790A" w:rsidRDefault="00B9790A" w:rsidP="00B9790A">
      <w:pPr>
        <w:pStyle w:val="EndNoteBibliography"/>
        <w:ind w:left="720" w:hanging="720"/>
        <w:rPr>
          <w:noProof/>
        </w:rPr>
      </w:pPr>
      <w:r w:rsidRPr="00B9790A">
        <w:rPr>
          <w:noProof/>
        </w:rPr>
        <w:t xml:space="preserve">Bookstein, F. L. (2015). Integration, disintegration, and self-similarity: characterizing the scales of shape variation in landmark data. </w:t>
      </w:r>
      <w:r w:rsidRPr="00B9790A">
        <w:rPr>
          <w:i/>
          <w:noProof/>
        </w:rPr>
        <w:t>Evolutionary Biology, 42</w:t>
      </w:r>
      <w:r w:rsidRPr="00B9790A">
        <w:rPr>
          <w:noProof/>
        </w:rPr>
        <w:t>(4), 395-426. doi:</w:t>
      </w:r>
      <w:hyperlink r:id="rId20" w:history="1">
        <w:r w:rsidRPr="00B9790A">
          <w:rPr>
            <w:rStyle w:val="Hyperlink"/>
            <w:noProof/>
          </w:rPr>
          <w:t>https://doi.org/10.1007/s11692-015-9317-8</w:t>
        </w:r>
      </w:hyperlink>
    </w:p>
    <w:p w14:paraId="15C2EF3D" w14:textId="77777777" w:rsidR="00B9790A" w:rsidRPr="00B9790A" w:rsidRDefault="00B9790A" w:rsidP="00B9790A">
      <w:pPr>
        <w:pStyle w:val="EndNoteBibliography"/>
        <w:ind w:left="720" w:hanging="720"/>
        <w:rPr>
          <w:noProof/>
        </w:rPr>
      </w:pPr>
      <w:r w:rsidRPr="00B9790A">
        <w:rPr>
          <w:noProof/>
        </w:rPr>
        <w:t xml:space="preserve">Breed, B., &amp; Ford, F. (2007). </w:t>
      </w:r>
      <w:r w:rsidRPr="00B9790A">
        <w:rPr>
          <w:i/>
          <w:noProof/>
        </w:rPr>
        <w:t>Native Mice and Rats</w:t>
      </w:r>
      <w:r w:rsidRPr="00B9790A">
        <w:rPr>
          <w:noProof/>
        </w:rPr>
        <w:t>.</w:t>
      </w:r>
    </w:p>
    <w:p w14:paraId="3B5269A2" w14:textId="5B4D38B4" w:rsidR="00B9790A" w:rsidRPr="00B9790A" w:rsidRDefault="00B9790A" w:rsidP="00B9790A">
      <w:pPr>
        <w:pStyle w:val="EndNoteBibliography"/>
        <w:ind w:left="720" w:hanging="720"/>
        <w:rPr>
          <w:noProof/>
        </w:rPr>
      </w:pPr>
      <w:r w:rsidRPr="00B9790A">
        <w:rPr>
          <w:noProof/>
        </w:rPr>
        <w:t xml:space="preserve">Bright, J. A., Marugán-Lobón, J., Cobb, S. N., &amp; Rayfield, E. J. (2016). The shapes of bird beaks are highly controlled by nondietary factors. </w:t>
      </w:r>
      <w:r w:rsidRPr="00B9790A">
        <w:rPr>
          <w:i/>
          <w:noProof/>
        </w:rPr>
        <w:t>Proceedings of the National Academy of Sciences, 113</w:t>
      </w:r>
      <w:r w:rsidRPr="00B9790A">
        <w:rPr>
          <w:noProof/>
        </w:rPr>
        <w:t>(19), 5352-5357. doi:</w:t>
      </w:r>
      <w:hyperlink r:id="rId21" w:history="1">
        <w:r w:rsidRPr="00B9790A">
          <w:rPr>
            <w:rStyle w:val="Hyperlink"/>
            <w:noProof/>
          </w:rPr>
          <w:t>https://doi.org/10.1073/pnas.1602683113</w:t>
        </w:r>
      </w:hyperlink>
    </w:p>
    <w:p w14:paraId="3975C451" w14:textId="77777777" w:rsidR="00B9790A" w:rsidRPr="00B9790A" w:rsidRDefault="00B9790A" w:rsidP="00B9790A">
      <w:pPr>
        <w:pStyle w:val="EndNoteBibliography"/>
        <w:ind w:left="720" w:hanging="720"/>
        <w:rPr>
          <w:noProof/>
        </w:rPr>
      </w:pPr>
      <w:r w:rsidRPr="00B9790A">
        <w:rPr>
          <w:noProof/>
        </w:rPr>
        <w:t xml:space="preserve">Burnham, K. P., &amp; Anderson, D. R. (2002). </w:t>
      </w:r>
      <w:r w:rsidRPr="00B9790A">
        <w:rPr>
          <w:i/>
          <w:noProof/>
        </w:rPr>
        <w:t>Model Selection and Multi-Model Inference</w:t>
      </w:r>
      <w:r w:rsidRPr="00B9790A">
        <w:rPr>
          <w:noProof/>
        </w:rPr>
        <w:t>. New York: Springer.</w:t>
      </w:r>
    </w:p>
    <w:p w14:paraId="3CCA32EA" w14:textId="77777777" w:rsidR="00B9790A" w:rsidRPr="00B9790A" w:rsidRDefault="00B9790A" w:rsidP="00B9790A">
      <w:pPr>
        <w:pStyle w:val="EndNoteBibliography"/>
        <w:ind w:left="720" w:hanging="720"/>
        <w:rPr>
          <w:noProof/>
        </w:rPr>
      </w:pPr>
      <w:r w:rsidRPr="00B9790A">
        <w:rPr>
          <w:noProof/>
        </w:rPr>
        <w:t xml:space="preserve">Calaby, J., &amp; Wimbush, D. (1964). Observations on the broad-toothed rat, Mastacomys fuscus Thomas. </w:t>
      </w:r>
      <w:r w:rsidRPr="00B9790A">
        <w:rPr>
          <w:i/>
          <w:noProof/>
        </w:rPr>
        <w:t>CSIRO Wildlife Research, 9</w:t>
      </w:r>
      <w:r w:rsidRPr="00B9790A">
        <w:rPr>
          <w:noProof/>
        </w:rPr>
        <w:t xml:space="preserve">(2), 123-133. </w:t>
      </w:r>
    </w:p>
    <w:p w14:paraId="668CAB0E" w14:textId="688618FB" w:rsidR="00B9790A" w:rsidRPr="00B9790A" w:rsidRDefault="00B9790A" w:rsidP="00B9790A">
      <w:pPr>
        <w:pStyle w:val="EndNoteBibliography"/>
        <w:ind w:left="720" w:hanging="720"/>
        <w:rPr>
          <w:noProof/>
        </w:rPr>
      </w:pPr>
      <w:r w:rsidRPr="00B9790A">
        <w:rPr>
          <w:noProof/>
        </w:rPr>
        <w:t xml:space="preserve">Cardini, A. (2019). Craniofacial allometry is a rule in evolutionary radiations of placentals. </w:t>
      </w:r>
      <w:r w:rsidRPr="00B9790A">
        <w:rPr>
          <w:i/>
          <w:noProof/>
        </w:rPr>
        <w:t>Evolutionary Biology, 46</w:t>
      </w:r>
      <w:r w:rsidRPr="00B9790A">
        <w:rPr>
          <w:noProof/>
        </w:rPr>
        <w:t>(3), 239-248. doi:</w:t>
      </w:r>
      <w:hyperlink r:id="rId22" w:history="1">
        <w:r w:rsidRPr="00B9790A">
          <w:rPr>
            <w:rStyle w:val="Hyperlink"/>
            <w:noProof/>
          </w:rPr>
          <w:t>https://doi.org/10.1007/s11692-019-09477-7</w:t>
        </w:r>
      </w:hyperlink>
    </w:p>
    <w:p w14:paraId="290CF3A1" w14:textId="01D8F74E" w:rsidR="00B9790A" w:rsidRPr="00B9790A" w:rsidRDefault="00B9790A" w:rsidP="00B9790A">
      <w:pPr>
        <w:pStyle w:val="EndNoteBibliography"/>
        <w:ind w:left="720" w:hanging="720"/>
        <w:rPr>
          <w:noProof/>
        </w:rPr>
      </w:pPr>
      <w:r w:rsidRPr="00B9790A">
        <w:rPr>
          <w:noProof/>
        </w:rPr>
        <w:t xml:space="preserve">Cardini, A., Polly, D., Dawson, R., &amp; Milne, N. (2015). Why the long face? Kangaroos and wallabies follow the same ‘rule’ of cranial evolutionary allometry (CREA) as placentals. </w:t>
      </w:r>
      <w:r w:rsidRPr="00B9790A">
        <w:rPr>
          <w:i/>
          <w:noProof/>
        </w:rPr>
        <w:t>Evolutionary Biology, 42</w:t>
      </w:r>
      <w:r w:rsidRPr="00B9790A">
        <w:rPr>
          <w:noProof/>
        </w:rPr>
        <w:t>(2), 169-176. doi:</w:t>
      </w:r>
      <w:hyperlink r:id="rId23" w:history="1">
        <w:r w:rsidRPr="00B9790A">
          <w:rPr>
            <w:rStyle w:val="Hyperlink"/>
            <w:noProof/>
          </w:rPr>
          <w:t>https://doi.org/10.1007/s11692-015-9308-9</w:t>
        </w:r>
      </w:hyperlink>
    </w:p>
    <w:p w14:paraId="3B5A6420" w14:textId="77777777" w:rsidR="00B9790A" w:rsidRPr="00B9790A" w:rsidRDefault="00B9790A" w:rsidP="00B9790A">
      <w:pPr>
        <w:pStyle w:val="EndNoteBibliography"/>
        <w:ind w:left="720" w:hanging="720"/>
        <w:rPr>
          <w:noProof/>
        </w:rPr>
      </w:pPr>
      <w:r w:rsidRPr="00B9790A">
        <w:rPr>
          <w:noProof/>
        </w:rPr>
        <w:lastRenderedPageBreak/>
        <w:t xml:space="preserve">Clavel, J., Escarguel, G., &amp; Merceron, G. (2015). mvMORPH: an R package for fitting multivariate evolutionary models to morphometric data. </w:t>
      </w:r>
      <w:r w:rsidRPr="00B9790A">
        <w:rPr>
          <w:i/>
          <w:noProof/>
        </w:rPr>
        <w:t>Methods in Ecology and Evolution, 6</w:t>
      </w:r>
      <w:r w:rsidRPr="00B9790A">
        <w:rPr>
          <w:noProof/>
        </w:rPr>
        <w:t xml:space="preserve">(11), 1311-1319. </w:t>
      </w:r>
    </w:p>
    <w:p w14:paraId="647DA241" w14:textId="4BB2C150" w:rsidR="00B9790A" w:rsidRPr="00B9790A" w:rsidRDefault="00B9790A" w:rsidP="00B9790A">
      <w:pPr>
        <w:pStyle w:val="EndNoteBibliography"/>
        <w:ind w:left="720" w:hanging="720"/>
        <w:rPr>
          <w:noProof/>
        </w:rPr>
      </w:pPr>
      <w:r w:rsidRPr="00B9790A">
        <w:rPr>
          <w:noProof/>
        </w:rPr>
        <w:t xml:space="preserve">Collyer, M. L., &amp; Adams, D. C. (2018). RRPP: An R package for fitting linear models to high‐dimensional data using residual randomization. </w:t>
      </w:r>
      <w:r w:rsidRPr="00B9790A">
        <w:rPr>
          <w:i/>
          <w:noProof/>
        </w:rPr>
        <w:t>Methods in Ecology and Evolution, 9</w:t>
      </w:r>
      <w:r w:rsidRPr="00B9790A">
        <w:rPr>
          <w:noProof/>
        </w:rPr>
        <w:t>, 1772-1779. doi:</w:t>
      </w:r>
      <w:hyperlink r:id="rId24" w:history="1">
        <w:r w:rsidRPr="00B9790A">
          <w:rPr>
            <w:rStyle w:val="Hyperlink"/>
            <w:noProof/>
          </w:rPr>
          <w:t>https://doi.org/10.1111/2041-210X.13029</w:t>
        </w:r>
      </w:hyperlink>
    </w:p>
    <w:p w14:paraId="615E5777" w14:textId="06460D25" w:rsidR="00B9790A" w:rsidRPr="00B9790A" w:rsidRDefault="00B9790A" w:rsidP="00B9790A">
      <w:pPr>
        <w:pStyle w:val="EndNoteBibliography"/>
        <w:ind w:left="720" w:hanging="720"/>
        <w:rPr>
          <w:noProof/>
        </w:rPr>
      </w:pPr>
      <w:r w:rsidRPr="00B9790A">
        <w:rPr>
          <w:noProof/>
        </w:rPr>
        <w:t xml:space="preserve">Collyer, M. L., &amp; Adams, D. C. (2019). RRPP: Linear Model Evaluation with Randomized Residuals in a Permutation Procedure. </w:t>
      </w:r>
      <w:hyperlink r:id="rId25" w:history="1">
        <w:r w:rsidRPr="00B9790A">
          <w:rPr>
            <w:rStyle w:val="Hyperlink"/>
            <w:i/>
            <w:noProof/>
          </w:rPr>
          <w:t>https://CRAN.R-project.org/package=RRPP</w:t>
        </w:r>
      </w:hyperlink>
      <w:r w:rsidRPr="00B9790A">
        <w:rPr>
          <w:noProof/>
        </w:rPr>
        <w:t xml:space="preserve">. </w:t>
      </w:r>
    </w:p>
    <w:p w14:paraId="2168E68D" w14:textId="77777777" w:rsidR="00B9790A" w:rsidRPr="00B9790A" w:rsidRDefault="00B9790A" w:rsidP="00B9790A">
      <w:pPr>
        <w:pStyle w:val="EndNoteBibliography"/>
        <w:ind w:left="720" w:hanging="720"/>
        <w:rPr>
          <w:noProof/>
        </w:rPr>
      </w:pPr>
      <w:r w:rsidRPr="00B9790A">
        <w:rPr>
          <w:noProof/>
        </w:rPr>
        <w:t xml:space="preserve">Cooper, N., Thomas, G. H., Venditti, C., Meade, A., &amp; Freckleton, R. P. (2016). A cautionary note on the use of Ornstein Uhlenbeck models in macroevolutionary studies. </w:t>
      </w:r>
      <w:r w:rsidRPr="00B9790A">
        <w:rPr>
          <w:i/>
          <w:noProof/>
        </w:rPr>
        <w:t>Biological Journal of the Linnean Society, 118</w:t>
      </w:r>
      <w:r w:rsidRPr="00B9790A">
        <w:rPr>
          <w:noProof/>
        </w:rPr>
        <w:t xml:space="preserve">(1), 64-77. </w:t>
      </w:r>
    </w:p>
    <w:p w14:paraId="46F9B1D3" w14:textId="7035F545" w:rsidR="00B9790A" w:rsidRPr="00B9790A" w:rsidRDefault="00B9790A" w:rsidP="00B9790A">
      <w:pPr>
        <w:pStyle w:val="EndNoteBibliography"/>
        <w:ind w:left="720" w:hanging="720"/>
        <w:rPr>
          <w:noProof/>
        </w:rPr>
      </w:pPr>
      <w:r w:rsidRPr="00B9790A">
        <w:rPr>
          <w:noProof/>
        </w:rPr>
        <w:t xml:space="preserve">Cox, P. G., Rayfield, E. J., Fagan, M. J., Herrel, A., Pataky, T. C., &amp; Jeffery, N. (2012). Functional evolution of the feeding system in rodents. </w:t>
      </w:r>
      <w:r w:rsidRPr="00B9790A">
        <w:rPr>
          <w:i/>
          <w:noProof/>
        </w:rPr>
        <w:t>PLOS ONE, 7</w:t>
      </w:r>
      <w:r w:rsidRPr="00B9790A">
        <w:rPr>
          <w:noProof/>
        </w:rPr>
        <w:t>(4), e36299. doi:</w:t>
      </w:r>
      <w:hyperlink r:id="rId26" w:history="1">
        <w:r w:rsidRPr="00B9790A">
          <w:rPr>
            <w:rStyle w:val="Hyperlink"/>
            <w:noProof/>
          </w:rPr>
          <w:t>https://doi.org/10.1371/journal.pone.0036299</w:t>
        </w:r>
      </w:hyperlink>
    </w:p>
    <w:p w14:paraId="7749591F" w14:textId="77777777" w:rsidR="00B9790A" w:rsidRPr="00B9790A" w:rsidRDefault="00B9790A" w:rsidP="00B9790A">
      <w:pPr>
        <w:pStyle w:val="EndNoteBibliography"/>
        <w:ind w:left="720" w:hanging="720"/>
        <w:rPr>
          <w:noProof/>
        </w:rPr>
      </w:pPr>
      <w:r w:rsidRPr="00B9790A">
        <w:rPr>
          <w:noProof/>
        </w:rPr>
        <w:t xml:space="preserve">Druzinsky, R. E. (2015). The oral apparatus of rodents: variations on the theme of a gnawing machine. In L. Hautier &amp; P. G. Cox (Eds.), </w:t>
      </w:r>
      <w:r w:rsidRPr="00B9790A">
        <w:rPr>
          <w:i/>
          <w:noProof/>
        </w:rPr>
        <w:t>Evolution of the Rodents: Advances in Phylogeny, Functional Morphology and Development</w:t>
      </w:r>
      <w:r w:rsidRPr="00B9790A">
        <w:rPr>
          <w:noProof/>
        </w:rPr>
        <w:t xml:space="preserve"> (Vol. 5, pp. 323-349). Cambridge: Cambridge University Press.</w:t>
      </w:r>
    </w:p>
    <w:p w14:paraId="456E37AF" w14:textId="71739AE6" w:rsidR="00B9790A" w:rsidRPr="00B9790A" w:rsidRDefault="00B9790A" w:rsidP="00B9790A">
      <w:pPr>
        <w:pStyle w:val="EndNoteBibliography"/>
        <w:ind w:left="720" w:hanging="720"/>
        <w:rPr>
          <w:noProof/>
        </w:rPr>
      </w:pPr>
      <w:r w:rsidRPr="00B9790A">
        <w:rPr>
          <w:noProof/>
        </w:rPr>
        <w:t xml:space="preserve">Esselstyn, J. A., Achmadi, A. S., &amp; Rowe, K. C. (2012). Evolutionary novelty in a rat with no molars. </w:t>
      </w:r>
      <w:r w:rsidRPr="00B9790A">
        <w:rPr>
          <w:i/>
          <w:noProof/>
        </w:rPr>
        <w:t>Biology Letters, 8</w:t>
      </w:r>
      <w:r w:rsidRPr="00B9790A">
        <w:rPr>
          <w:noProof/>
        </w:rPr>
        <w:t>(6), 990-993. doi:</w:t>
      </w:r>
      <w:hyperlink r:id="rId27" w:history="1">
        <w:r w:rsidRPr="00B9790A">
          <w:rPr>
            <w:rStyle w:val="Hyperlink"/>
            <w:noProof/>
          </w:rPr>
          <w:t>https://doi.org/10.1098/rsbl.2012.0574</w:t>
        </w:r>
      </w:hyperlink>
    </w:p>
    <w:p w14:paraId="758764BD" w14:textId="3FAC5F4F" w:rsidR="00B9790A" w:rsidRPr="00B9790A" w:rsidRDefault="00B9790A" w:rsidP="00B9790A">
      <w:pPr>
        <w:pStyle w:val="EndNoteBibliography"/>
        <w:ind w:left="720" w:hanging="720"/>
        <w:rPr>
          <w:noProof/>
        </w:rPr>
      </w:pPr>
      <w:r w:rsidRPr="00B9790A">
        <w:rPr>
          <w:noProof/>
        </w:rPr>
        <w:t xml:space="preserve">Evans, K. M., Waltz, B., Tagliacollo, V., Chakrabarty, P., &amp; Albert, J. S. (2017). Why the short face? Developmental disintegration of the neurocranium drives convergent evolution in neotropical electric fishes. </w:t>
      </w:r>
      <w:r w:rsidRPr="00B9790A">
        <w:rPr>
          <w:i/>
          <w:noProof/>
        </w:rPr>
        <w:t>Ecology and Evolution, 7</w:t>
      </w:r>
      <w:r w:rsidRPr="00B9790A">
        <w:rPr>
          <w:noProof/>
        </w:rPr>
        <w:t>(6), 1783-1801. doi:</w:t>
      </w:r>
      <w:hyperlink r:id="rId28" w:history="1">
        <w:r w:rsidRPr="00B9790A">
          <w:rPr>
            <w:rStyle w:val="Hyperlink"/>
            <w:noProof/>
          </w:rPr>
          <w:t>https://doi.org/10.1002/ece3.2704</w:t>
        </w:r>
      </w:hyperlink>
    </w:p>
    <w:p w14:paraId="52BEC20E" w14:textId="5AF61030" w:rsidR="00B9790A" w:rsidRPr="00B9790A" w:rsidRDefault="00B9790A" w:rsidP="00B9790A">
      <w:pPr>
        <w:pStyle w:val="EndNoteBibliography"/>
        <w:ind w:left="720" w:hanging="720"/>
        <w:rPr>
          <w:noProof/>
        </w:rPr>
      </w:pPr>
      <w:r w:rsidRPr="00B9790A">
        <w:rPr>
          <w:noProof/>
        </w:rPr>
        <w:t xml:space="preserve">Figueirido, B., Tseng, Z. J., Serrano-Alarcón, F. J., Martín-Serra, A., &amp; Pastor, J. F. (2014). Three-dimensional computer simulations of feeding behaviour in red and giant pandas relate skull biomechanics with dietary niche partitioning. </w:t>
      </w:r>
      <w:r w:rsidRPr="00B9790A">
        <w:rPr>
          <w:i/>
          <w:noProof/>
        </w:rPr>
        <w:t>Biology Letters, 10</w:t>
      </w:r>
      <w:r w:rsidRPr="00B9790A">
        <w:rPr>
          <w:noProof/>
        </w:rPr>
        <w:t>(4), 20140196. doi:</w:t>
      </w:r>
      <w:hyperlink r:id="rId29" w:history="1">
        <w:r w:rsidRPr="00B9790A">
          <w:rPr>
            <w:rStyle w:val="Hyperlink"/>
            <w:noProof/>
          </w:rPr>
          <w:t>https://doi.org/10.1098/rsbl.2014.0196</w:t>
        </w:r>
      </w:hyperlink>
    </w:p>
    <w:p w14:paraId="34BB188D" w14:textId="3E181199" w:rsidR="00B9790A" w:rsidRPr="00B9790A" w:rsidRDefault="00B9790A" w:rsidP="00B9790A">
      <w:pPr>
        <w:pStyle w:val="EndNoteBibliography"/>
        <w:ind w:left="720" w:hanging="720"/>
        <w:rPr>
          <w:noProof/>
        </w:rPr>
      </w:pPr>
      <w:r w:rsidRPr="00B9790A">
        <w:rPr>
          <w:noProof/>
        </w:rPr>
        <w:t xml:space="preserve">Freeman, P. W., &amp; Lemen, C. A. (2008). A simple morphological predictor of bite force in rodents. </w:t>
      </w:r>
      <w:r w:rsidRPr="00B9790A">
        <w:rPr>
          <w:i/>
          <w:noProof/>
        </w:rPr>
        <w:t>Journal of Zoology, 275</w:t>
      </w:r>
      <w:r w:rsidRPr="00B9790A">
        <w:rPr>
          <w:noProof/>
        </w:rPr>
        <w:t>(4), 418-422. doi:</w:t>
      </w:r>
      <w:hyperlink r:id="rId30" w:history="1">
        <w:r w:rsidRPr="00B9790A">
          <w:rPr>
            <w:rStyle w:val="Hyperlink"/>
            <w:noProof/>
          </w:rPr>
          <w:t>https://doi.org/10.1111/j.1469-7998.2008.00459.x</w:t>
        </w:r>
      </w:hyperlink>
    </w:p>
    <w:p w14:paraId="4F420E08" w14:textId="60AAEC01" w:rsidR="00B9790A" w:rsidRPr="00B9790A" w:rsidRDefault="00B9790A" w:rsidP="00B9790A">
      <w:pPr>
        <w:pStyle w:val="EndNoteBibliography"/>
        <w:ind w:left="720" w:hanging="720"/>
        <w:rPr>
          <w:noProof/>
        </w:rPr>
      </w:pPr>
      <w:r w:rsidRPr="00B9790A">
        <w:rPr>
          <w:noProof/>
        </w:rPr>
        <w:t xml:space="preserve">Ginot, S., Claude, J., &amp; Hautier, L. (2018). One skull to rule them all? Descriptive and comparative anatomy of the masticatory apparatus in five mouse species. </w:t>
      </w:r>
      <w:r w:rsidRPr="00B9790A">
        <w:rPr>
          <w:i/>
          <w:noProof/>
        </w:rPr>
        <w:t>Journal of Morphology, 279</w:t>
      </w:r>
      <w:r w:rsidRPr="00B9790A">
        <w:rPr>
          <w:noProof/>
        </w:rPr>
        <w:t>(9), 1234-1255. doi:</w:t>
      </w:r>
      <w:hyperlink r:id="rId31" w:history="1">
        <w:r w:rsidRPr="00B9790A">
          <w:rPr>
            <w:rStyle w:val="Hyperlink"/>
            <w:noProof/>
          </w:rPr>
          <w:t>https://doi.org/10.1002/jmor.20845</w:t>
        </w:r>
      </w:hyperlink>
    </w:p>
    <w:p w14:paraId="6DE6A4A6" w14:textId="70AFF096" w:rsidR="00B9790A" w:rsidRPr="00B9790A" w:rsidRDefault="00B9790A" w:rsidP="00B9790A">
      <w:pPr>
        <w:pStyle w:val="EndNoteBibliography"/>
        <w:ind w:left="720" w:hanging="720"/>
        <w:rPr>
          <w:noProof/>
        </w:rPr>
      </w:pPr>
      <w:r w:rsidRPr="00B9790A">
        <w:rPr>
          <w:noProof/>
        </w:rPr>
        <w:t xml:space="preserve">Goswami, A. (2006). Cranial modularity shifts during mammalian evolution. </w:t>
      </w:r>
      <w:r w:rsidRPr="00B9790A">
        <w:rPr>
          <w:i/>
          <w:noProof/>
        </w:rPr>
        <w:t>The American Naturalist, 168</w:t>
      </w:r>
      <w:r w:rsidRPr="00B9790A">
        <w:rPr>
          <w:noProof/>
        </w:rPr>
        <w:t>(2), 270-280. doi:</w:t>
      </w:r>
      <w:hyperlink r:id="rId32" w:history="1">
        <w:r w:rsidRPr="00B9790A">
          <w:rPr>
            <w:rStyle w:val="Hyperlink"/>
            <w:noProof/>
          </w:rPr>
          <w:t>https://doi.org/10.1086/505758</w:t>
        </w:r>
      </w:hyperlink>
    </w:p>
    <w:p w14:paraId="0F152DB6" w14:textId="5CF96F76" w:rsidR="00B9790A" w:rsidRPr="00B9790A" w:rsidRDefault="00B9790A" w:rsidP="00B9790A">
      <w:pPr>
        <w:pStyle w:val="EndNoteBibliography"/>
        <w:ind w:left="720" w:hanging="720"/>
        <w:rPr>
          <w:noProof/>
        </w:rPr>
      </w:pPr>
      <w:r w:rsidRPr="00B9790A">
        <w:rPr>
          <w:noProof/>
        </w:rPr>
        <w:t xml:space="preserve">Goswami, A., Noirault, E., Coombs, E. J., Clavel, J., Fabre, A.-C., Halliday, T. J. D., Churchill, M., Curtis, A., Watanabe, A., Simmons, N. B., Beatty, B. L., Geisler, J. H., Fox, D. L., &amp; Felice, R. N. (2022). Attenuated evolution of mammals through the Cenozoic. </w:t>
      </w:r>
      <w:r w:rsidRPr="00B9790A">
        <w:rPr>
          <w:i/>
          <w:noProof/>
        </w:rPr>
        <w:t>Science, 378</w:t>
      </w:r>
      <w:r w:rsidRPr="00B9790A">
        <w:rPr>
          <w:noProof/>
        </w:rPr>
        <w:t>(6618), 377-383. doi:</w:t>
      </w:r>
      <w:hyperlink r:id="rId33" w:history="1">
        <w:r w:rsidRPr="00B9790A">
          <w:rPr>
            <w:rStyle w:val="Hyperlink"/>
            <w:noProof/>
          </w:rPr>
          <w:t>https://doi.org/10.1126/science.abm7525</w:t>
        </w:r>
      </w:hyperlink>
    </w:p>
    <w:p w14:paraId="02D090F1" w14:textId="77777777" w:rsidR="00B9790A" w:rsidRPr="00B9790A" w:rsidRDefault="00B9790A" w:rsidP="00B9790A">
      <w:pPr>
        <w:pStyle w:val="EndNoteBibliography"/>
        <w:ind w:left="720" w:hanging="720"/>
        <w:rPr>
          <w:noProof/>
        </w:rPr>
      </w:pPr>
      <w:r w:rsidRPr="00B9790A">
        <w:rPr>
          <w:noProof/>
        </w:rPr>
        <w:t xml:space="preserve">Green, K., Davis, N., &amp; Robinson, W. (2014). Diet of the Broad-toothed Rat Mastacomys fuscus (Rodentia:Muridae) in the alpine zone of the Snowy Mountains, Australia. </w:t>
      </w:r>
      <w:r w:rsidRPr="00B9790A">
        <w:rPr>
          <w:i/>
          <w:noProof/>
        </w:rPr>
        <w:t>Australian Zoologist, 37</w:t>
      </w:r>
      <w:r w:rsidRPr="00B9790A">
        <w:rPr>
          <w:noProof/>
        </w:rPr>
        <w:t>(2), 225-233. doi:10.7882/az.2014.023</w:t>
      </w:r>
    </w:p>
    <w:p w14:paraId="502BFE8E" w14:textId="328ADB95" w:rsidR="00B9790A" w:rsidRPr="00B9790A" w:rsidRDefault="00B9790A" w:rsidP="00B9790A">
      <w:pPr>
        <w:pStyle w:val="EndNoteBibliography"/>
        <w:ind w:left="720" w:hanging="720"/>
        <w:rPr>
          <w:noProof/>
        </w:rPr>
      </w:pPr>
      <w:r w:rsidRPr="00B9790A">
        <w:rPr>
          <w:noProof/>
        </w:rPr>
        <w:t xml:space="preserve">Guillerme, T., &amp; Weisbecker, V. (2019). LandvR: Tools for measuring landmark position variation. </w:t>
      </w:r>
      <w:r w:rsidRPr="00B9790A">
        <w:rPr>
          <w:i/>
          <w:noProof/>
        </w:rPr>
        <w:t>Zenodo</w:t>
      </w:r>
      <w:r w:rsidRPr="00B9790A">
        <w:rPr>
          <w:noProof/>
        </w:rPr>
        <w:t>. doi:</w:t>
      </w:r>
      <w:hyperlink r:id="rId34" w:history="1">
        <w:r w:rsidRPr="00B9790A">
          <w:rPr>
            <w:rStyle w:val="Hyperlink"/>
            <w:noProof/>
          </w:rPr>
          <w:t>https://doi.org/10.5281/zenodo.2620785</w:t>
        </w:r>
      </w:hyperlink>
    </w:p>
    <w:p w14:paraId="51AF2B50" w14:textId="2B2329F7" w:rsidR="00B9790A" w:rsidRPr="00B9790A" w:rsidRDefault="00B9790A" w:rsidP="00B9790A">
      <w:pPr>
        <w:pStyle w:val="EndNoteBibliography"/>
        <w:ind w:left="720" w:hanging="720"/>
        <w:rPr>
          <w:noProof/>
        </w:rPr>
      </w:pPr>
      <w:r w:rsidRPr="00B9790A">
        <w:rPr>
          <w:noProof/>
        </w:rPr>
        <w:lastRenderedPageBreak/>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B9790A">
        <w:rPr>
          <w:i/>
          <w:noProof/>
        </w:rPr>
        <w:t>Evolution, 64</w:t>
      </w:r>
      <w:r w:rsidRPr="00B9790A">
        <w:rPr>
          <w:noProof/>
        </w:rPr>
        <w:t>(8), 2385-2396. doi:</w:t>
      </w:r>
      <w:hyperlink r:id="rId35" w:history="1">
        <w:r w:rsidRPr="00B9790A">
          <w:rPr>
            <w:rStyle w:val="Hyperlink"/>
            <w:noProof/>
          </w:rPr>
          <w:t>https://doi.org/10.1111/j.1558-5646.2010.01025.x</w:t>
        </w:r>
      </w:hyperlink>
    </w:p>
    <w:p w14:paraId="12189EA6" w14:textId="63F3F715" w:rsidR="00B9790A" w:rsidRPr="00B9790A" w:rsidRDefault="00B9790A" w:rsidP="00B9790A">
      <w:pPr>
        <w:pStyle w:val="EndNoteBibliography"/>
        <w:ind w:left="720" w:hanging="720"/>
        <w:rPr>
          <w:noProof/>
        </w:rPr>
      </w:pPr>
      <w:r w:rsidRPr="00B9790A">
        <w:rPr>
          <w:noProof/>
        </w:rPr>
        <w:t xml:space="preserve">Hennekam, J. J., Benson, R. B. J., Herridge, V. L., Jeffery, N., Torres-Roig, E., Alcover, J. A., &amp; Cox, P. G. (2020). Morphological divergence in giant fossil dormice. </w:t>
      </w:r>
      <w:r w:rsidRPr="00B9790A">
        <w:rPr>
          <w:i/>
          <w:noProof/>
        </w:rPr>
        <w:t>Proceedings of the Royal Society B: Biological Sciences, 287</w:t>
      </w:r>
      <w:r w:rsidRPr="00B9790A">
        <w:rPr>
          <w:noProof/>
        </w:rPr>
        <w:t>(1938), 20202085. doi:</w:t>
      </w:r>
      <w:hyperlink r:id="rId36" w:history="1">
        <w:r w:rsidRPr="00B9790A">
          <w:rPr>
            <w:rStyle w:val="Hyperlink"/>
            <w:noProof/>
          </w:rPr>
          <w:t>https://doi.org/10.1098/rspb.2020.2085</w:t>
        </w:r>
      </w:hyperlink>
    </w:p>
    <w:p w14:paraId="214E8BE5" w14:textId="5453BCF9" w:rsidR="00B9790A" w:rsidRPr="00B9790A" w:rsidRDefault="00B9790A" w:rsidP="00B9790A">
      <w:pPr>
        <w:pStyle w:val="EndNoteBibliography"/>
        <w:ind w:left="720" w:hanging="720"/>
        <w:rPr>
          <w:noProof/>
        </w:rPr>
      </w:pPr>
      <w:r w:rsidRPr="00B9790A">
        <w:rPr>
          <w:noProof/>
        </w:rPr>
        <w:t xml:space="preserve">Hetherington, A. J., Sherratt, E., Ruta, M., Wilkinson, M., Deline, B., &amp; Donoghue, P. C. J. (2015). Do cladistic and morphometric data capture common patterns of morphological disparity? </w:t>
      </w:r>
      <w:r w:rsidRPr="00B9790A">
        <w:rPr>
          <w:i/>
          <w:noProof/>
        </w:rPr>
        <w:t>Palaeontology, 58</w:t>
      </w:r>
      <w:r w:rsidRPr="00B9790A">
        <w:rPr>
          <w:noProof/>
        </w:rPr>
        <w:t>(3), 393-399. doi:</w:t>
      </w:r>
      <w:hyperlink r:id="rId37" w:history="1">
        <w:r w:rsidRPr="00B9790A">
          <w:rPr>
            <w:rStyle w:val="Hyperlink"/>
            <w:noProof/>
          </w:rPr>
          <w:t>https://doi.org/10.1111/pala.12159</w:t>
        </w:r>
      </w:hyperlink>
    </w:p>
    <w:p w14:paraId="53ED2D07" w14:textId="1CF31E7E" w:rsidR="00B9790A" w:rsidRPr="00B9790A" w:rsidRDefault="00B9790A" w:rsidP="00B9790A">
      <w:pPr>
        <w:pStyle w:val="EndNoteBibliography"/>
        <w:ind w:left="720" w:hanging="720"/>
        <w:rPr>
          <w:noProof/>
        </w:rPr>
      </w:pPr>
      <w:r w:rsidRPr="00B9790A">
        <w:rPr>
          <w:noProof/>
        </w:rPr>
        <w:t xml:space="preserve">Kembel, S. W., Cowan, P. D., Helmus, M. R., Cornwell, W. K., Morlon, H., Ackerly, D. D., Blomberg, S. P., &amp; Webb, C. O. (2010). </w:t>
      </w:r>
      <w:r w:rsidRPr="00B9790A">
        <w:rPr>
          <w:i/>
          <w:noProof/>
        </w:rPr>
        <w:t>Picante</w:t>
      </w:r>
      <w:r w:rsidRPr="00B9790A">
        <w:rPr>
          <w:noProof/>
        </w:rPr>
        <w:t xml:space="preserve">: R tools for integrating phylogenies and ecology. </w:t>
      </w:r>
      <w:r w:rsidRPr="00B9790A">
        <w:rPr>
          <w:i/>
          <w:noProof/>
        </w:rPr>
        <w:t>Bioinformatics, 26</w:t>
      </w:r>
      <w:r w:rsidRPr="00B9790A">
        <w:rPr>
          <w:noProof/>
        </w:rPr>
        <w:t>(11), 1463-1464. doi:</w:t>
      </w:r>
      <w:hyperlink r:id="rId38" w:history="1">
        <w:r w:rsidRPr="00B9790A">
          <w:rPr>
            <w:rStyle w:val="Hyperlink"/>
            <w:noProof/>
          </w:rPr>
          <w:t>https://doi.org/10.1093/bioinformatics/btq166</w:t>
        </w:r>
      </w:hyperlink>
    </w:p>
    <w:p w14:paraId="5EE96D25" w14:textId="67DE6E49" w:rsidR="00B9790A" w:rsidRPr="00B9790A" w:rsidRDefault="00B9790A" w:rsidP="00B9790A">
      <w:pPr>
        <w:pStyle w:val="EndNoteBibliography"/>
        <w:ind w:left="720" w:hanging="720"/>
        <w:rPr>
          <w:noProof/>
        </w:rPr>
      </w:pPr>
      <w:r w:rsidRPr="00B9790A">
        <w:rPr>
          <w:noProof/>
        </w:rPr>
        <w:t xml:space="preserve">Klingenberg, C. P. (2009). Morphometric integration and modularity in configurations of landmarks: tools for evaluating a priori hypotheses. </w:t>
      </w:r>
      <w:r w:rsidRPr="00B9790A">
        <w:rPr>
          <w:i/>
          <w:noProof/>
        </w:rPr>
        <w:t>Evolution &amp; Development, 11</w:t>
      </w:r>
      <w:r w:rsidRPr="00B9790A">
        <w:rPr>
          <w:noProof/>
        </w:rPr>
        <w:t>(4), 405-421. doi:</w:t>
      </w:r>
      <w:hyperlink r:id="rId39" w:history="1">
        <w:r w:rsidRPr="00B9790A">
          <w:rPr>
            <w:rStyle w:val="Hyperlink"/>
            <w:noProof/>
          </w:rPr>
          <w:t>https://doi.org/10.1111/j.1525-142X.2009.00347.x</w:t>
        </w:r>
      </w:hyperlink>
    </w:p>
    <w:p w14:paraId="058CD204" w14:textId="77777777" w:rsidR="00B9790A" w:rsidRPr="00B9790A" w:rsidRDefault="00B9790A" w:rsidP="00B9790A">
      <w:pPr>
        <w:pStyle w:val="EndNoteBibliography"/>
        <w:ind w:left="720" w:hanging="720"/>
        <w:rPr>
          <w:noProof/>
        </w:rPr>
      </w:pPr>
      <w:r w:rsidRPr="00B9790A">
        <w:rPr>
          <w:noProof/>
        </w:rPr>
        <w:t xml:space="preserve">Klingenberg, C. P. (2021). How Exactly Did the Nose Get That Long? A Critical Rethinking of the Pinocchio Effect and How Shape Changes Relate to Landmarks. </w:t>
      </w:r>
      <w:r w:rsidRPr="00B9790A">
        <w:rPr>
          <w:i/>
          <w:noProof/>
        </w:rPr>
        <w:t>Evolutionary Biology, 48</w:t>
      </w:r>
      <w:r w:rsidRPr="00B9790A">
        <w:rPr>
          <w:noProof/>
        </w:rPr>
        <w:t>(1), 115-127. doi:10.1007/s11692-020-09520-y</w:t>
      </w:r>
    </w:p>
    <w:p w14:paraId="55AD9FAA" w14:textId="02930854" w:rsidR="00B9790A" w:rsidRPr="00B9790A" w:rsidRDefault="00B9790A" w:rsidP="00B9790A">
      <w:pPr>
        <w:pStyle w:val="EndNoteBibliography"/>
        <w:ind w:left="720" w:hanging="720"/>
        <w:rPr>
          <w:noProof/>
        </w:rPr>
      </w:pPr>
      <w:r w:rsidRPr="00B9790A">
        <w:rPr>
          <w:noProof/>
        </w:rPr>
        <w:t xml:space="preserve">Klingenberg, C. P., &amp; Marugán-Lobón, J. (2013). Evolutionary covariation in geometric morphometric data: analyzing integration, modularity, and allometry in a phylogenetic context. </w:t>
      </w:r>
      <w:r w:rsidRPr="00B9790A">
        <w:rPr>
          <w:i/>
          <w:noProof/>
        </w:rPr>
        <w:t>Systematic Biology, 62</w:t>
      </w:r>
      <w:r w:rsidRPr="00B9790A">
        <w:rPr>
          <w:noProof/>
        </w:rPr>
        <w:t>(4), 591-610. doi:</w:t>
      </w:r>
      <w:hyperlink r:id="rId40" w:history="1">
        <w:r w:rsidRPr="00B9790A">
          <w:rPr>
            <w:rStyle w:val="Hyperlink"/>
            <w:noProof/>
          </w:rPr>
          <w:t>https://doi.org/10.1093/sysbio/syt025</w:t>
        </w:r>
      </w:hyperlink>
    </w:p>
    <w:p w14:paraId="3C6A4504" w14:textId="2F0627D3" w:rsidR="00B9790A" w:rsidRPr="00B9790A" w:rsidRDefault="00B9790A" w:rsidP="00B9790A">
      <w:pPr>
        <w:pStyle w:val="EndNoteBibliography"/>
        <w:ind w:left="720" w:hanging="720"/>
        <w:rPr>
          <w:noProof/>
        </w:rPr>
      </w:pPr>
      <w:r w:rsidRPr="00B9790A">
        <w:rPr>
          <w:noProof/>
        </w:rPr>
        <w:t xml:space="preserve">Kraatz, B., &amp; Sherratt, E. (2016). Evolutionary morphology of the rabbit skull. </w:t>
      </w:r>
      <w:r w:rsidRPr="00B9790A">
        <w:rPr>
          <w:i/>
          <w:noProof/>
        </w:rPr>
        <w:t>PeerJ, 4</w:t>
      </w:r>
      <w:r w:rsidRPr="00B9790A">
        <w:rPr>
          <w:noProof/>
        </w:rPr>
        <w:t>, e2453. doi:</w:t>
      </w:r>
      <w:hyperlink r:id="rId41" w:history="1">
        <w:r w:rsidRPr="00B9790A">
          <w:rPr>
            <w:rStyle w:val="Hyperlink"/>
            <w:noProof/>
          </w:rPr>
          <w:t>https://doi.org/10.7717/peerj.2453</w:t>
        </w:r>
      </w:hyperlink>
    </w:p>
    <w:p w14:paraId="4A2C73E3" w14:textId="77777777" w:rsidR="00B9790A" w:rsidRPr="00B9790A" w:rsidRDefault="00B9790A" w:rsidP="00B9790A">
      <w:pPr>
        <w:pStyle w:val="EndNoteBibliography"/>
        <w:ind w:left="720" w:hanging="720"/>
        <w:rPr>
          <w:noProof/>
        </w:rPr>
      </w:pPr>
      <w:r w:rsidRPr="00B9790A">
        <w:rPr>
          <w:noProof/>
        </w:rPr>
        <w:t xml:space="preserve">Legendre, P., &amp; Legendre, L. (2012). </w:t>
      </w:r>
      <w:r w:rsidRPr="00B9790A">
        <w:rPr>
          <w:i/>
          <w:noProof/>
        </w:rPr>
        <w:t>Numerical ecology</w:t>
      </w:r>
      <w:r w:rsidRPr="00B9790A">
        <w:rPr>
          <w:noProof/>
        </w:rPr>
        <w:t xml:space="preserve"> (3rd English Edition ed.): Elsevier.</w:t>
      </w:r>
    </w:p>
    <w:p w14:paraId="0C0872F2" w14:textId="6F15B979" w:rsidR="00B9790A" w:rsidRPr="00B9790A" w:rsidRDefault="00B9790A" w:rsidP="00B9790A">
      <w:pPr>
        <w:pStyle w:val="EndNoteBibliography"/>
        <w:ind w:left="720" w:hanging="720"/>
        <w:rPr>
          <w:noProof/>
        </w:rPr>
      </w:pPr>
      <w:r w:rsidRPr="00B9790A">
        <w:rPr>
          <w:noProof/>
        </w:rPr>
        <w:t xml:space="preserve">Lessa, E. P., &amp; Patton, J. L. (1989). Structural constraints, recurrent shapes, and allometry in pocket gophers (genus Thomomys). </w:t>
      </w:r>
      <w:r w:rsidRPr="00B9790A">
        <w:rPr>
          <w:i/>
          <w:noProof/>
        </w:rPr>
        <w:t>Biological Journal of the Linnean Society, 36</w:t>
      </w:r>
      <w:r w:rsidRPr="00B9790A">
        <w:rPr>
          <w:noProof/>
        </w:rPr>
        <w:t>(4), 349-363. doi:</w:t>
      </w:r>
      <w:hyperlink r:id="rId42" w:history="1">
        <w:r w:rsidRPr="00B9790A">
          <w:rPr>
            <w:rStyle w:val="Hyperlink"/>
            <w:noProof/>
          </w:rPr>
          <w:t>https://doi.org/10.1111/j.1095-8312.1989.tb00500.x</w:t>
        </w:r>
      </w:hyperlink>
    </w:p>
    <w:p w14:paraId="07D84789" w14:textId="7569168F" w:rsidR="00B9790A" w:rsidRPr="00B9790A" w:rsidRDefault="00B9790A" w:rsidP="00B9790A">
      <w:pPr>
        <w:pStyle w:val="EndNoteBibliography"/>
        <w:ind w:left="720" w:hanging="720"/>
        <w:rPr>
          <w:noProof/>
        </w:rPr>
      </w:pPr>
      <w:r w:rsidRPr="00B9790A">
        <w:rPr>
          <w:noProof/>
        </w:rPr>
        <w:t xml:space="preserve">Marcy, A. E., Fruciano, C., Phillips, M. J., Mardon, K., &amp; Weisbecker, V. (2018). Low resolution scans can provide a sufficiently accurate, cost- and time-effective alternative to high resolution scans for 3D shape analyses. </w:t>
      </w:r>
      <w:r w:rsidRPr="00B9790A">
        <w:rPr>
          <w:i/>
          <w:noProof/>
        </w:rPr>
        <w:t>PeerJ, 6</w:t>
      </w:r>
      <w:r w:rsidRPr="00B9790A">
        <w:rPr>
          <w:noProof/>
        </w:rPr>
        <w:t>, e5032. doi:</w:t>
      </w:r>
      <w:hyperlink r:id="rId43" w:history="1">
        <w:r w:rsidRPr="00B9790A">
          <w:rPr>
            <w:rStyle w:val="Hyperlink"/>
            <w:noProof/>
          </w:rPr>
          <w:t>https://doi.org/10.7717/peerj.5032</w:t>
        </w:r>
      </w:hyperlink>
    </w:p>
    <w:p w14:paraId="6F7CB753" w14:textId="5EE3CF37" w:rsidR="00B9790A" w:rsidRPr="00B9790A" w:rsidRDefault="00B9790A" w:rsidP="00B9790A">
      <w:pPr>
        <w:pStyle w:val="EndNoteBibliography"/>
        <w:ind w:left="720" w:hanging="720"/>
        <w:rPr>
          <w:noProof/>
        </w:rPr>
      </w:pPr>
      <w:r w:rsidRPr="00B9790A">
        <w:rPr>
          <w:noProof/>
        </w:rPr>
        <w:t xml:space="preserve">Marcy, A. E., Guillerme, T., Sherratt, E., Rowe, K. C., Phillips, M. J., &amp; Weisbecker, V. (2020). Australian rodents reveal conserved cranial evolutionary allometry across 10 million years of Murid evolution. </w:t>
      </w:r>
      <w:r w:rsidRPr="00B9790A">
        <w:rPr>
          <w:i/>
          <w:noProof/>
        </w:rPr>
        <w:t>The American Naturalist, 196</w:t>
      </w:r>
      <w:r w:rsidRPr="00B9790A">
        <w:rPr>
          <w:noProof/>
        </w:rPr>
        <w:t>(6), 755-768. doi:</w:t>
      </w:r>
      <w:hyperlink r:id="rId44" w:history="1">
        <w:r w:rsidRPr="00B9790A">
          <w:rPr>
            <w:rStyle w:val="Hyperlink"/>
            <w:noProof/>
          </w:rPr>
          <w:t>https://doi.org/10.1086/711398</w:t>
        </w:r>
      </w:hyperlink>
    </w:p>
    <w:p w14:paraId="153E410F" w14:textId="2FA58EBC" w:rsidR="00B9790A" w:rsidRPr="00B9790A" w:rsidRDefault="00B9790A" w:rsidP="00B9790A">
      <w:pPr>
        <w:pStyle w:val="EndNoteBibliography"/>
        <w:ind w:left="720" w:hanging="720"/>
        <w:rPr>
          <w:noProof/>
        </w:rPr>
      </w:pPr>
      <w:r w:rsidRPr="00B9790A">
        <w:rPr>
          <w:noProof/>
        </w:rPr>
        <w:t>Marcy, A. E., Hadly, E. A., Sherratt, E., Garland, K., &amp; Weisbecker, V. (2016). Getting a head in hard soils: Convergent skull evolution and divergent allometric patterns explain shape variation in a highly diverse genus of pocket gophers (</w:t>
      </w:r>
      <w:r w:rsidRPr="00B9790A">
        <w:rPr>
          <w:i/>
          <w:noProof/>
        </w:rPr>
        <w:t>Thomomys</w:t>
      </w:r>
      <w:r w:rsidRPr="00B9790A">
        <w:rPr>
          <w:noProof/>
        </w:rPr>
        <w:t xml:space="preserve">). </w:t>
      </w:r>
      <w:r w:rsidRPr="00B9790A">
        <w:rPr>
          <w:i/>
          <w:noProof/>
        </w:rPr>
        <w:t>BMC Evolutionary Biology, 16</w:t>
      </w:r>
      <w:r w:rsidRPr="00B9790A">
        <w:rPr>
          <w:noProof/>
        </w:rPr>
        <w:t>(1), 207. doi:</w:t>
      </w:r>
      <w:hyperlink r:id="rId45" w:history="1">
        <w:r w:rsidRPr="00B9790A">
          <w:rPr>
            <w:rStyle w:val="Hyperlink"/>
            <w:noProof/>
          </w:rPr>
          <w:t>https://doi.org/10.1186/s12862-016-0782-1</w:t>
        </w:r>
      </w:hyperlink>
    </w:p>
    <w:p w14:paraId="102E104C" w14:textId="278EF231" w:rsidR="00B9790A" w:rsidRPr="00B9790A" w:rsidRDefault="00B9790A" w:rsidP="00B9790A">
      <w:pPr>
        <w:pStyle w:val="EndNoteBibliography"/>
        <w:ind w:left="720" w:hanging="720"/>
        <w:rPr>
          <w:noProof/>
        </w:rPr>
      </w:pPr>
      <w:r w:rsidRPr="00B9790A">
        <w:rPr>
          <w:noProof/>
        </w:rPr>
        <w:lastRenderedPageBreak/>
        <w:t xml:space="preserve">Marroig, G., &amp; Cheverud, J. M. (2005). Size as a line of least evolutionary resistance: diet and adaptive morphological radiation in new world monkeys. </w:t>
      </w:r>
      <w:r w:rsidRPr="00B9790A">
        <w:rPr>
          <w:i/>
          <w:noProof/>
        </w:rPr>
        <w:t>Evolution, 59</w:t>
      </w:r>
      <w:r w:rsidRPr="00B9790A">
        <w:rPr>
          <w:noProof/>
        </w:rPr>
        <w:t>(5), 1128-1142. doi:</w:t>
      </w:r>
      <w:hyperlink r:id="rId46" w:history="1">
        <w:r w:rsidRPr="00B9790A">
          <w:rPr>
            <w:rStyle w:val="Hyperlink"/>
            <w:noProof/>
          </w:rPr>
          <w:t>https://doi.org/10.1111/j.0014-3820.2005.tb01049.x</w:t>
        </w:r>
      </w:hyperlink>
    </w:p>
    <w:p w14:paraId="1AD75CD5" w14:textId="661B163F" w:rsidR="00B9790A" w:rsidRPr="00B9790A" w:rsidRDefault="00B9790A" w:rsidP="00B9790A">
      <w:pPr>
        <w:pStyle w:val="EndNoteBibliography"/>
        <w:ind w:left="720" w:hanging="720"/>
        <w:rPr>
          <w:noProof/>
        </w:rPr>
      </w:pPr>
      <w:r w:rsidRPr="00B9790A">
        <w:rPr>
          <w:noProof/>
        </w:rPr>
        <w:t xml:space="preserve">Mitchell, D. R. (2019). The anatomy of a crushing bite: The specialised cranial mechanics of a giant extinct kangaroo. </w:t>
      </w:r>
      <w:r w:rsidRPr="00B9790A">
        <w:rPr>
          <w:i/>
          <w:noProof/>
        </w:rPr>
        <w:t>PLOS ONE, 14</w:t>
      </w:r>
      <w:r w:rsidRPr="00B9790A">
        <w:rPr>
          <w:noProof/>
        </w:rPr>
        <w:t>(9), e0221287. doi:</w:t>
      </w:r>
      <w:hyperlink r:id="rId47" w:history="1">
        <w:r w:rsidRPr="00B9790A">
          <w:rPr>
            <w:rStyle w:val="Hyperlink"/>
            <w:noProof/>
          </w:rPr>
          <w:t>https://doi.org/10.1371/journal.pone.0221287</w:t>
        </w:r>
      </w:hyperlink>
    </w:p>
    <w:p w14:paraId="7B86BD23" w14:textId="716C2F44" w:rsidR="00B9790A" w:rsidRPr="00B9790A" w:rsidRDefault="00B9790A" w:rsidP="00B9790A">
      <w:pPr>
        <w:pStyle w:val="EndNoteBibliography"/>
        <w:ind w:left="720" w:hanging="720"/>
        <w:rPr>
          <w:noProof/>
        </w:rPr>
      </w:pPr>
      <w:r w:rsidRPr="00B9790A">
        <w:rPr>
          <w:noProof/>
        </w:rPr>
        <w:t xml:space="preserve">Mitchell, D. R., Sherratt, E., Ledogar, J. A., &amp; Wroe, S. (2018). The biomechanics of foraging determines face length among kangaroos and their relatives. </w:t>
      </w:r>
      <w:r w:rsidRPr="00B9790A">
        <w:rPr>
          <w:i/>
          <w:noProof/>
        </w:rPr>
        <w:t>Proceedings of the Royal Society B: Biological Sciences, 285</w:t>
      </w:r>
      <w:r w:rsidRPr="00B9790A">
        <w:rPr>
          <w:noProof/>
        </w:rPr>
        <w:t>(1881), 20180845. doi:</w:t>
      </w:r>
      <w:hyperlink r:id="rId48" w:history="1">
        <w:r w:rsidRPr="00B9790A">
          <w:rPr>
            <w:rStyle w:val="Hyperlink"/>
            <w:noProof/>
          </w:rPr>
          <w:t>https://doi.org/10.1098/rspb.2018.0845</w:t>
        </w:r>
      </w:hyperlink>
    </w:p>
    <w:p w14:paraId="124C26FA" w14:textId="77777777" w:rsidR="00B9790A" w:rsidRPr="00B9790A" w:rsidRDefault="00B9790A" w:rsidP="00B9790A">
      <w:pPr>
        <w:pStyle w:val="EndNoteBibliography"/>
        <w:ind w:left="720" w:hanging="720"/>
        <w:rPr>
          <w:noProof/>
        </w:rPr>
      </w:pPr>
      <w:r w:rsidRPr="00B9790A">
        <w:rPr>
          <w:noProof/>
        </w:rPr>
        <w:t xml:space="preserve">Mitchell, D. R., Sherratt, E., &amp; Weisbecker, V. (2024). Facing the facts: Adaptive trade-offs along body size ranges determine mammalian craniofacial scaling </w:t>
      </w:r>
      <w:r w:rsidRPr="00B9790A">
        <w:rPr>
          <w:i/>
          <w:noProof/>
        </w:rPr>
        <w:t>Biological Reviews, 99</w:t>
      </w:r>
      <w:r w:rsidRPr="00B9790A">
        <w:rPr>
          <w:noProof/>
        </w:rPr>
        <w:t>(2), 496-524. doi:10.1111/brv.13032</w:t>
      </w:r>
    </w:p>
    <w:p w14:paraId="5E906B57" w14:textId="08C7C814" w:rsidR="00B9790A" w:rsidRPr="00B9790A" w:rsidRDefault="00B9790A" w:rsidP="00B9790A">
      <w:pPr>
        <w:pStyle w:val="EndNoteBibliography"/>
        <w:ind w:left="720" w:hanging="720"/>
        <w:rPr>
          <w:noProof/>
        </w:rPr>
      </w:pPr>
      <w:r w:rsidRPr="00B9790A">
        <w:rPr>
          <w:noProof/>
        </w:rPr>
        <w:t xml:space="preserve">Murray, B. R., Dickman, C. R., Watts, C. H. S., &amp; Morton, S. R. (1999). The dietary ecology of Australian rodents. </w:t>
      </w:r>
      <w:r w:rsidRPr="00B9790A">
        <w:rPr>
          <w:i/>
          <w:noProof/>
        </w:rPr>
        <w:t>Wildlife Research, 26</w:t>
      </w:r>
      <w:r w:rsidRPr="00B9790A">
        <w:rPr>
          <w:noProof/>
        </w:rPr>
        <w:t>(6), 857-858. doi:</w:t>
      </w:r>
      <w:hyperlink r:id="rId49" w:history="1">
        <w:r w:rsidRPr="00B9790A">
          <w:rPr>
            <w:rStyle w:val="Hyperlink"/>
            <w:noProof/>
          </w:rPr>
          <w:t>https://doi.org/10.1071/WR97046_CO</w:t>
        </w:r>
      </w:hyperlink>
    </w:p>
    <w:p w14:paraId="11D28EF7" w14:textId="67F4F4DA" w:rsidR="00B9790A" w:rsidRPr="00B9790A" w:rsidRDefault="00B9790A" w:rsidP="00B9790A">
      <w:pPr>
        <w:pStyle w:val="EndNoteBibliography"/>
        <w:ind w:left="720" w:hanging="720"/>
        <w:rPr>
          <w:noProof/>
        </w:rPr>
      </w:pPr>
      <w:r w:rsidRPr="00B9790A">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B9790A">
        <w:rPr>
          <w:i/>
          <w:noProof/>
        </w:rPr>
        <w:t xml:space="preserve">R package version 2.6-4 </w:t>
      </w:r>
      <w:hyperlink r:id="rId50" w:history="1">
        <w:r w:rsidRPr="00B9790A">
          <w:rPr>
            <w:rStyle w:val="Hyperlink"/>
            <w:i/>
            <w:noProof/>
          </w:rPr>
          <w:t>https://CRAN.R-project.org/package=vegan</w:t>
        </w:r>
      </w:hyperlink>
      <w:r w:rsidRPr="00B9790A">
        <w:rPr>
          <w:noProof/>
        </w:rPr>
        <w:t xml:space="preserve">. </w:t>
      </w:r>
    </w:p>
    <w:p w14:paraId="191C0172" w14:textId="436EE5A4" w:rsidR="00B9790A" w:rsidRPr="00B9790A" w:rsidRDefault="00B9790A" w:rsidP="00B9790A">
      <w:pPr>
        <w:pStyle w:val="EndNoteBibliography"/>
        <w:ind w:left="720" w:hanging="720"/>
        <w:rPr>
          <w:noProof/>
        </w:rPr>
      </w:pPr>
      <w:r w:rsidRPr="00B9790A">
        <w:rPr>
          <w:noProof/>
        </w:rPr>
        <w:t xml:space="preserve">R Core Team. (2023). R: A Language and Environment for Statistical Computing_. . </w:t>
      </w:r>
      <w:r w:rsidRPr="00B9790A">
        <w:rPr>
          <w:i/>
          <w:noProof/>
        </w:rPr>
        <w:t xml:space="preserve">R Foundation for Statistical Computing, Vienna, Austria. </w:t>
      </w:r>
      <w:hyperlink r:id="rId51" w:history="1">
        <w:r w:rsidRPr="00B9790A">
          <w:rPr>
            <w:rStyle w:val="Hyperlink"/>
            <w:i/>
            <w:noProof/>
          </w:rPr>
          <w:t>https://www.R-project.org/</w:t>
        </w:r>
      </w:hyperlink>
      <w:r w:rsidRPr="00B9790A">
        <w:rPr>
          <w:noProof/>
        </w:rPr>
        <w:t xml:space="preserve">. </w:t>
      </w:r>
    </w:p>
    <w:p w14:paraId="20AD6456" w14:textId="1C1A78EF" w:rsidR="00B9790A" w:rsidRPr="00B9790A" w:rsidRDefault="00B9790A" w:rsidP="00B9790A">
      <w:pPr>
        <w:pStyle w:val="EndNoteBibliography"/>
        <w:ind w:left="720" w:hanging="720"/>
        <w:rPr>
          <w:noProof/>
        </w:rPr>
      </w:pPr>
      <w:r w:rsidRPr="00B9790A">
        <w:rPr>
          <w:noProof/>
        </w:rPr>
        <w:t xml:space="preserve">Samuels, J. X. (2009). Cranial morphology and dietary habits of rodents. </w:t>
      </w:r>
      <w:r w:rsidRPr="00B9790A">
        <w:rPr>
          <w:i/>
          <w:noProof/>
        </w:rPr>
        <w:t>Zoological Journal of the Linnean Society, 156</w:t>
      </w:r>
      <w:r w:rsidRPr="00B9790A">
        <w:rPr>
          <w:noProof/>
        </w:rPr>
        <w:t>(4), 864-888. doi:</w:t>
      </w:r>
      <w:hyperlink r:id="rId52" w:history="1">
        <w:r w:rsidRPr="00B9790A">
          <w:rPr>
            <w:rStyle w:val="Hyperlink"/>
            <w:noProof/>
          </w:rPr>
          <w:t>https://doi.org/10.1111/j.1096-3642.2009.00502.x</w:t>
        </w:r>
      </w:hyperlink>
    </w:p>
    <w:p w14:paraId="2B139B7F" w14:textId="397D3941" w:rsidR="00B9790A" w:rsidRPr="00B9790A" w:rsidRDefault="00B9790A" w:rsidP="00B9790A">
      <w:pPr>
        <w:pStyle w:val="EndNoteBibliography"/>
        <w:ind w:left="720" w:hanging="720"/>
        <w:rPr>
          <w:noProof/>
        </w:rPr>
      </w:pPr>
      <w:r w:rsidRPr="00B9790A">
        <w:rPr>
          <w:noProof/>
        </w:rPr>
        <w:t xml:space="preserve">Sansalone, G., Colangelo, P., Loy, A., Raia, P., Wroe, S., &amp; Piras, P. (2019). Impact of transition to a subterranean lifestyle on morphological disparity and integration in talpid moles (Mammalia, Talpidae). </w:t>
      </w:r>
      <w:r w:rsidRPr="00B9790A">
        <w:rPr>
          <w:i/>
          <w:noProof/>
        </w:rPr>
        <w:t>BMC Evolutionary Biology, 19</w:t>
      </w:r>
      <w:r w:rsidRPr="00B9790A">
        <w:rPr>
          <w:noProof/>
        </w:rPr>
        <w:t>(1), 179. doi:</w:t>
      </w:r>
      <w:hyperlink r:id="rId53" w:history="1">
        <w:r w:rsidRPr="00B9790A">
          <w:rPr>
            <w:rStyle w:val="Hyperlink"/>
            <w:noProof/>
          </w:rPr>
          <w:t>https://doi.org/10.1186/s12862-019-1506-0</w:t>
        </w:r>
      </w:hyperlink>
    </w:p>
    <w:p w14:paraId="2307BACF" w14:textId="20F30622" w:rsidR="00B9790A" w:rsidRPr="00B9790A" w:rsidRDefault="00B9790A" w:rsidP="00B9790A">
      <w:pPr>
        <w:pStyle w:val="EndNoteBibliography"/>
        <w:ind w:left="720" w:hanging="720"/>
        <w:rPr>
          <w:noProof/>
        </w:rPr>
      </w:pPr>
      <w:r w:rsidRPr="00B9790A">
        <w:rPr>
          <w:noProof/>
        </w:rPr>
        <w:t xml:space="preserve">Satoh, K., &amp; Iwaku, F. (2006). Jaw muscle functional anatomy in northern grasshopper mouse, Onychomys leucogaster, a carnivorous murid. </w:t>
      </w:r>
      <w:r w:rsidRPr="00B9790A">
        <w:rPr>
          <w:i/>
          <w:noProof/>
        </w:rPr>
        <w:t>Journal of Morphology, 267</w:t>
      </w:r>
      <w:r w:rsidRPr="00B9790A">
        <w:rPr>
          <w:noProof/>
        </w:rPr>
        <w:t>(8), 987-999. doi:</w:t>
      </w:r>
      <w:hyperlink r:id="rId54" w:history="1">
        <w:r w:rsidRPr="00B9790A">
          <w:rPr>
            <w:rStyle w:val="Hyperlink"/>
            <w:noProof/>
          </w:rPr>
          <w:t>https://doi.org/10.1002/jmor.10443</w:t>
        </w:r>
      </w:hyperlink>
    </w:p>
    <w:p w14:paraId="6D60B106" w14:textId="280DFEA8" w:rsidR="00B9790A" w:rsidRPr="00B9790A" w:rsidRDefault="00B9790A" w:rsidP="00B9790A">
      <w:pPr>
        <w:pStyle w:val="EndNoteBibliography"/>
        <w:ind w:left="720" w:hanging="720"/>
        <w:rPr>
          <w:noProof/>
        </w:rPr>
      </w:pPr>
      <w:r w:rsidRPr="00B9790A">
        <w:rPr>
          <w:noProof/>
        </w:rPr>
        <w:t xml:space="preserve">Schlis-Elias, M. C., &amp; Malaney, J. L. (2022). Island biogeography predicts skull gigantism and shape variation in meadow voles Microtus pennsylvanicus through ecological release and allometry. </w:t>
      </w:r>
      <w:r w:rsidRPr="00B9790A">
        <w:rPr>
          <w:i/>
          <w:noProof/>
        </w:rPr>
        <w:t>Oikos, 2022</w:t>
      </w:r>
      <w:r w:rsidRPr="00B9790A">
        <w:rPr>
          <w:noProof/>
        </w:rPr>
        <w:t>(4), e08777. doi:</w:t>
      </w:r>
      <w:hyperlink r:id="rId55" w:history="1">
        <w:r w:rsidRPr="00B9790A">
          <w:rPr>
            <w:rStyle w:val="Hyperlink"/>
            <w:noProof/>
          </w:rPr>
          <w:t>https://doi.org/10.1111/oik.08777</w:t>
        </w:r>
      </w:hyperlink>
    </w:p>
    <w:p w14:paraId="3A907986" w14:textId="77777777" w:rsidR="00B9790A" w:rsidRPr="00B9790A" w:rsidRDefault="00B9790A" w:rsidP="00B9790A">
      <w:pPr>
        <w:pStyle w:val="EndNoteBibliography"/>
        <w:ind w:left="720" w:hanging="720"/>
        <w:rPr>
          <w:noProof/>
        </w:rPr>
      </w:pPr>
      <w:r w:rsidRPr="00B9790A">
        <w:rPr>
          <w:noProof/>
        </w:rPr>
        <w:t xml:space="preserve">Segura, V., Flores, D., &amp; Deferrari, G. (2023). Comparison of skull growth in two ecosystem modifiers: beavers Castor canadensis (Rodentia: Castoridae) and muskrats Ondatra zibethicus (Rodentia: Cricetidae). </w:t>
      </w:r>
      <w:r w:rsidRPr="00B9790A">
        <w:rPr>
          <w:i/>
          <w:noProof/>
        </w:rPr>
        <w:t>Zoologischer Anzeiger, 304</w:t>
      </w:r>
      <w:r w:rsidRPr="00B9790A">
        <w:rPr>
          <w:noProof/>
        </w:rPr>
        <w:t xml:space="preserve">, 61-72. </w:t>
      </w:r>
    </w:p>
    <w:p w14:paraId="1042A27D" w14:textId="77777777" w:rsidR="00B9790A" w:rsidRPr="00B9790A" w:rsidRDefault="00B9790A" w:rsidP="00B9790A">
      <w:pPr>
        <w:pStyle w:val="EndNoteBibliography"/>
        <w:ind w:left="720" w:hanging="720"/>
        <w:rPr>
          <w:noProof/>
        </w:rPr>
      </w:pPr>
      <w:r w:rsidRPr="00B9790A">
        <w:rPr>
          <w:noProof/>
        </w:rPr>
        <w:t xml:space="preserve">Singleton, M. (2005). Functional shape variation in the Cercopithecine masticatory complex. In D. E. Slice (Ed.), </w:t>
      </w:r>
      <w:r w:rsidRPr="00B9790A">
        <w:rPr>
          <w:i/>
          <w:noProof/>
        </w:rPr>
        <w:t>Modern Morphometrics in Physical Anthropology</w:t>
      </w:r>
      <w:r w:rsidRPr="00B9790A">
        <w:rPr>
          <w:noProof/>
        </w:rPr>
        <w:t xml:space="preserve"> (pp. 319-348). Boston, MA: Springer US.</w:t>
      </w:r>
    </w:p>
    <w:p w14:paraId="43464EFE" w14:textId="49535A32" w:rsidR="00B9790A" w:rsidRPr="00B9790A" w:rsidRDefault="00B9790A" w:rsidP="00B9790A">
      <w:pPr>
        <w:pStyle w:val="EndNoteBibliography"/>
        <w:ind w:left="720" w:hanging="720"/>
        <w:rPr>
          <w:noProof/>
        </w:rPr>
      </w:pPr>
      <w:r w:rsidRPr="00B9790A">
        <w:rPr>
          <w:noProof/>
        </w:rPr>
        <w:t xml:space="preserve">Smaers, J. B., Rothman, R. S., Hudson, D. R., Balanoff, A. M., Beatty, B., Dechmann, D. K. N., de Vries, D., Dunn, J. C., Fleagle, J. G., Gilbert, C. C., Goswami, A., Iwaniuk, A. N., </w:t>
      </w:r>
      <w:r w:rsidRPr="00B9790A">
        <w:rPr>
          <w:noProof/>
        </w:rPr>
        <w:lastRenderedPageBreak/>
        <w:t xml:space="preserve">Jungers, W. L., Kerney, M., Ksepka, D. T., Manger, P. R., Mongle, C. S., Rohlf, F. J., Smith, N. A., Soligo, C., Weisbecker, V., &amp; Safi, K. (2021). The evolution of mammalian brain size. </w:t>
      </w:r>
      <w:r w:rsidRPr="00B9790A">
        <w:rPr>
          <w:i/>
          <w:noProof/>
        </w:rPr>
        <w:t>Science Advances, 7</w:t>
      </w:r>
      <w:r w:rsidRPr="00B9790A">
        <w:rPr>
          <w:noProof/>
        </w:rPr>
        <w:t>(18), eabe2101. doi:</w:t>
      </w:r>
      <w:hyperlink r:id="rId56" w:history="1">
        <w:r w:rsidRPr="00B9790A">
          <w:rPr>
            <w:rStyle w:val="Hyperlink"/>
            <w:noProof/>
          </w:rPr>
          <w:t>https://doi.org/10.1126/sciadv.abe2101</w:t>
        </w:r>
      </w:hyperlink>
    </w:p>
    <w:p w14:paraId="7FB27FFB" w14:textId="4C19C4B2" w:rsidR="00B9790A" w:rsidRPr="00B9790A" w:rsidRDefault="00B9790A" w:rsidP="00B9790A">
      <w:pPr>
        <w:pStyle w:val="EndNoteBibliography"/>
        <w:ind w:left="720" w:hanging="720"/>
        <w:rPr>
          <w:noProof/>
        </w:rPr>
      </w:pPr>
      <w:r w:rsidRPr="00880FFA">
        <w:rPr>
          <w:noProof/>
          <w:lang w:val="de-DE"/>
        </w:rPr>
        <w:t xml:space="preserve">Smissen, P. J., &amp; Rowe, K. C. (2018). </w:t>
      </w:r>
      <w:r w:rsidRPr="00B9790A">
        <w:rPr>
          <w:noProof/>
        </w:rPr>
        <w:t xml:space="preserve">Repeated biome transitions in the evolution of Australian rodents. </w:t>
      </w:r>
      <w:r w:rsidRPr="00B9790A">
        <w:rPr>
          <w:i/>
          <w:noProof/>
        </w:rPr>
        <w:t>Molecular Phylogenetics and Evolution, 128</w:t>
      </w:r>
      <w:r w:rsidRPr="00B9790A">
        <w:rPr>
          <w:noProof/>
        </w:rPr>
        <w:t>, 182-191. doi:</w:t>
      </w:r>
      <w:hyperlink r:id="rId57" w:history="1">
        <w:r w:rsidRPr="00B9790A">
          <w:rPr>
            <w:rStyle w:val="Hyperlink"/>
            <w:noProof/>
          </w:rPr>
          <w:t>https://doi.org/10.1016/j.ympev.2018.07.015</w:t>
        </w:r>
      </w:hyperlink>
    </w:p>
    <w:p w14:paraId="4C532A93" w14:textId="363F19AC" w:rsidR="00B9790A" w:rsidRPr="00B9790A" w:rsidRDefault="00B9790A" w:rsidP="00B9790A">
      <w:pPr>
        <w:pStyle w:val="EndNoteBibliography"/>
        <w:ind w:left="720" w:hanging="720"/>
        <w:rPr>
          <w:noProof/>
        </w:rPr>
      </w:pPr>
      <w:r w:rsidRPr="00B9790A">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B9790A">
        <w:rPr>
          <w:i/>
          <w:noProof/>
        </w:rPr>
        <w:t>Australopithecus africanus</w:t>
      </w:r>
      <w:r w:rsidRPr="00B9790A">
        <w:rPr>
          <w:noProof/>
        </w:rPr>
        <w:t xml:space="preserve">. </w:t>
      </w:r>
      <w:r w:rsidRPr="00B9790A">
        <w:rPr>
          <w:i/>
          <w:noProof/>
        </w:rPr>
        <w:t>Proceedings of the National Academy of Sciences, 106</w:t>
      </w:r>
      <w:r w:rsidRPr="00B9790A">
        <w:rPr>
          <w:noProof/>
        </w:rPr>
        <w:t>(7), 2124-2129. doi:</w:t>
      </w:r>
      <w:hyperlink r:id="rId58" w:history="1">
        <w:r w:rsidRPr="00B9790A">
          <w:rPr>
            <w:rStyle w:val="Hyperlink"/>
            <w:noProof/>
          </w:rPr>
          <w:t>https://doi.org/10.1073/pnas.0808730106</w:t>
        </w:r>
      </w:hyperlink>
    </w:p>
    <w:p w14:paraId="78DD3407" w14:textId="77777777" w:rsidR="00B9790A" w:rsidRPr="00B9790A" w:rsidRDefault="00B9790A" w:rsidP="00B9790A">
      <w:pPr>
        <w:pStyle w:val="EndNoteBibliography"/>
        <w:ind w:left="720" w:hanging="720"/>
        <w:rPr>
          <w:noProof/>
        </w:rPr>
      </w:pPr>
      <w:r w:rsidRPr="00B9790A">
        <w:rPr>
          <w:noProof/>
        </w:rPr>
        <w:t xml:space="preserve">Van Valkenburgh, B. (1989). Carnivore dental adaptations and diet: A study of trophic diversity within Guilds. In J. L. Gittleman (Ed.), </w:t>
      </w:r>
      <w:r w:rsidRPr="00B9790A">
        <w:rPr>
          <w:i/>
          <w:noProof/>
        </w:rPr>
        <w:t>Carnivore Behavior, Ecology, and Evolution</w:t>
      </w:r>
      <w:r w:rsidRPr="00B9790A">
        <w:rPr>
          <w:noProof/>
        </w:rPr>
        <w:t xml:space="preserve"> (pp. 410-436). Boston, MA: Springer US.</w:t>
      </w:r>
    </w:p>
    <w:p w14:paraId="0AC2B3E0" w14:textId="4BA1D0D3" w:rsidR="00B9790A" w:rsidRPr="00B9790A" w:rsidRDefault="00B9790A" w:rsidP="00B9790A">
      <w:pPr>
        <w:pStyle w:val="EndNoteBibliography"/>
        <w:ind w:left="720" w:hanging="720"/>
        <w:rPr>
          <w:noProof/>
        </w:rPr>
      </w:pPr>
      <w:r w:rsidRPr="00B9790A">
        <w:rPr>
          <w:noProof/>
        </w:rPr>
        <w:t xml:space="preserve">Voje, K. L., Hansen, T. F., Egset, C. K., Bolstad, G. H., &amp; Pélabon, C. (2014). Allometric constraints and the evolution of allometry. </w:t>
      </w:r>
      <w:r w:rsidRPr="00B9790A">
        <w:rPr>
          <w:i/>
          <w:noProof/>
        </w:rPr>
        <w:t>Evolution, 68</w:t>
      </w:r>
      <w:r w:rsidRPr="00B9790A">
        <w:rPr>
          <w:noProof/>
        </w:rPr>
        <w:t>(3), 866-885. doi:</w:t>
      </w:r>
      <w:hyperlink r:id="rId59" w:history="1">
        <w:r w:rsidRPr="00B9790A">
          <w:rPr>
            <w:rStyle w:val="Hyperlink"/>
            <w:noProof/>
          </w:rPr>
          <w:t>https://doi.org/10.1111/evo.12312</w:t>
        </w:r>
      </w:hyperlink>
    </w:p>
    <w:p w14:paraId="5922D782" w14:textId="5F4F45B3" w:rsidR="00B9790A" w:rsidRPr="00B9790A" w:rsidRDefault="00B9790A" w:rsidP="00B9790A">
      <w:pPr>
        <w:pStyle w:val="EndNoteBibliography"/>
        <w:ind w:left="720" w:hanging="720"/>
        <w:rPr>
          <w:noProof/>
        </w:rPr>
      </w:pPr>
      <w:r w:rsidRPr="00B9790A">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B9790A">
        <w:rPr>
          <w:i/>
          <w:noProof/>
        </w:rPr>
        <w:t>Frontiers in Zoology, 16</w:t>
      </w:r>
      <w:r w:rsidRPr="00B9790A">
        <w:rPr>
          <w:noProof/>
        </w:rPr>
        <w:t>(1), 41. doi:</w:t>
      </w:r>
      <w:hyperlink r:id="rId60" w:history="1">
        <w:r w:rsidRPr="00B9790A">
          <w:rPr>
            <w:rStyle w:val="Hyperlink"/>
            <w:noProof/>
          </w:rPr>
          <w:t>https://doi.org/10.1186/s12983-019-0338-5</w:t>
        </w:r>
      </w:hyperlink>
    </w:p>
    <w:p w14:paraId="1AE312B3" w14:textId="0CD1DC3E" w:rsidR="00B9790A" w:rsidRPr="00B9790A" w:rsidRDefault="00B9790A" w:rsidP="00B9790A">
      <w:pPr>
        <w:pStyle w:val="EndNoteBibliography"/>
        <w:ind w:left="720" w:hanging="720"/>
        <w:rPr>
          <w:noProof/>
        </w:rPr>
      </w:pPr>
      <w:r w:rsidRPr="00B9790A">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B9790A">
        <w:rPr>
          <w:i/>
          <w:noProof/>
        </w:rPr>
        <w:t>Evolution, 75</w:t>
      </w:r>
      <w:r w:rsidRPr="00B9790A">
        <w:rPr>
          <w:noProof/>
        </w:rPr>
        <w:t>(3), 625-640. doi:</w:t>
      </w:r>
      <w:hyperlink r:id="rId61" w:history="1">
        <w:r w:rsidRPr="00B9790A">
          <w:rPr>
            <w:rStyle w:val="Hyperlink"/>
            <w:noProof/>
          </w:rPr>
          <w:t>https://doi.org/10.1111/evo.14163</w:t>
        </w:r>
      </w:hyperlink>
    </w:p>
    <w:p w14:paraId="073EFCC8" w14:textId="555A68E7" w:rsidR="00B9790A" w:rsidRPr="00B9790A" w:rsidRDefault="00B9790A" w:rsidP="00B9790A">
      <w:pPr>
        <w:pStyle w:val="EndNoteBibliography"/>
        <w:ind w:left="720" w:hanging="720"/>
        <w:rPr>
          <w:noProof/>
        </w:rPr>
      </w:pPr>
      <w:r w:rsidRPr="00B9790A">
        <w:rPr>
          <w:noProof/>
        </w:rPr>
        <w:t xml:space="preserve">Williams, S. H., Peiffer, E., &amp; Ford, S. (2009). Gape and bite force in the rodents </w:t>
      </w:r>
      <w:r w:rsidRPr="00B9790A">
        <w:rPr>
          <w:i/>
          <w:noProof/>
        </w:rPr>
        <w:t>Onychomys leucogaster</w:t>
      </w:r>
      <w:r w:rsidRPr="00B9790A">
        <w:rPr>
          <w:noProof/>
        </w:rPr>
        <w:t xml:space="preserve"> and </w:t>
      </w:r>
      <w:r w:rsidRPr="00B9790A">
        <w:rPr>
          <w:i/>
          <w:noProof/>
        </w:rPr>
        <w:t>Peromyscus maniculatus</w:t>
      </w:r>
      <w:r w:rsidRPr="00B9790A">
        <w:rPr>
          <w:noProof/>
        </w:rPr>
        <w:t xml:space="preserve">: Does jaw-muscle anatomy predict performance? </w:t>
      </w:r>
      <w:r w:rsidRPr="00B9790A">
        <w:rPr>
          <w:i/>
          <w:noProof/>
        </w:rPr>
        <w:t>Journal of Morphology, 270</w:t>
      </w:r>
      <w:r w:rsidRPr="00B9790A">
        <w:rPr>
          <w:noProof/>
        </w:rPr>
        <w:t>(11), 1338-1347. doi:</w:t>
      </w:r>
      <w:hyperlink r:id="rId62" w:history="1">
        <w:r w:rsidRPr="00B9790A">
          <w:rPr>
            <w:rStyle w:val="Hyperlink"/>
            <w:noProof/>
          </w:rPr>
          <w:t>https://doi.org/10.1002/jmor.10761</w:t>
        </w:r>
      </w:hyperlink>
    </w:p>
    <w:p w14:paraId="02E24A4E" w14:textId="366A2BED" w:rsidR="00B9790A" w:rsidRPr="00B9790A" w:rsidRDefault="00B9790A" w:rsidP="00B9790A">
      <w:pPr>
        <w:pStyle w:val="EndNoteBibliography"/>
        <w:ind w:left="720" w:hanging="720"/>
        <w:rPr>
          <w:noProof/>
        </w:rPr>
      </w:pPr>
      <w:r w:rsidRPr="00B9790A">
        <w:rPr>
          <w:noProof/>
        </w:rPr>
        <w:t xml:space="preserve">Wilson, L. A. B. (2013). Allometric disparity in rodent evolution. </w:t>
      </w:r>
      <w:r w:rsidRPr="00B9790A">
        <w:rPr>
          <w:i/>
          <w:noProof/>
        </w:rPr>
        <w:t>Ecology and Evolution, 3</w:t>
      </w:r>
      <w:r w:rsidRPr="00B9790A">
        <w:rPr>
          <w:noProof/>
        </w:rPr>
        <w:t>(4), 971-984. doi:</w:t>
      </w:r>
      <w:hyperlink r:id="rId63" w:history="1">
        <w:r w:rsidRPr="00B9790A">
          <w:rPr>
            <w:rStyle w:val="Hyperlink"/>
            <w:noProof/>
          </w:rPr>
          <w:t>https://doi.org/10.1002/ece3.521</w:t>
        </w:r>
      </w:hyperlink>
    </w:p>
    <w:p w14:paraId="54D60FD8" w14:textId="77777777" w:rsidR="00B9790A" w:rsidRPr="00B9790A" w:rsidRDefault="00B9790A" w:rsidP="00B9790A">
      <w:pPr>
        <w:pStyle w:val="EndNoteBibliography"/>
        <w:ind w:left="720" w:hanging="720"/>
        <w:rPr>
          <w:noProof/>
        </w:rPr>
      </w:pPr>
      <w:r w:rsidRPr="00B9790A">
        <w:rPr>
          <w:noProof/>
        </w:rPr>
        <w:t xml:space="preserve">Winkler, D. E., Schulz-Kornas, E., Kaiser, T. M., De Cuyper, A., Clauss, M., &amp; Tütken, T. (2019). Forage silica and water content control dental surface texture in guinea pigs and provide implications for dietary reconstruction. </w:t>
      </w:r>
      <w:r w:rsidRPr="00B9790A">
        <w:rPr>
          <w:i/>
          <w:noProof/>
        </w:rPr>
        <w:t>Proceedings of the National Academy of Sciences, 116</w:t>
      </w:r>
      <w:r w:rsidRPr="00B9790A">
        <w:rPr>
          <w:noProof/>
        </w:rPr>
        <w:t>(4), 1325-1330. doi:doi:10.1073/pnas.1814081116</w:t>
      </w:r>
    </w:p>
    <w:p w14:paraId="19F99508" w14:textId="56CAF4BD" w:rsidR="00B9790A" w:rsidRPr="00B9790A" w:rsidRDefault="00B9790A" w:rsidP="00B9790A">
      <w:pPr>
        <w:pStyle w:val="EndNoteBibliography"/>
        <w:ind w:left="720" w:hanging="720"/>
        <w:rPr>
          <w:noProof/>
        </w:rPr>
      </w:pPr>
      <w:r w:rsidRPr="00B9790A">
        <w:rPr>
          <w:noProof/>
        </w:rPr>
        <w:t xml:space="preserve">Young, N. M., Linde-Medina, M., Fondon, J. W., Hallgrímsson, B., &amp; Marcucio, R. S. (2017). Craniofacial diversification in the domestic pigeon and the evolution of the avian skull. </w:t>
      </w:r>
      <w:r w:rsidRPr="00B9790A">
        <w:rPr>
          <w:i/>
          <w:noProof/>
        </w:rPr>
        <w:t>Nature Ecology &amp; Evolution, 1</w:t>
      </w:r>
      <w:r w:rsidRPr="00B9790A">
        <w:rPr>
          <w:noProof/>
        </w:rPr>
        <w:t>(4), 0095. doi:</w:t>
      </w:r>
      <w:hyperlink r:id="rId64" w:history="1">
        <w:r w:rsidRPr="00B9790A">
          <w:rPr>
            <w:rStyle w:val="Hyperlink"/>
            <w:noProof/>
          </w:rPr>
          <w:t>https://doi.org/10.1038/s41559-017-0095</w:t>
        </w:r>
      </w:hyperlink>
    </w:p>
    <w:p w14:paraId="52D2C5CE" w14:textId="77777777" w:rsidR="00B9790A" w:rsidRPr="00B9790A" w:rsidRDefault="00B9790A" w:rsidP="00B9790A">
      <w:pPr>
        <w:pStyle w:val="EndNoteBibliography"/>
        <w:ind w:left="720" w:hanging="720"/>
        <w:rPr>
          <w:noProof/>
        </w:rPr>
      </w:pPr>
      <w:r w:rsidRPr="00B9790A">
        <w:rPr>
          <w:noProof/>
        </w:rPr>
        <w:t xml:space="preserve">Zelditch, M. L., &amp; Swiderski, D. L. (2023). The predictable complexity of evolutionary allometry. </w:t>
      </w:r>
      <w:r w:rsidRPr="00B9790A">
        <w:rPr>
          <w:i/>
          <w:noProof/>
        </w:rPr>
        <w:t>Evolutionary Biology, 50</w:t>
      </w:r>
      <w:r w:rsidRPr="00B9790A">
        <w:rPr>
          <w:noProof/>
        </w:rPr>
        <w:t xml:space="preserve">(1), 56-77. </w:t>
      </w:r>
    </w:p>
    <w:p w14:paraId="30972CFF" w14:textId="16D70B22"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lastRenderedPageBreak/>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5"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3FF0472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Gabriele Sansalone for consulting on integration analysis.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4537ACA7" w14:textId="77777777" w:rsidR="009A5291" w:rsidRDefault="009A5291" w:rsidP="009A5291">
      <w:pPr>
        <w:spacing w:line="480" w:lineRule="auto"/>
      </w:pPr>
    </w:p>
    <w:p w14:paraId="3443AD09" w14:textId="03E757A4" w:rsidR="00422522" w:rsidRDefault="00422522"/>
    <w:p w14:paraId="23521254" w14:textId="77777777" w:rsidR="00422522" w:rsidRDefault="00422522" w:rsidP="00422522">
      <w:pPr>
        <w:spacing w:line="480" w:lineRule="auto"/>
        <w:rPr>
          <w:b/>
        </w:rPr>
      </w:pPr>
      <w:r>
        <w:rPr>
          <w:b/>
        </w:rPr>
        <w:t>Supporting Information</w:t>
      </w:r>
    </w:p>
    <w:p w14:paraId="1E95F51D" w14:textId="77777777" w:rsidR="00422522" w:rsidRDefault="00422522" w:rsidP="00422522">
      <w:r>
        <w:rPr>
          <w:noProof/>
        </w:rPr>
        <w:drawing>
          <wp:inline distT="0" distB="0" distL="0" distR="0" wp14:anchorId="393C8D90" wp14:editId="630F9A69">
            <wp:extent cx="5943600" cy="5734050"/>
            <wp:effectExtent l="0" t="0" r="0" b="0"/>
            <wp:docPr id="5" name="Image3"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graph of different shapes&#10;&#10;Description automatically generated with medium confidence"/>
                    <pic:cNvPicPr>
                      <a:picLocks noChangeAspect="1" noChangeArrowheads="1"/>
                    </pic:cNvPicPr>
                  </pic:nvPicPr>
                  <pic:blipFill>
                    <a:blip r:embed="rId66"/>
                    <a:stretch>
                      <a:fillRect/>
                    </a:stretch>
                  </pic:blipFill>
                  <pic:spPr bwMode="auto">
                    <a:xfrm>
                      <a:off x="0" y="0"/>
                      <a:ext cx="5943600" cy="5734050"/>
                    </a:xfrm>
                    <a:prstGeom prst="rect">
                      <a:avLst/>
                    </a:prstGeom>
                  </pic:spPr>
                </pic:pic>
              </a:graphicData>
            </a:graphic>
          </wp:inline>
        </w:drawing>
      </w:r>
      <w:r>
        <w:rPr>
          <w:b/>
        </w:rPr>
        <w:t>Figure</w:t>
      </w:r>
      <w:r>
        <w:rPr>
          <w:b/>
          <w:color w:val="FFFFFF"/>
          <w:sz w:val="16"/>
          <w:szCs w:val="16"/>
        </w:rPr>
        <w:t>0</w:t>
      </w:r>
      <w:r>
        <w:rPr>
          <w:b/>
        </w:rPr>
        <w:t xml:space="preserve">S1: </w:t>
      </w:r>
      <w:r>
        <w:rPr>
          <w:bCs/>
        </w:rPr>
        <w:t xml:space="preserve">Scree plots for PCAs on the three main datasets. Scree plots show the proportion of variance explained by each individual PC. The pink line indicates 10%. The scree plot for (A) the full shape dataset with allometry, (B) the shape residual dataset (size-free or allometry-free), and (C) the shape residual dataset without </w:t>
      </w:r>
      <w:r>
        <w:rPr>
          <w:bCs/>
          <w:i/>
        </w:rPr>
        <w:t>Notomys</w:t>
      </w:r>
      <w:r>
        <w:rPr>
          <w:bCs/>
        </w:rPr>
        <w:t>.</w:t>
      </w:r>
      <w:r>
        <w:t xml:space="preserve"> </w:t>
      </w:r>
    </w:p>
    <w:p w14:paraId="79E90FC8" w14:textId="77777777" w:rsidR="00422522" w:rsidRDefault="00422522" w:rsidP="00422522">
      <w:pPr>
        <w:spacing w:line="480" w:lineRule="auto"/>
        <w:rPr>
          <w:rFonts w:ascii="Helvetica Neue" w:eastAsia="Helvetica Neue" w:hAnsi="Helvetica Neue" w:cs="Helvetica Neue"/>
          <w:b/>
        </w:rPr>
      </w:pPr>
      <w:r>
        <w:rPr>
          <w:noProof/>
        </w:rPr>
        <w:lastRenderedPageBreak/>
        <w:drawing>
          <wp:inline distT="0" distB="0" distL="0" distR="0" wp14:anchorId="68A3AAD3" wp14:editId="69DD4414">
            <wp:extent cx="5943600" cy="601027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7"/>
                    <a:stretch>
                      <a:fillRect/>
                    </a:stretch>
                  </pic:blipFill>
                  <pic:spPr bwMode="auto">
                    <a:xfrm>
                      <a:off x="0" y="0"/>
                      <a:ext cx="5943600" cy="6010275"/>
                    </a:xfrm>
                    <a:prstGeom prst="rect">
                      <a:avLst/>
                    </a:prstGeom>
                  </pic:spPr>
                </pic:pic>
              </a:graphicData>
            </a:graphic>
          </wp:inline>
        </w:drawing>
      </w:r>
    </w:p>
    <w:p w14:paraId="7D0F58F9" w14:textId="77777777" w:rsidR="00422522" w:rsidRDefault="00422522" w:rsidP="00422522">
      <w:pPr>
        <w:spacing w:after="200"/>
        <w:rPr>
          <w:b/>
          <w:color w:val="44546A"/>
        </w:rPr>
      </w:pPr>
      <w:r>
        <w:rPr>
          <w:b/>
          <w:color w:val="000000"/>
        </w:rPr>
        <w:t>Figure</w:t>
      </w:r>
      <w:r>
        <w:rPr>
          <w:b/>
          <w:color w:val="FFFFFF"/>
          <w:sz w:val="16"/>
          <w:szCs w:val="16"/>
        </w:rPr>
        <w:t>0</w:t>
      </w:r>
      <w:r>
        <w:rPr>
          <w:b/>
          <w:color w:val="000000"/>
        </w:rPr>
        <w:t xml:space="preserve">S2: </w:t>
      </w:r>
      <w:r>
        <w:rPr>
          <w:bCs/>
          <w:color w:val="000000"/>
        </w:rPr>
        <w:t>Tests of global integration</w:t>
      </w:r>
      <w:r>
        <w:rPr>
          <w:bCs/>
          <w:color w:val="44546A"/>
        </w:rPr>
        <w:t>.</w:t>
      </w:r>
      <w:r>
        <w:rPr>
          <w:b/>
          <w:color w:val="44546A"/>
        </w:rPr>
        <w:t xml:space="preserve"> </w:t>
      </w:r>
      <w:r>
        <w:t>A plot of log bending energy (BE</w:t>
      </w:r>
      <w:r>
        <w:rPr>
          <w:vertAlign w:val="subscript"/>
        </w:rPr>
        <w:t>val</w:t>
      </w:r>
      <w:r>
        <w:t>) versus the log partial warp variance (</w:t>
      </w:r>
      <w:proofErr w:type="spellStart"/>
      <w:r>
        <w:t>PW</w:t>
      </w:r>
      <w:r>
        <w:rPr>
          <w:vertAlign w:val="subscript"/>
        </w:rPr>
        <w:t>var</w:t>
      </w:r>
      <w:proofErr w:type="spellEnd"/>
      <w:r>
        <w:t xml:space="preserve">) for our specimens, that using the method from </w:t>
      </w:r>
      <w:r>
        <w:fldChar w:fldCharType="begin"/>
      </w:r>
      <w:r>
        <w:instrText>ADDIN EN.CITE &lt;EndNote&gt;&lt;Cite AuthorYear="1"&gt;&lt;Author&gt;Bookstein&lt;/Author&gt;&lt;Year&gt;2015&lt;/Year&gt;&lt;RecNum&gt;12&lt;/RecNum&gt;&lt;DisplayText&gt;Bookstein (2015)&lt;/DisplayText&gt;&lt;record&gt;&lt;rec-number&gt;12&lt;/rec-number&gt;&lt;foreign-keys&gt;&lt;key app="EN" db-id="x99veed5wrp02read9c5awr0x2v9vvapx290" timestamp="1697174965"&gt;12&lt;/key&gt;&lt;/foreign-keys&gt;&lt;ref-type name="Journal Article"&gt;17&lt;/ref-type&gt;&lt;contributors&gt;&lt;authors&gt;&lt;author&gt;Bookstein, F. L.&lt;/author&gt;&lt;/authors&gt;&lt;/contributors&gt;&lt;auth-address&gt;Faculty of Life Sciences, University of Vienna, Vienna, Austria ; Department of Statistics, University of Washington, Seattle, WA USA.&lt;/auth-address&gt;&lt;titles&gt;&lt;title&gt;Integration, disintegration, and self-similarity: characterizing the scales of shape variation in landmark data&lt;/title&gt;&lt;secondary-title&gt;Evolutionary Biology&lt;/secondary-title&gt;&lt;/titles&gt;&lt;periodical&gt;&lt;full-title&gt;Evolutionary Biology&lt;/full-title&gt;&lt;/periodical&gt;&lt;pages&gt;395-426&lt;/pages&gt;&lt;volume&gt;42&lt;/volume&gt;&lt;number&gt;4&lt;/number&gt;&lt;edition&gt;2015/11/21&lt;/edition&gt;&lt;dates&gt;&lt;year&gt;2015&lt;/year&gt;&lt;/dates&gt;&lt;isbn&gt;0071-3260 (Print)&amp;#xD;0071-3260&lt;/isbn&gt;&lt;accession-num&gt;26586921&lt;/accession-num&gt;&lt;urls&gt;&lt;/urls&gt;&lt;custom2&gt;PMC4642606&lt;/custom2&gt;&lt;electronic-resource-num&gt;https://doi.org/10.1007/s11692-015-9317-8&lt;/electronic-resource-num&gt;&lt;remote-database-provider&gt;NLM&lt;/remote-database-provider&gt;&lt;language&gt;eng&lt;/language&gt;&lt;/record&gt;&lt;/Cite&gt;&lt;/EndNote&gt;</w:instrText>
      </w:r>
      <w:r>
        <w:fldChar w:fldCharType="separate"/>
      </w:r>
      <w:r>
        <w:t>Bookstein (2015)</w:t>
      </w:r>
      <w:r>
        <w:fldChar w:fldCharType="end"/>
      </w:r>
      <w:r>
        <w:t xml:space="preserve">, can distinguish global integration from self-similarity. The red line represents the null hypothesis for self-similarity with a regression slope of exactly -1 against the observed regression slopes for the (A) full shape and (B) shape residual datasets. The steeper observed slopes in both support hypotheses for global integration. </w:t>
      </w:r>
    </w:p>
    <w:p w14:paraId="50D54942" w14:textId="77777777" w:rsidR="00422522" w:rsidRDefault="00422522" w:rsidP="00422522">
      <w:pPr>
        <w:spacing w:line="480" w:lineRule="auto"/>
      </w:pPr>
    </w:p>
    <w:p w14:paraId="63E3834D" w14:textId="77777777" w:rsidR="008922AE" w:rsidRDefault="008922AE">
      <w:pPr>
        <w:spacing w:line="480" w:lineRule="auto"/>
      </w:pPr>
    </w:p>
    <w:sectPr w:rsidR="008922AE" w:rsidSect="002577A8">
      <w:footerReference w:type="default" r:id="rId68"/>
      <w:pgSz w:w="12240" w:h="15840"/>
      <w:pgMar w:top="1440" w:right="1440" w:bottom="1440" w:left="1440" w:header="0" w:footer="720" w:gutter="0"/>
      <w:lnNumType w:countBy="1" w:restart="continuous"/>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CECDA" w14:textId="77777777" w:rsidR="002577A8" w:rsidRDefault="002577A8">
      <w:r>
        <w:separator/>
      </w:r>
    </w:p>
  </w:endnote>
  <w:endnote w:type="continuationSeparator" w:id="0">
    <w:p w14:paraId="4EB26261" w14:textId="77777777" w:rsidR="002577A8" w:rsidRDefault="00257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0000">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AF5BC" w14:textId="77777777" w:rsidR="002577A8" w:rsidRDefault="002577A8">
      <w:r>
        <w:separator/>
      </w:r>
    </w:p>
  </w:footnote>
  <w:footnote w:type="continuationSeparator" w:id="0">
    <w:p w14:paraId="6DD94DAD" w14:textId="77777777" w:rsidR="002577A8" w:rsidRDefault="00257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3&lt;/item&gt;&lt;item&gt;64&lt;/item&gt;&lt;item&gt;65&lt;/item&gt;&lt;item&gt;66&lt;/item&gt;&lt;item&gt;68&lt;/item&gt;&lt;item&gt;69&lt;/item&gt;&lt;item&gt;70&lt;/item&gt;&lt;item&gt;71&lt;/item&gt;&lt;item&gt;77&lt;/item&gt;&lt;/record-ids&gt;&lt;/item&gt;&lt;/Libraries&gt;"/>
  </w:docVars>
  <w:rsids>
    <w:rsidRoot w:val="008922AE"/>
    <w:rsid w:val="00002B33"/>
    <w:rsid w:val="000033BE"/>
    <w:rsid w:val="00014915"/>
    <w:rsid w:val="00017363"/>
    <w:rsid w:val="0006003B"/>
    <w:rsid w:val="000640A4"/>
    <w:rsid w:val="000650EE"/>
    <w:rsid w:val="000660BB"/>
    <w:rsid w:val="00076B55"/>
    <w:rsid w:val="0008082D"/>
    <w:rsid w:val="00092FE1"/>
    <w:rsid w:val="0009685D"/>
    <w:rsid w:val="000A2700"/>
    <w:rsid w:val="000B2823"/>
    <w:rsid w:val="000B302A"/>
    <w:rsid w:val="000B6A67"/>
    <w:rsid w:val="000D500A"/>
    <w:rsid w:val="000E15A6"/>
    <w:rsid w:val="000E694B"/>
    <w:rsid w:val="000E7AF4"/>
    <w:rsid w:val="001035B6"/>
    <w:rsid w:val="001040E1"/>
    <w:rsid w:val="00112A41"/>
    <w:rsid w:val="00117A04"/>
    <w:rsid w:val="00122978"/>
    <w:rsid w:val="00127236"/>
    <w:rsid w:val="0013169E"/>
    <w:rsid w:val="0013479C"/>
    <w:rsid w:val="0014692A"/>
    <w:rsid w:val="00155A92"/>
    <w:rsid w:val="00163C9C"/>
    <w:rsid w:val="00164B3F"/>
    <w:rsid w:val="00170D34"/>
    <w:rsid w:val="00174EF9"/>
    <w:rsid w:val="0019349F"/>
    <w:rsid w:val="00196A9E"/>
    <w:rsid w:val="001A1274"/>
    <w:rsid w:val="001A1C0F"/>
    <w:rsid w:val="001B3685"/>
    <w:rsid w:val="001D2733"/>
    <w:rsid w:val="001D4B99"/>
    <w:rsid w:val="001D5FD2"/>
    <w:rsid w:val="001D75A2"/>
    <w:rsid w:val="001D7B39"/>
    <w:rsid w:val="001F08AE"/>
    <w:rsid w:val="00216AC5"/>
    <w:rsid w:val="002173E8"/>
    <w:rsid w:val="002173F8"/>
    <w:rsid w:val="00226921"/>
    <w:rsid w:val="002343E1"/>
    <w:rsid w:val="002453A9"/>
    <w:rsid w:val="00245C5E"/>
    <w:rsid w:val="0025189D"/>
    <w:rsid w:val="002577A8"/>
    <w:rsid w:val="00261883"/>
    <w:rsid w:val="00261ED6"/>
    <w:rsid w:val="002620D3"/>
    <w:rsid w:val="00263DD3"/>
    <w:rsid w:val="00264F04"/>
    <w:rsid w:val="00272C92"/>
    <w:rsid w:val="00297793"/>
    <w:rsid w:val="002A34C7"/>
    <w:rsid w:val="002B000F"/>
    <w:rsid w:val="002B09D6"/>
    <w:rsid w:val="002B3585"/>
    <w:rsid w:val="002C29CB"/>
    <w:rsid w:val="002E42C0"/>
    <w:rsid w:val="002E7775"/>
    <w:rsid w:val="002F2D31"/>
    <w:rsid w:val="003024F1"/>
    <w:rsid w:val="00305153"/>
    <w:rsid w:val="00317F8E"/>
    <w:rsid w:val="00323E39"/>
    <w:rsid w:val="00323F8B"/>
    <w:rsid w:val="003266F8"/>
    <w:rsid w:val="003408C3"/>
    <w:rsid w:val="0034292C"/>
    <w:rsid w:val="00343F7F"/>
    <w:rsid w:val="003455E2"/>
    <w:rsid w:val="003543F6"/>
    <w:rsid w:val="003616CF"/>
    <w:rsid w:val="00366596"/>
    <w:rsid w:val="0037415C"/>
    <w:rsid w:val="00380507"/>
    <w:rsid w:val="00381040"/>
    <w:rsid w:val="003A188B"/>
    <w:rsid w:val="003A5829"/>
    <w:rsid w:val="003B0500"/>
    <w:rsid w:val="003B404E"/>
    <w:rsid w:val="003B7E1E"/>
    <w:rsid w:val="003C14C3"/>
    <w:rsid w:val="003C7F90"/>
    <w:rsid w:val="003E13B3"/>
    <w:rsid w:val="003E4105"/>
    <w:rsid w:val="004003F9"/>
    <w:rsid w:val="00411130"/>
    <w:rsid w:val="00422522"/>
    <w:rsid w:val="0043398A"/>
    <w:rsid w:val="004550BE"/>
    <w:rsid w:val="00480F1D"/>
    <w:rsid w:val="00481B35"/>
    <w:rsid w:val="00491B6E"/>
    <w:rsid w:val="00492FE4"/>
    <w:rsid w:val="00493544"/>
    <w:rsid w:val="004C3067"/>
    <w:rsid w:val="004C7554"/>
    <w:rsid w:val="004D0A02"/>
    <w:rsid w:val="004D38FD"/>
    <w:rsid w:val="004D6CED"/>
    <w:rsid w:val="004E1AAB"/>
    <w:rsid w:val="004F47F3"/>
    <w:rsid w:val="004F4B48"/>
    <w:rsid w:val="004F5580"/>
    <w:rsid w:val="00527971"/>
    <w:rsid w:val="0053012A"/>
    <w:rsid w:val="00533639"/>
    <w:rsid w:val="00537CA3"/>
    <w:rsid w:val="005508BA"/>
    <w:rsid w:val="00556C57"/>
    <w:rsid w:val="0056323C"/>
    <w:rsid w:val="00564AD8"/>
    <w:rsid w:val="00566919"/>
    <w:rsid w:val="00573D24"/>
    <w:rsid w:val="00581044"/>
    <w:rsid w:val="00582E1F"/>
    <w:rsid w:val="005B181F"/>
    <w:rsid w:val="005B661F"/>
    <w:rsid w:val="005C1908"/>
    <w:rsid w:val="005D14AF"/>
    <w:rsid w:val="005D171E"/>
    <w:rsid w:val="005D274C"/>
    <w:rsid w:val="005F5AFC"/>
    <w:rsid w:val="005F6396"/>
    <w:rsid w:val="00601799"/>
    <w:rsid w:val="00602F16"/>
    <w:rsid w:val="00613FF9"/>
    <w:rsid w:val="00633951"/>
    <w:rsid w:val="00637A4A"/>
    <w:rsid w:val="00640B71"/>
    <w:rsid w:val="006550EF"/>
    <w:rsid w:val="00657980"/>
    <w:rsid w:val="0066115D"/>
    <w:rsid w:val="00680FC6"/>
    <w:rsid w:val="00684B6D"/>
    <w:rsid w:val="00692FAA"/>
    <w:rsid w:val="006A14F8"/>
    <w:rsid w:val="006B7490"/>
    <w:rsid w:val="006E4A5B"/>
    <w:rsid w:val="00721492"/>
    <w:rsid w:val="007215C9"/>
    <w:rsid w:val="00743F31"/>
    <w:rsid w:val="00744975"/>
    <w:rsid w:val="00751EC7"/>
    <w:rsid w:val="0075246D"/>
    <w:rsid w:val="0075257D"/>
    <w:rsid w:val="00754054"/>
    <w:rsid w:val="00775EF2"/>
    <w:rsid w:val="0079408D"/>
    <w:rsid w:val="007A4070"/>
    <w:rsid w:val="007B38FA"/>
    <w:rsid w:val="007C1E0B"/>
    <w:rsid w:val="007D2A7D"/>
    <w:rsid w:val="007D4622"/>
    <w:rsid w:val="007F3B28"/>
    <w:rsid w:val="007F4F9A"/>
    <w:rsid w:val="007F54EC"/>
    <w:rsid w:val="007F6BB1"/>
    <w:rsid w:val="0080015A"/>
    <w:rsid w:val="00805130"/>
    <w:rsid w:val="00807F77"/>
    <w:rsid w:val="00824F7A"/>
    <w:rsid w:val="00830EE6"/>
    <w:rsid w:val="008364CA"/>
    <w:rsid w:val="00837FC7"/>
    <w:rsid w:val="00840343"/>
    <w:rsid w:val="00851422"/>
    <w:rsid w:val="00866A5E"/>
    <w:rsid w:val="0087042B"/>
    <w:rsid w:val="00880FFA"/>
    <w:rsid w:val="008922AE"/>
    <w:rsid w:val="0089641F"/>
    <w:rsid w:val="008B1B35"/>
    <w:rsid w:val="008B2993"/>
    <w:rsid w:val="008B3C33"/>
    <w:rsid w:val="008B48CD"/>
    <w:rsid w:val="008B4CD1"/>
    <w:rsid w:val="008D0A12"/>
    <w:rsid w:val="008E0A28"/>
    <w:rsid w:val="008E5B1F"/>
    <w:rsid w:val="008F3C9D"/>
    <w:rsid w:val="008F58D9"/>
    <w:rsid w:val="009063D8"/>
    <w:rsid w:val="0090753B"/>
    <w:rsid w:val="009145B2"/>
    <w:rsid w:val="00916840"/>
    <w:rsid w:val="00916D9F"/>
    <w:rsid w:val="00924ECB"/>
    <w:rsid w:val="00932518"/>
    <w:rsid w:val="00935EFD"/>
    <w:rsid w:val="009502DF"/>
    <w:rsid w:val="00956157"/>
    <w:rsid w:val="00960507"/>
    <w:rsid w:val="009637AC"/>
    <w:rsid w:val="00976A94"/>
    <w:rsid w:val="0098026F"/>
    <w:rsid w:val="00994273"/>
    <w:rsid w:val="009942D1"/>
    <w:rsid w:val="009A4266"/>
    <w:rsid w:val="009A5291"/>
    <w:rsid w:val="009A7581"/>
    <w:rsid w:val="009D6B1F"/>
    <w:rsid w:val="009E41FE"/>
    <w:rsid w:val="009E4BDB"/>
    <w:rsid w:val="009F559E"/>
    <w:rsid w:val="00A15124"/>
    <w:rsid w:val="00A17147"/>
    <w:rsid w:val="00A21F2A"/>
    <w:rsid w:val="00A24879"/>
    <w:rsid w:val="00A253B7"/>
    <w:rsid w:val="00A30C95"/>
    <w:rsid w:val="00A40202"/>
    <w:rsid w:val="00A42C86"/>
    <w:rsid w:val="00A44BA0"/>
    <w:rsid w:val="00A44D74"/>
    <w:rsid w:val="00A6497B"/>
    <w:rsid w:val="00A65F2F"/>
    <w:rsid w:val="00A71B05"/>
    <w:rsid w:val="00A81B39"/>
    <w:rsid w:val="00A859F5"/>
    <w:rsid w:val="00A861D3"/>
    <w:rsid w:val="00A959CF"/>
    <w:rsid w:val="00AA6F15"/>
    <w:rsid w:val="00AB10B4"/>
    <w:rsid w:val="00AB32EC"/>
    <w:rsid w:val="00AC1D7B"/>
    <w:rsid w:val="00AE0043"/>
    <w:rsid w:val="00AE0DCE"/>
    <w:rsid w:val="00AF057B"/>
    <w:rsid w:val="00AF40C5"/>
    <w:rsid w:val="00AF59F6"/>
    <w:rsid w:val="00AF74E7"/>
    <w:rsid w:val="00AF7813"/>
    <w:rsid w:val="00B02AC1"/>
    <w:rsid w:val="00B0609F"/>
    <w:rsid w:val="00B1097F"/>
    <w:rsid w:val="00B12EF6"/>
    <w:rsid w:val="00B27788"/>
    <w:rsid w:val="00B27B76"/>
    <w:rsid w:val="00B4001F"/>
    <w:rsid w:val="00B43042"/>
    <w:rsid w:val="00B4519F"/>
    <w:rsid w:val="00B508B1"/>
    <w:rsid w:val="00B64AF5"/>
    <w:rsid w:val="00B755C6"/>
    <w:rsid w:val="00B76AA6"/>
    <w:rsid w:val="00B86823"/>
    <w:rsid w:val="00B9790A"/>
    <w:rsid w:val="00BA753C"/>
    <w:rsid w:val="00BB4074"/>
    <w:rsid w:val="00BD54DD"/>
    <w:rsid w:val="00BE1B29"/>
    <w:rsid w:val="00BE4905"/>
    <w:rsid w:val="00BF18AC"/>
    <w:rsid w:val="00BF1D5C"/>
    <w:rsid w:val="00BF36EE"/>
    <w:rsid w:val="00BF6875"/>
    <w:rsid w:val="00BF780A"/>
    <w:rsid w:val="00C014AE"/>
    <w:rsid w:val="00C124ED"/>
    <w:rsid w:val="00C20C4B"/>
    <w:rsid w:val="00C248A2"/>
    <w:rsid w:val="00C41EB0"/>
    <w:rsid w:val="00C46768"/>
    <w:rsid w:val="00C53781"/>
    <w:rsid w:val="00C62D76"/>
    <w:rsid w:val="00C75404"/>
    <w:rsid w:val="00C76B4F"/>
    <w:rsid w:val="00C77C9D"/>
    <w:rsid w:val="00C8529A"/>
    <w:rsid w:val="00C93F23"/>
    <w:rsid w:val="00CA0428"/>
    <w:rsid w:val="00CA15B6"/>
    <w:rsid w:val="00CA4AD8"/>
    <w:rsid w:val="00CB29B4"/>
    <w:rsid w:val="00CC6B57"/>
    <w:rsid w:val="00CD6888"/>
    <w:rsid w:val="00CF55FC"/>
    <w:rsid w:val="00CF662F"/>
    <w:rsid w:val="00D0603F"/>
    <w:rsid w:val="00D23E7D"/>
    <w:rsid w:val="00D2526B"/>
    <w:rsid w:val="00D37864"/>
    <w:rsid w:val="00D40434"/>
    <w:rsid w:val="00D54F21"/>
    <w:rsid w:val="00D63252"/>
    <w:rsid w:val="00D678AA"/>
    <w:rsid w:val="00D70DF0"/>
    <w:rsid w:val="00D769D6"/>
    <w:rsid w:val="00D77138"/>
    <w:rsid w:val="00D7787B"/>
    <w:rsid w:val="00D95117"/>
    <w:rsid w:val="00DB09F3"/>
    <w:rsid w:val="00DB1D12"/>
    <w:rsid w:val="00DB27F9"/>
    <w:rsid w:val="00DB4D1C"/>
    <w:rsid w:val="00DB7BF9"/>
    <w:rsid w:val="00DC75D6"/>
    <w:rsid w:val="00DD2CDF"/>
    <w:rsid w:val="00DD72E6"/>
    <w:rsid w:val="00DF3B52"/>
    <w:rsid w:val="00E00B56"/>
    <w:rsid w:val="00E00FF4"/>
    <w:rsid w:val="00E2097B"/>
    <w:rsid w:val="00E24766"/>
    <w:rsid w:val="00E35381"/>
    <w:rsid w:val="00E40BB6"/>
    <w:rsid w:val="00E5650C"/>
    <w:rsid w:val="00E622ED"/>
    <w:rsid w:val="00E91143"/>
    <w:rsid w:val="00E92636"/>
    <w:rsid w:val="00EB0E80"/>
    <w:rsid w:val="00EC5854"/>
    <w:rsid w:val="00EC6815"/>
    <w:rsid w:val="00ED08DD"/>
    <w:rsid w:val="00ED28C2"/>
    <w:rsid w:val="00EE1CC5"/>
    <w:rsid w:val="00EE6B7A"/>
    <w:rsid w:val="00F02BB5"/>
    <w:rsid w:val="00F1272E"/>
    <w:rsid w:val="00F17323"/>
    <w:rsid w:val="00F372B1"/>
    <w:rsid w:val="00F40A98"/>
    <w:rsid w:val="00F43948"/>
    <w:rsid w:val="00F54CA6"/>
    <w:rsid w:val="00F560B0"/>
    <w:rsid w:val="00F6298A"/>
    <w:rsid w:val="00F637F6"/>
    <w:rsid w:val="00F723FD"/>
    <w:rsid w:val="00F72D9A"/>
    <w:rsid w:val="00F74A54"/>
    <w:rsid w:val="00F81ADA"/>
    <w:rsid w:val="00F8733B"/>
    <w:rsid w:val="00F96C91"/>
    <w:rsid w:val="00FA2890"/>
    <w:rsid w:val="00FA7D66"/>
    <w:rsid w:val="00FB409C"/>
    <w:rsid w:val="00FB56A4"/>
    <w:rsid w:val="00FC029F"/>
    <w:rsid w:val="00FC4943"/>
    <w:rsid w:val="00FC4A4E"/>
    <w:rsid w:val="00FE4C9B"/>
    <w:rsid w:val="00FE5C1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B451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719284">
      <w:bodyDiv w:val="1"/>
      <w:marLeft w:val="0"/>
      <w:marRight w:val="0"/>
      <w:marTop w:val="0"/>
      <w:marBottom w:val="0"/>
      <w:divBdr>
        <w:top w:val="none" w:sz="0" w:space="0" w:color="auto"/>
        <w:left w:val="none" w:sz="0" w:space="0" w:color="auto"/>
        <w:bottom w:val="none" w:sz="0" w:space="0" w:color="auto"/>
        <w:right w:val="none" w:sz="0" w:space="0" w:color="auto"/>
      </w:divBdr>
    </w:div>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987368093">
      <w:bodyDiv w:val="1"/>
      <w:marLeft w:val="0"/>
      <w:marRight w:val="0"/>
      <w:marTop w:val="0"/>
      <w:marBottom w:val="0"/>
      <w:divBdr>
        <w:top w:val="none" w:sz="0" w:space="0" w:color="auto"/>
        <w:left w:val="none" w:sz="0" w:space="0" w:color="auto"/>
        <w:bottom w:val="none" w:sz="0" w:space="0" w:color="auto"/>
        <w:right w:val="none" w:sz="0" w:space="0" w:color="auto"/>
      </w:divBdr>
    </w:div>
    <w:div w:id="1000083224">
      <w:bodyDiv w:val="1"/>
      <w:marLeft w:val="0"/>
      <w:marRight w:val="0"/>
      <w:marTop w:val="0"/>
      <w:marBottom w:val="0"/>
      <w:divBdr>
        <w:top w:val="none" w:sz="0" w:space="0" w:color="auto"/>
        <w:left w:val="none" w:sz="0" w:space="0" w:color="auto"/>
        <w:bottom w:val="none" w:sz="0" w:space="0" w:color="auto"/>
        <w:right w:val="none" w:sz="0" w:space="0" w:color="auto"/>
      </w:divBdr>
    </w:div>
    <w:div w:id="1313831523">
      <w:bodyDiv w:val="1"/>
      <w:marLeft w:val="0"/>
      <w:marRight w:val="0"/>
      <w:marTop w:val="0"/>
      <w:marBottom w:val="0"/>
      <w:divBdr>
        <w:top w:val="none" w:sz="0" w:space="0" w:color="auto"/>
        <w:left w:val="none" w:sz="0" w:space="0" w:color="auto"/>
        <w:bottom w:val="none" w:sz="0" w:space="0" w:color="auto"/>
        <w:right w:val="none" w:sz="0" w:space="0" w:color="auto"/>
      </w:divBdr>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50010802">
      <w:bodyDiv w:val="1"/>
      <w:marLeft w:val="0"/>
      <w:marRight w:val="0"/>
      <w:marTop w:val="0"/>
      <w:marBottom w:val="0"/>
      <w:divBdr>
        <w:top w:val="none" w:sz="0" w:space="0" w:color="auto"/>
        <w:left w:val="none" w:sz="0" w:space="0" w:color="auto"/>
        <w:bottom w:val="none" w:sz="0" w:space="0" w:color="auto"/>
        <w:right w:val="none" w:sz="0" w:space="0" w:color="auto"/>
      </w:divBdr>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 w:id="1895658967">
      <w:bodyDiv w:val="1"/>
      <w:marLeft w:val="0"/>
      <w:marRight w:val="0"/>
      <w:marTop w:val="0"/>
      <w:marBottom w:val="0"/>
      <w:divBdr>
        <w:top w:val="none" w:sz="0" w:space="0" w:color="auto"/>
        <w:left w:val="none" w:sz="0" w:space="0" w:color="auto"/>
        <w:bottom w:val="none" w:sz="0" w:space="0" w:color="auto"/>
        <w:right w:val="none" w:sz="0" w:space="0" w:color="auto"/>
      </w:divBdr>
    </w:div>
    <w:div w:id="203800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oi.org/10.1111/2041-210X.13723" TargetMode="External"/><Relationship Id="rId26" Type="http://schemas.openxmlformats.org/officeDocument/2006/relationships/hyperlink" Target="https://doi.org/10.1371/journal.pone.0036299" TargetMode="External"/><Relationship Id="rId39" Type="http://schemas.openxmlformats.org/officeDocument/2006/relationships/hyperlink" Target="https://doi.org/10.1111/j.1525-142X.2009.00347.x" TargetMode="External"/><Relationship Id="rId21" Type="http://schemas.openxmlformats.org/officeDocument/2006/relationships/hyperlink" Target="https://doi.org/10.1073/pnas.1602683113" TargetMode="External"/><Relationship Id="rId34" Type="http://schemas.openxmlformats.org/officeDocument/2006/relationships/hyperlink" Target="https://doi.org/10.5281/zenodo.2620785" TargetMode="External"/><Relationship Id="rId42" Type="http://schemas.openxmlformats.org/officeDocument/2006/relationships/hyperlink" Target="https://doi.org/10.1111/j.1095-8312.1989.tb00500.x" TargetMode="External"/><Relationship Id="rId47" Type="http://schemas.openxmlformats.org/officeDocument/2006/relationships/hyperlink" Target="https://doi.org/10.1371/journal.pone.0221287" TargetMode="External"/><Relationship Id="rId50" Type="http://schemas.openxmlformats.org/officeDocument/2006/relationships/hyperlink" Target="https://CRAN.R-project.org/package=vegan" TargetMode="External"/><Relationship Id="rId55" Type="http://schemas.openxmlformats.org/officeDocument/2006/relationships/hyperlink" Target="https://doi.org/10.1111/oik.08777" TargetMode="External"/><Relationship Id="rId63" Type="http://schemas.openxmlformats.org/officeDocument/2006/relationships/hyperlink" Target="https://doi.org/10.1002/ece3.521"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cran.r-project.org/package=geomorph" TargetMode="External"/><Relationship Id="rId29" Type="http://schemas.openxmlformats.org/officeDocument/2006/relationships/hyperlink" Target="https://doi.org/10.1098/rsbl.2014.019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oi.org/10.1111/2041-210X.13029" TargetMode="External"/><Relationship Id="rId32" Type="http://schemas.openxmlformats.org/officeDocument/2006/relationships/hyperlink" Target="https://doi.org/10.1086/505758" TargetMode="External"/><Relationship Id="rId37" Type="http://schemas.openxmlformats.org/officeDocument/2006/relationships/hyperlink" Target="https://doi.org/10.1111/pala.12159" TargetMode="External"/><Relationship Id="rId40" Type="http://schemas.openxmlformats.org/officeDocument/2006/relationships/hyperlink" Target="https://doi.org/10.1093/sysbio/syt025" TargetMode="External"/><Relationship Id="rId45" Type="http://schemas.openxmlformats.org/officeDocument/2006/relationships/hyperlink" Target="https://doi.org/10.1186/s12862-016-0782-1" TargetMode="External"/><Relationship Id="rId53" Type="http://schemas.openxmlformats.org/officeDocument/2006/relationships/hyperlink" Target="https://doi.org/10.1186/s12862-019-1506-0" TargetMode="External"/><Relationship Id="rId58" Type="http://schemas.openxmlformats.org/officeDocument/2006/relationships/hyperlink" Target="https://doi.org/10.1073/pnas.0808730106" TargetMode="External"/><Relationship Id="rId66"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doi.org/10.1111/evo.13867" TargetMode="External"/><Relationship Id="rId23" Type="http://schemas.openxmlformats.org/officeDocument/2006/relationships/hyperlink" Target="https://doi.org/10.1007/s11692-015-9308-9" TargetMode="External"/><Relationship Id="rId28" Type="http://schemas.openxmlformats.org/officeDocument/2006/relationships/hyperlink" Target="https://doi.org/10.1002/ece3.2704" TargetMode="External"/><Relationship Id="rId36" Type="http://schemas.openxmlformats.org/officeDocument/2006/relationships/hyperlink" Target="https://doi.org/10.1098/rspb.2020.2085" TargetMode="External"/><Relationship Id="rId49" Type="http://schemas.openxmlformats.org/officeDocument/2006/relationships/hyperlink" Target="https://doi.org/10.1071/WR97046_CO" TargetMode="External"/><Relationship Id="rId57" Type="http://schemas.openxmlformats.org/officeDocument/2006/relationships/hyperlink" Target="https://doi.org/10.1016/j.ympev.2018.07.015" TargetMode="External"/><Relationship Id="rId61" Type="http://schemas.openxmlformats.org/officeDocument/2006/relationships/hyperlink" Target="https://doi.org/10.1111/evo.14163" TargetMode="External"/><Relationship Id="rId10" Type="http://schemas.openxmlformats.org/officeDocument/2006/relationships/image" Target="media/image1.png"/><Relationship Id="rId19" Type="http://schemas.openxmlformats.org/officeDocument/2006/relationships/hyperlink" Target="https://doi.org/10.1016/j.zool.2022.126066" TargetMode="External"/><Relationship Id="rId31" Type="http://schemas.openxmlformats.org/officeDocument/2006/relationships/hyperlink" Target="https://doi.org/10.1002/jmor.20845" TargetMode="External"/><Relationship Id="rId44" Type="http://schemas.openxmlformats.org/officeDocument/2006/relationships/hyperlink" Target="https://doi.org/10.1086/711398" TargetMode="External"/><Relationship Id="rId52" Type="http://schemas.openxmlformats.org/officeDocument/2006/relationships/hyperlink" Target="https://doi.org/10.1111/j.1096-3642.2009.00502.x" TargetMode="External"/><Relationship Id="rId60" Type="http://schemas.openxmlformats.org/officeDocument/2006/relationships/hyperlink" Target="https://doi.org/10.1186/s12983-019-0338-5" TargetMode="External"/><Relationship Id="rId65" Type="http://schemas.openxmlformats.org/officeDocument/2006/relationships/hyperlink" Target="https://doi.org/10.5281/zenodo.10211695" TargetMode="External"/><Relationship Id="rId4" Type="http://schemas.openxmlformats.org/officeDocument/2006/relationships/styles" Target="styles.xml"/><Relationship Id="rId9" Type="http://schemas.openxmlformats.org/officeDocument/2006/relationships/hyperlink" Target="mailto:*amarcy2@unl.edu" TargetMode="External"/><Relationship Id="rId14" Type="http://schemas.openxmlformats.org/officeDocument/2006/relationships/hyperlink" Target="https://doi.org/10.1111/2041-210X.12511" TargetMode="External"/><Relationship Id="rId22" Type="http://schemas.openxmlformats.org/officeDocument/2006/relationships/hyperlink" Target="https://doi.org/10.1007/s11692-019-09477-7" TargetMode="External"/><Relationship Id="rId27" Type="http://schemas.openxmlformats.org/officeDocument/2006/relationships/hyperlink" Target="https://doi.org/10.1098/rsbl.2012.0574" TargetMode="External"/><Relationship Id="rId30" Type="http://schemas.openxmlformats.org/officeDocument/2006/relationships/hyperlink" Target="https://doi.org/10.1111/j.1469-7998.2008.00459.x" TargetMode="External"/><Relationship Id="rId35" Type="http://schemas.openxmlformats.org/officeDocument/2006/relationships/hyperlink" Target="https://doi.org/10.1111/j.1558-5646.2010.01025.x" TargetMode="External"/><Relationship Id="rId43" Type="http://schemas.openxmlformats.org/officeDocument/2006/relationships/hyperlink" Target="https://doi.org/10.7717/peerj.5032" TargetMode="External"/><Relationship Id="rId48" Type="http://schemas.openxmlformats.org/officeDocument/2006/relationships/hyperlink" Target="https://doi.org/10.1098/rspb.2018.0845" TargetMode="External"/><Relationship Id="rId56" Type="http://schemas.openxmlformats.org/officeDocument/2006/relationships/hyperlink" Target="https://doi.org/10.1126/sciadv.abe2101" TargetMode="External"/><Relationship Id="rId64" Type="http://schemas.openxmlformats.org/officeDocument/2006/relationships/hyperlink" Target="https://doi.org/10.1038/s41559-017-0095"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R-project.org/"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doi.org/10.1371/journal.pone.0094335" TargetMode="External"/><Relationship Id="rId25" Type="http://schemas.openxmlformats.org/officeDocument/2006/relationships/hyperlink" Target="https://CRAN.R-project.org/package=RRPP" TargetMode="External"/><Relationship Id="rId33" Type="http://schemas.openxmlformats.org/officeDocument/2006/relationships/hyperlink" Target="https://doi.org/10.1126/science.abm7525" TargetMode="External"/><Relationship Id="rId38" Type="http://schemas.openxmlformats.org/officeDocument/2006/relationships/hyperlink" Target="https://doi.org/10.1093/bioinformatics/btq166" TargetMode="External"/><Relationship Id="rId46" Type="http://schemas.openxmlformats.org/officeDocument/2006/relationships/hyperlink" Target="https://doi.org/10.1111/j.0014-3820.2005.tb01049.x" TargetMode="External"/><Relationship Id="rId59" Type="http://schemas.openxmlformats.org/officeDocument/2006/relationships/hyperlink" Target="https://doi.org/10.1111/evo.12312" TargetMode="External"/><Relationship Id="rId67" Type="http://schemas.openxmlformats.org/officeDocument/2006/relationships/image" Target="media/image6.png"/><Relationship Id="rId20" Type="http://schemas.openxmlformats.org/officeDocument/2006/relationships/hyperlink" Target="https://doi.org/10.1007/s11692-015-9317-8" TargetMode="External"/><Relationship Id="rId41" Type="http://schemas.openxmlformats.org/officeDocument/2006/relationships/hyperlink" Target="https://doi.org/10.7717/peerj.2453" TargetMode="External"/><Relationship Id="rId54" Type="http://schemas.openxmlformats.org/officeDocument/2006/relationships/hyperlink" Target="https://doi.org/10.1002/jmor.10443" TargetMode="External"/><Relationship Id="rId62" Type="http://schemas.openxmlformats.org/officeDocument/2006/relationships/hyperlink" Target="https://doi.org/10.1002/jmor.10761"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Props1.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45</Pages>
  <Words>26188</Words>
  <Characters>149275</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171</cp:revision>
  <cp:lastPrinted>2024-04-11T06:17:00Z</cp:lastPrinted>
  <dcterms:created xsi:type="dcterms:W3CDTF">2023-11-21T06:21:00Z</dcterms:created>
  <dcterms:modified xsi:type="dcterms:W3CDTF">2024-04-11T09:21:00Z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