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769BE26"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Ornstein-Uhlenbeck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236D1F93" w:rsidR="00E00FF4" w:rsidRPr="00B0609F"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w:t>
      </w:r>
      <w:r w:rsidR="00E00FF4">
        <w:lastRenderedPageBreak/>
        <w:t xml:space="preserve">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4550BE">
        <w:t xml:space="preserve">Note that estimates of evolutionary mode are unlikely to be very robust because our samples size is relatively small </w:t>
      </w:r>
      <w:r w:rsidR="004550BE">
        <w:fldChar w:fldCharType="begin"/>
      </w:r>
      <w:r w:rsidR="004550BE">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4550BE">
        <w:fldChar w:fldCharType="separate"/>
      </w:r>
      <w:r w:rsidR="004550BE">
        <w:rPr>
          <w:noProof/>
        </w:rPr>
        <w:t>(Cooper</w:t>
      </w:r>
      <w:r w:rsidR="004550BE" w:rsidRPr="004550BE">
        <w:rPr>
          <w:i/>
          <w:noProof/>
        </w:rPr>
        <w:t xml:space="preserve"> et al.</w:t>
      </w:r>
      <w:r w:rsidR="004550BE">
        <w:rPr>
          <w:noProof/>
        </w:rPr>
        <w:t>, 2016)</w:t>
      </w:r>
      <w:r w:rsidR="004550BE">
        <w:fldChar w:fldCharType="end"/>
      </w:r>
      <w:r w:rsidR="004550BE">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rsidR="004550BE">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Lastly, we also investigated the most likely evolutionary mode for log-transformed centroid size through functionalities in the </w:t>
      </w:r>
      <w:r w:rsidR="00B0609F">
        <w:rPr>
          <w:i/>
          <w:iCs/>
        </w:rPr>
        <w:t>Phytools</w:t>
      </w:r>
      <w:r w:rsidR="00B0609F">
        <w:t xml:space="preserve"> package. Note that the </w:t>
      </w:r>
      <w:r w:rsidR="0089641F">
        <w:t>probabilities</w:t>
      </w:r>
      <w:r w:rsidR="00B0609F">
        <w:t xml:space="preserve"> from </w:t>
      </w:r>
      <w:r w:rsidR="00B0609F">
        <w:rPr>
          <w:i/>
          <w:iCs/>
        </w:rPr>
        <w:t>Phytools</w:t>
      </w:r>
      <w:r w:rsidR="00B0609F">
        <w:t xml:space="preserve"> are given as Akaike Information Criterion (AIC), </w:t>
      </w:r>
      <w:r w:rsidR="0089641F">
        <w:t xml:space="preserve">which are a special case of and similar to the GICs given by the mvMORPH package </w:t>
      </w:r>
      <w:r w:rsidR="0089641F">
        <w:fldChar w:fldCharType="begin"/>
      </w:r>
      <w:r w:rsidR="0089641F">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89641F">
        <w:fldChar w:fldCharType="separate"/>
      </w:r>
      <w:r w:rsidR="0089641F">
        <w:rPr>
          <w:noProof/>
        </w:rPr>
        <w:t>(Cavanaugh &amp; Neath, 2019)</w:t>
      </w:r>
      <w:r w:rsidR="0089641F">
        <w:fldChar w:fldCharType="end"/>
      </w:r>
      <w:r w:rsidR="0089641F">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w:t>
      </w:r>
      <w:r w:rsidR="007F54EC">
        <w:rPr>
          <w:highlight w:val="white"/>
        </w:rPr>
        <w:lastRenderedPageBreak/>
        <w:t xml:space="preserve">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02EE12B9" w14:textId="77777777" w:rsidR="000E7AF4" w:rsidRDefault="000E7AF4" w:rsidP="007F54EC">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geomorph-based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w:t>
      </w:r>
      <w:r>
        <w:rPr>
          <w:highlight w:val="white"/>
        </w:rPr>
        <w:lastRenderedPageBreak/>
        <w:t xml:space="preserve">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xml:space="preserve">), as determined by mean centroid size. Third, to illustrate the similarity in shape variation along PC1 to the two previous </w:t>
      </w:r>
      <w:r>
        <w:rPr>
          <w:highlight w:val="white"/>
        </w:rPr>
        <w:lastRenderedPageBreak/>
        <w:t>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We used geomorph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w:t>
      </w:r>
      <w:r w:rsidR="00A81B39">
        <w:rPr>
          <w:highlight w:val="white"/>
        </w:rPr>
        <w:lastRenderedPageBreak/>
        <w:t xml:space="preserve">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w:t>
      </w:r>
      <w:r w:rsidR="006550EF">
        <w:rPr>
          <w:highlight w:val="white"/>
        </w:rPr>
        <w:lastRenderedPageBreak/>
        <w:t>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31BB7E71"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 </w:instrText>
      </w:r>
      <w:r w:rsidR="004550BE">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EN.CITE.DATA </w:instrText>
      </w:r>
      <w:r w:rsidR="004550BE">
        <w:fldChar w:fldCharType="end"/>
      </w:r>
      <w:r w:rsidR="000E694B" w:rsidRPr="00573D24">
        <w:fldChar w:fldCharType="separate"/>
      </w:r>
      <w:r w:rsidR="004550BE">
        <w:rPr>
          <w:noProof/>
        </w:rPr>
        <w:t>(Bookstein, 2015; Evans</w:t>
      </w:r>
      <w:r w:rsidR="004550BE" w:rsidRPr="004550BE">
        <w:rPr>
          <w:i/>
          <w:noProof/>
        </w:rPr>
        <w:t xml:space="preserve"> et al.</w:t>
      </w:r>
      <w:r w:rsidR="004550BE">
        <w:rPr>
          <w:noProof/>
        </w:rPr>
        <w:t>, 2017; Sansalone</w:t>
      </w:r>
      <w:r w:rsidR="004550BE" w:rsidRPr="004550BE">
        <w:rPr>
          <w:i/>
          <w:noProof/>
        </w:rPr>
        <w:t xml:space="preserve"> et al.</w:t>
      </w:r>
      <w:r w:rsidR="004550BE">
        <w:rPr>
          <w:noProof/>
        </w:rPr>
        <w:t>, 2019; Young</w:t>
      </w:r>
      <w:r w:rsidR="004550BE" w:rsidRPr="004550BE">
        <w:rPr>
          <w:i/>
          <w:noProof/>
        </w:rPr>
        <w:t xml:space="preserve"> et al.</w:t>
      </w:r>
      <w:r w:rsidR="004550BE">
        <w:rPr>
          <w:noProof/>
        </w:rPr>
        <w:t>,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77777777" w:rsidR="00A65F2F" w:rsidRPr="00A65F2F" w:rsidRDefault="00A65F2F" w:rsidP="00A65F2F">
            <w:pPr>
              <w:suppressAutoHyphens w:val="0"/>
              <w:rPr>
                <w:lang w:val="en-AU" w:eastAsia="en-AU"/>
              </w:rPr>
            </w:pP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A65F2F"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GIC</w:t>
            </w:r>
          </w:p>
        </w:tc>
        <w:tc>
          <w:tcPr>
            <w:tcW w:w="1319" w:type="dxa"/>
            <w:tcBorders>
              <w:top w:val="single" w:sz="4" w:space="0" w:color="auto"/>
              <w:left w:val="nil"/>
              <w:bottom w:val="nil"/>
              <w:right w:val="nil"/>
            </w:tcBorders>
            <w:shd w:val="clear" w:color="auto" w:fill="auto"/>
            <w:noWrap/>
            <w:vAlign w:val="bottom"/>
            <w:hideMark/>
          </w:tcPr>
          <w:p w14:paraId="7A5E571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-446170</w:t>
            </w:r>
          </w:p>
        </w:tc>
        <w:tc>
          <w:tcPr>
            <w:tcW w:w="1276" w:type="dxa"/>
            <w:tcBorders>
              <w:top w:val="single" w:sz="4" w:space="0" w:color="auto"/>
              <w:left w:val="nil"/>
              <w:bottom w:val="nil"/>
              <w:right w:val="nil"/>
            </w:tcBorders>
            <w:shd w:val="clear" w:color="auto" w:fill="auto"/>
            <w:noWrap/>
            <w:vAlign w:val="bottom"/>
            <w:hideMark/>
          </w:tcPr>
          <w:p w14:paraId="1040EC79"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-447701</w:t>
            </w:r>
          </w:p>
        </w:tc>
        <w:tc>
          <w:tcPr>
            <w:tcW w:w="1276" w:type="dxa"/>
            <w:tcBorders>
              <w:top w:val="single" w:sz="4" w:space="0" w:color="auto"/>
              <w:left w:val="nil"/>
              <w:bottom w:val="nil"/>
              <w:right w:val="nil"/>
            </w:tcBorders>
            <w:shd w:val="clear" w:color="auto" w:fill="auto"/>
            <w:noWrap/>
            <w:vAlign w:val="bottom"/>
            <w:hideMark/>
          </w:tcPr>
          <w:p w14:paraId="25BC980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-446167</w:t>
            </w:r>
          </w:p>
        </w:tc>
      </w:tr>
      <w:tr w:rsidR="00A65F2F"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W</w:t>
            </w:r>
          </w:p>
        </w:tc>
        <w:tc>
          <w:tcPr>
            <w:tcW w:w="1319" w:type="dxa"/>
            <w:tcBorders>
              <w:top w:val="nil"/>
              <w:left w:val="nil"/>
              <w:bottom w:val="nil"/>
              <w:right w:val="nil"/>
            </w:tcBorders>
            <w:shd w:val="clear" w:color="auto" w:fill="auto"/>
            <w:noWrap/>
            <w:vAlign w:val="bottom"/>
            <w:hideMark/>
          </w:tcPr>
          <w:p w14:paraId="19335C9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nil"/>
              <w:right w:val="nil"/>
            </w:tcBorders>
            <w:shd w:val="clear" w:color="auto" w:fill="auto"/>
            <w:noWrap/>
            <w:vAlign w:val="bottom"/>
            <w:hideMark/>
          </w:tcPr>
          <w:p w14:paraId="6274BBCA"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nil"/>
              <w:right w:val="nil"/>
            </w:tcBorders>
            <w:shd w:val="clear" w:color="auto" w:fill="auto"/>
            <w:noWrap/>
            <w:vAlign w:val="bottom"/>
            <w:hideMark/>
          </w:tcPr>
          <w:p w14:paraId="33551C8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r w:rsidR="00A65F2F"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AIC</w:t>
            </w:r>
          </w:p>
        </w:tc>
        <w:tc>
          <w:tcPr>
            <w:tcW w:w="1319" w:type="dxa"/>
            <w:tcBorders>
              <w:top w:val="nil"/>
              <w:left w:val="nil"/>
              <w:bottom w:val="nil"/>
              <w:right w:val="nil"/>
            </w:tcBorders>
            <w:shd w:val="clear" w:color="auto" w:fill="auto"/>
            <w:noWrap/>
            <w:vAlign w:val="bottom"/>
            <w:hideMark/>
          </w:tcPr>
          <w:p w14:paraId="24DDE172"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-4.802</w:t>
            </w:r>
          </w:p>
        </w:tc>
        <w:tc>
          <w:tcPr>
            <w:tcW w:w="1276" w:type="dxa"/>
            <w:tcBorders>
              <w:top w:val="nil"/>
              <w:left w:val="nil"/>
              <w:bottom w:val="nil"/>
              <w:right w:val="nil"/>
            </w:tcBorders>
            <w:shd w:val="clear" w:color="auto" w:fill="auto"/>
            <w:noWrap/>
            <w:vAlign w:val="bottom"/>
            <w:hideMark/>
          </w:tcPr>
          <w:p w14:paraId="6F1E89C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-2.875</w:t>
            </w:r>
          </w:p>
        </w:tc>
        <w:tc>
          <w:tcPr>
            <w:tcW w:w="1276" w:type="dxa"/>
            <w:tcBorders>
              <w:top w:val="nil"/>
              <w:left w:val="nil"/>
              <w:bottom w:val="nil"/>
              <w:right w:val="nil"/>
            </w:tcBorders>
            <w:shd w:val="clear" w:color="auto" w:fill="auto"/>
            <w:noWrap/>
            <w:vAlign w:val="bottom"/>
            <w:hideMark/>
          </w:tcPr>
          <w:p w14:paraId="0198C6C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-2.802</w:t>
            </w:r>
          </w:p>
        </w:tc>
      </w:tr>
      <w:tr w:rsidR="00A65F2F"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W</w:t>
            </w:r>
          </w:p>
        </w:tc>
        <w:tc>
          <w:tcPr>
            <w:tcW w:w="1319" w:type="dxa"/>
            <w:tcBorders>
              <w:top w:val="nil"/>
              <w:left w:val="nil"/>
              <w:bottom w:val="nil"/>
              <w:right w:val="nil"/>
            </w:tcBorders>
            <w:shd w:val="clear" w:color="auto" w:fill="auto"/>
            <w:noWrap/>
            <w:vAlign w:val="bottom"/>
            <w:hideMark/>
          </w:tcPr>
          <w:p w14:paraId="63D6F845"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0.572</w:t>
            </w:r>
          </w:p>
        </w:tc>
        <w:tc>
          <w:tcPr>
            <w:tcW w:w="1276" w:type="dxa"/>
            <w:tcBorders>
              <w:top w:val="nil"/>
              <w:left w:val="nil"/>
              <w:bottom w:val="nil"/>
              <w:right w:val="nil"/>
            </w:tcBorders>
            <w:shd w:val="clear" w:color="auto" w:fill="auto"/>
            <w:noWrap/>
            <w:vAlign w:val="bottom"/>
            <w:hideMark/>
          </w:tcPr>
          <w:p w14:paraId="48FF5CD6" w14:textId="3BDAC80D"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w:t>
            </w:r>
            <w:r>
              <w:rPr>
                <w:rFonts w:ascii="Calibri" w:hAnsi="Calibri" w:cs="Calibri"/>
                <w:color w:val="000000"/>
                <w:sz w:val="22"/>
                <w:szCs w:val="22"/>
                <w:lang w:val="en-AU" w:eastAsia="en-AU"/>
              </w:rPr>
              <w:t>2</w:t>
            </w:r>
          </w:p>
        </w:tc>
        <w:tc>
          <w:tcPr>
            <w:tcW w:w="1276" w:type="dxa"/>
            <w:tcBorders>
              <w:top w:val="nil"/>
              <w:left w:val="nil"/>
              <w:bottom w:val="nil"/>
              <w:right w:val="nil"/>
            </w:tcBorders>
            <w:shd w:val="clear" w:color="auto" w:fill="auto"/>
            <w:noWrap/>
            <w:vAlign w:val="bottom"/>
            <w:hideMark/>
          </w:tcPr>
          <w:p w14:paraId="07995B8E"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0.21</w:t>
            </w:r>
          </w:p>
        </w:tc>
      </w:tr>
      <w:tr w:rsidR="00A65F2F"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Shape~log(Csize) GIC</w:t>
            </w:r>
          </w:p>
        </w:tc>
        <w:tc>
          <w:tcPr>
            <w:tcW w:w="1319" w:type="dxa"/>
            <w:tcBorders>
              <w:top w:val="nil"/>
              <w:left w:val="nil"/>
              <w:right w:val="nil"/>
            </w:tcBorders>
            <w:shd w:val="clear" w:color="auto" w:fill="auto"/>
            <w:noWrap/>
            <w:vAlign w:val="bottom"/>
            <w:hideMark/>
          </w:tcPr>
          <w:p w14:paraId="2333F442"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-433056</w:t>
            </w:r>
          </w:p>
        </w:tc>
        <w:tc>
          <w:tcPr>
            <w:tcW w:w="1276" w:type="dxa"/>
            <w:tcBorders>
              <w:top w:val="nil"/>
              <w:left w:val="nil"/>
              <w:right w:val="nil"/>
            </w:tcBorders>
            <w:shd w:val="clear" w:color="auto" w:fill="auto"/>
            <w:noWrap/>
            <w:vAlign w:val="bottom"/>
            <w:hideMark/>
          </w:tcPr>
          <w:p w14:paraId="1B2E58E7"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-434260</w:t>
            </w:r>
          </w:p>
        </w:tc>
        <w:tc>
          <w:tcPr>
            <w:tcW w:w="1276" w:type="dxa"/>
            <w:tcBorders>
              <w:top w:val="nil"/>
              <w:left w:val="nil"/>
              <w:right w:val="nil"/>
            </w:tcBorders>
            <w:shd w:val="clear" w:color="auto" w:fill="auto"/>
            <w:noWrap/>
            <w:vAlign w:val="bottom"/>
            <w:hideMark/>
          </w:tcPr>
          <w:p w14:paraId="5C154FFC"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-433054</w:t>
            </w:r>
          </w:p>
        </w:tc>
      </w:tr>
      <w:tr w:rsidR="00A65F2F" w:rsidRPr="00A65F2F" w14:paraId="622450D9"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7D4A248D"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Shape~Loc(Csize) W</w:t>
            </w:r>
          </w:p>
        </w:tc>
        <w:tc>
          <w:tcPr>
            <w:tcW w:w="1319" w:type="dxa"/>
            <w:tcBorders>
              <w:top w:val="nil"/>
              <w:left w:val="nil"/>
              <w:bottom w:val="single" w:sz="4" w:space="0" w:color="auto"/>
              <w:right w:val="nil"/>
            </w:tcBorders>
            <w:shd w:val="clear" w:color="auto" w:fill="auto"/>
            <w:noWrap/>
            <w:vAlign w:val="bottom"/>
            <w:hideMark/>
          </w:tcPr>
          <w:p w14:paraId="2069246B"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single" w:sz="4" w:space="0" w:color="auto"/>
              <w:right w:val="nil"/>
            </w:tcBorders>
            <w:shd w:val="clear" w:color="auto" w:fill="auto"/>
            <w:noWrap/>
            <w:vAlign w:val="bottom"/>
            <w:hideMark/>
          </w:tcPr>
          <w:p w14:paraId="7CA6E5A0"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single" w:sz="4" w:space="0" w:color="auto"/>
              <w:right w:val="nil"/>
            </w:tcBorders>
            <w:shd w:val="clear" w:color="auto" w:fill="auto"/>
            <w:noWrap/>
            <w:vAlign w:val="bottom"/>
            <w:hideMark/>
          </w:tcPr>
          <w:p w14:paraId="29C4134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r>
        <w:t>Phylo-morphological distance</w:t>
      </w:r>
    </w:p>
    <w:p w14:paraId="482A5ECC" w14:textId="77777777" w:rsidR="000E7AF4" w:rsidRDefault="000E7AF4" w:rsidP="000E7AF4">
      <w:pPr>
        <w:spacing w:line="480" w:lineRule="auto"/>
      </w:pPr>
      <w:r>
        <w:t xml:space="preserve">Our phylo-morphological distance plots (Fig. 5) asked whether the relationship between phylogenetic distance and morphological distances (i.e. Procrustes distances between the mean </w:t>
      </w:r>
      <w:r>
        <w:lastRenderedPageBreak/>
        <w:t xml:space="preserve">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1C83A37C" w14:textId="77777777" w:rsidR="000E7AF4" w:rsidRDefault="000E7AF4" w:rsidP="000E7AF4">
      <w:pPr>
        <w:spacing w:line="480" w:lineRule="auto"/>
        <w:ind w:firstLine="720"/>
      </w:pPr>
    </w:p>
    <w:p w14:paraId="01238AB1" w14:textId="77777777" w:rsidR="000E7AF4" w:rsidRDefault="000E7AF4" w:rsidP="000E7AF4">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w:t>
      </w:r>
      <w:r>
        <w:lastRenderedPageBreak/>
        <w:t xml:space="preserve">other ecological specialists, so that the greatest distances between species is now at the time of divergence between the two semiaquatic, carnivorous species at 5.7 Ma (Fig. 5b).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r>
        <w:rPr>
          <w:bCs/>
          <w:color w:val="000000"/>
        </w:rPr>
        <w:t>Phylo-morphological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lastRenderedPageBreak/>
        <w:t>Principal component</w:t>
      </w:r>
      <w:r w:rsidR="00D37864">
        <w:t>s</w:t>
      </w:r>
      <w:r>
        <w:t xml:space="preserve"> analyses</w:t>
      </w:r>
    </w:p>
    <w:p w14:paraId="3828C78B" w14:textId="69771456" w:rsidR="008922AE" w:rsidRDefault="00C248A2">
      <w:pPr>
        <w:spacing w:line="480" w:lineRule="auto"/>
      </w:pPr>
      <w:r>
        <w:t>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64BC9C3E"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1b).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w:t>
      </w:r>
      <w:r>
        <w:lastRenderedPageBreak/>
        <w:t xml:space="preserve">The PC2 </w:t>
      </w:r>
      <w:r w:rsidR="00481B35">
        <w:t>minimum</w:t>
      </w:r>
      <w:r>
        <w:t xml:space="preserve">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9" w:name="_heading=h.2s8eyo1"/>
      <w:r>
        <w:rPr>
          <w:noProof/>
        </w:rPr>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1"/>
                    <a:stretch>
                      <a:fillRect/>
                    </a:stretch>
                  </pic:blipFill>
                  <pic:spPr>
                    <a:xfrm>
                      <a:off x="0" y="0"/>
                      <a:ext cx="5943600" cy="4888230"/>
                    </a:xfrm>
                    <a:prstGeom prst="rect">
                      <a:avLst/>
                    </a:prstGeom>
                  </pic:spPr>
                </pic:pic>
              </a:graphicData>
            </a:graphic>
          </wp:inline>
        </w:drawing>
      </w:r>
    </w:p>
    <w:p w14:paraId="38275DEF" w14:textId="2584E0D0" w:rsidR="00BF6875" w:rsidRDefault="00000000" w:rsidP="00BF6875">
      <w:pPr>
        <w:spacing w:after="200"/>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F8733B">
        <w:rPr>
          <w:iCs/>
        </w:rPr>
        <w:t>, which mainly just switches the sign of the PC scores</w:t>
      </w:r>
      <w:r w:rsidR="00BF6875">
        <w:rPr>
          <w:i/>
        </w:rPr>
        <w:t>.</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lastRenderedPageBreak/>
        <w:t>Landmark heatmaps</w:t>
      </w:r>
    </w:p>
    <w:p w14:paraId="7AF17660" w14:textId="0F8EAAD1"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clearly 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3840A09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 xml:space="preserve">some of </w:t>
      </w:r>
      <w:r w:rsidR="00A44BA0">
        <w:lastRenderedPageBreak/>
        <w:t>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with the PC1/2 plots of 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12DB0F48" w:rsidR="00263DD3" w:rsidRPr="00D678AA" w:rsidRDefault="00000000" w:rsidP="00491B6E">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6C73B1FE" w14:textId="431945FC" w:rsidR="00491B6E"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 even though the two modules are not neigbouring each other. This strong association seems to capture the emphasis of the allometric pattern on concomitant rostral elongation with narrowing of the vault (Fig. 2).</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7EE9EF1E" w14:textId="3A088045" w:rsidR="007F3B28" w:rsidRDefault="005B661F">
      <w:pPr>
        <w:spacing w:line="480" w:lineRule="auto"/>
      </w:pPr>
      <w:r>
        <w:t xml:space="preserve">Removal of size resulted in several </w:t>
      </w:r>
      <w:r w:rsidR="000B6A67">
        <w:t>changes</w:t>
      </w:r>
      <w:r>
        <w:t xml:space="preserve"> in </w:t>
      </w:r>
      <w:r w:rsidR="000B6A67">
        <w:t>r-pls values</w:t>
      </w:r>
      <w:r>
        <w:t>,</w:t>
      </w:r>
      <w:r w:rsidR="003E4105">
        <w:t xml:space="preserve"> but not all of these related to reduced integration and only some were</w:t>
      </w:r>
      <w:r>
        <w:t xml:space="preserve"> detected as significant differences in integration strength (Table 2).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BF18AC">
        <w:rPr>
          <w:b/>
          <w:bCs/>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r w:rsidR="00A71B05" w:rsidRPr="00B4519F">
              <w:rPr>
                <w:rFonts w:asciiTheme="minorHAnsi" w:hAnsiTheme="minorHAnsi" w:cstheme="minorHAnsi"/>
                <w:sz w:val="22"/>
                <w:szCs w:val="22"/>
                <w:lang w:val="en-AU" w:eastAsia="en-AU"/>
              </w:rPr>
              <w:t>↓</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108" w:type="dxa"/>
        <w:tblLook w:val="04A0" w:firstRow="1" w:lastRow="0" w:firstColumn="1" w:lastColumn="0" w:noHBand="0" w:noVBand="1"/>
      </w:tblPr>
      <w:tblGrid>
        <w:gridCol w:w="2127"/>
        <w:gridCol w:w="653"/>
        <w:gridCol w:w="1189"/>
        <w:gridCol w:w="1418"/>
        <w:gridCol w:w="721"/>
      </w:tblGrid>
      <w:tr w:rsidR="005B661F" w:rsidRPr="005B661F" w14:paraId="61CA3C28" w14:textId="77777777" w:rsidTr="00B4519F">
        <w:trPr>
          <w:trHeight w:val="290"/>
        </w:trPr>
        <w:tc>
          <w:tcPr>
            <w:tcW w:w="2127"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B4519F">
        <w:trPr>
          <w:trHeight w:val="290"/>
        </w:trPr>
        <w:tc>
          <w:tcPr>
            <w:tcW w:w="2127" w:type="dxa"/>
            <w:tcBorders>
              <w:top w:val="single" w:sz="4" w:space="0" w:color="auto"/>
            </w:tcBorders>
            <w:noWrap/>
            <w:hideMark/>
          </w:tcPr>
          <w:p w14:paraId="2672A9F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B4519F">
        <w:trPr>
          <w:trHeight w:val="290"/>
        </w:trPr>
        <w:tc>
          <w:tcPr>
            <w:tcW w:w="2127" w:type="dxa"/>
            <w:noWrap/>
            <w:hideMark/>
          </w:tcPr>
          <w:p w14:paraId="2947FB0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B4519F">
        <w:trPr>
          <w:trHeight w:val="290"/>
        </w:trPr>
        <w:tc>
          <w:tcPr>
            <w:tcW w:w="2127" w:type="dxa"/>
            <w:noWrap/>
            <w:hideMark/>
          </w:tcPr>
          <w:p w14:paraId="61491186"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B4519F">
        <w:trPr>
          <w:trHeight w:val="290"/>
        </w:trPr>
        <w:tc>
          <w:tcPr>
            <w:tcW w:w="2127" w:type="dxa"/>
            <w:noWrap/>
            <w:hideMark/>
          </w:tcPr>
          <w:p w14:paraId="230DFAA4"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basicran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B4519F">
        <w:trPr>
          <w:trHeight w:val="290"/>
        </w:trPr>
        <w:tc>
          <w:tcPr>
            <w:tcW w:w="2127"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B4519F">
        <w:trPr>
          <w:trHeight w:val="290"/>
        </w:trPr>
        <w:tc>
          <w:tcPr>
            <w:tcW w:w="2127"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B4519F">
        <w:trPr>
          <w:trHeight w:val="290"/>
        </w:trPr>
        <w:tc>
          <w:tcPr>
            <w:tcW w:w="2127"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B4519F">
        <w:trPr>
          <w:trHeight w:val="290"/>
        </w:trPr>
        <w:tc>
          <w:tcPr>
            <w:tcW w:w="2127"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B4519F">
        <w:trPr>
          <w:trHeight w:val="290"/>
        </w:trPr>
        <w:tc>
          <w:tcPr>
            <w:tcW w:w="2127"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B4519F">
        <w:trPr>
          <w:trHeight w:val="290"/>
        </w:trPr>
        <w:tc>
          <w:tcPr>
            <w:tcW w:w="2127"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797DA9B"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Table 3</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4)</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exception of the rostrum/molar comparison which remained nearly unchanged in both the CR-based modularity assessment (Table 3) and the Mantel tests</w:t>
      </w:r>
      <w:r w:rsidR="007F3B28">
        <w:t xml:space="preserve"> (Table 4)</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375E3967" w14:textId="77777777" w:rsidR="008922AE" w:rsidRDefault="008922AE">
      <w:pPr>
        <w:spacing w:line="480" w:lineRule="auto"/>
      </w:pPr>
    </w:p>
    <w:p w14:paraId="053EAD22" w14:textId="2BB1114F" w:rsidR="00BB4074" w:rsidRDefault="00000000">
      <w:pPr>
        <w:spacing w:line="480" w:lineRule="auto"/>
      </w:pPr>
      <w:r>
        <w:t xml:space="preserve">In this study,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 xml:space="preserve">in the clade, with its own signatures of shape divergence, ordinated variation, and significant levels of integration.. </w:t>
      </w:r>
    </w:p>
    <w:p w14:paraId="61A98234" w14:textId="77777777" w:rsidR="00AF057B" w:rsidRDefault="00D37864" w:rsidP="00AF057B">
      <w:pPr>
        <w:spacing w:line="480" w:lineRule="auto"/>
        <w:ind w:firstLine="720"/>
      </w:pPr>
      <w:r>
        <w:t xml:space="preserve">As expected, the evolution of murid cranial shape is consistent with </w:t>
      </w:r>
      <w:r w:rsidR="00AF59F6">
        <w:t xml:space="preserve">our </w:t>
      </w:r>
      <w:r w:rsidR="00E5650C">
        <w:t>expectation</w:t>
      </w:r>
      <w:r w:rsidR="00AF59F6">
        <w:t xml:space="preserve"> that cranial shape evolves </w:t>
      </w:r>
      <w:r w:rsidR="00AF59F6">
        <w:t xml:space="preserve">around an optimal configuration </w:t>
      </w:r>
      <w:r w:rsidR="00AF59F6">
        <w:t>according to an</w:t>
      </w:r>
      <w:r>
        <w:t xml:space="preserve"> Ornstein-Uhlenbeck </w:t>
      </w:r>
      <w:r w:rsidR="00C76B4F">
        <w:t xml:space="preserve">(OU) </w:t>
      </w:r>
      <w:r>
        <w:t>process</w:t>
      </w:r>
      <w:r w:rsidR="00AF59F6">
        <w:t xml:space="preserve">. </w:t>
      </w:r>
      <w:r w:rsidR="003B404E">
        <w:t xml:space="preserve">This supports the hypothesis that the shape variation in the full dataset is under stabilizing selection according to size. Notably, the OU mode of the full shape </w:t>
      </w:r>
      <w:r w:rsidR="00AF59F6">
        <w:t>is not</w:t>
      </w:r>
      <w:r w:rsidR="003B404E">
        <w:t xml:space="preserve"> merely a consequence of </w:t>
      </w:r>
      <w:r w:rsidR="00AF59F6">
        <w:t xml:space="preserve">OU-dominated </w:t>
      </w:r>
      <w:r w:rsidR="003B404E">
        <w:t>size evolution</w:t>
      </w:r>
      <w:r w:rsidR="00AF59F6">
        <w:t>,</w:t>
      </w:r>
      <w:r w:rsidR="00AF057B">
        <w:t xml:space="preserve"> </w:t>
      </w:r>
      <w:r w:rsidR="00AF59F6">
        <w:t>since centroid size</w:t>
      </w:r>
      <w:r w:rsidR="003B404E">
        <w:t>s</w:t>
      </w:r>
      <w:r w:rsidR="00AF59F6">
        <w:t xml:space="preserve"> more likely evolve according to Brownian Motion</w:t>
      </w:r>
      <w:r w:rsidR="003B404E">
        <w:t>.</w:t>
      </w:r>
      <w:r w:rsidR="00E5650C">
        <w:t xml:space="preserve"> </w:t>
      </w:r>
      <w:r w:rsidR="00AF057B">
        <w:t xml:space="preserve">Intriguingly, the greater likelihood of OU in the evolution of residual shape suggests that non-allometric shape variation is under either stabilizing selection or a constraint on shape. </w:t>
      </w:r>
    </w:p>
    <w:p w14:paraId="5BE129DB" w14:textId="79B09775" w:rsidR="00D37864" w:rsidRDefault="00AF057B" w:rsidP="00684B6D">
      <w:pPr>
        <w:spacing w:line="480" w:lineRule="auto"/>
        <w:ind w:firstLine="720"/>
      </w:pPr>
      <w:r>
        <w:t xml:space="preserve">While the statistical assessment of evolutionary mode has limited power due to our relatively small sample sizes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AF057B">
        <w:rPr>
          <w:i/>
          <w:noProof/>
        </w:rPr>
        <w:t xml:space="preserve"> et al.</w:t>
      </w:r>
      <w:r>
        <w:rPr>
          <w:noProof/>
        </w:rPr>
        <w:t>, 2016)</w:t>
      </w:r>
      <w:r>
        <w:fldChar w:fldCharType="end"/>
      </w:r>
      <w:r>
        <w:t xml:space="preserve">, our visualisations of shape divergence </w:t>
      </w:r>
      <w:r w:rsidR="00684B6D">
        <w:t>also shows “</w:t>
      </w:r>
      <w:r w:rsidR="00684B6D">
        <w:t>spikes” of divergence in otherwise limited morphospace (as demonstrated by a plateau of diversification after 4.2-5.7 million years)</w:t>
      </w:r>
      <w:r w:rsidR="00684B6D">
        <w:t xml:space="preserve">, </w:t>
      </w:r>
      <w:r w:rsidR="00684B6D">
        <w:t xml:space="preserve">consistent with a mean-shift Ornstein-Uhlenbeck process of limited diversification around a local optimum </w:t>
      </w:r>
      <w:r w:rsidR="00684B6D">
        <w:fldChar w:fldCharType="begin"/>
      </w:r>
      <w:r w:rsidR="00684B6D">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684B6D">
        <w:fldChar w:fldCharType="separate"/>
      </w:r>
      <w:r w:rsidR="00684B6D">
        <w:rPr>
          <w:noProof/>
        </w:rPr>
        <w:t>(Harmon</w:t>
      </w:r>
      <w:r w:rsidR="00684B6D" w:rsidRPr="004550BE">
        <w:rPr>
          <w:i/>
          <w:noProof/>
        </w:rPr>
        <w:t xml:space="preserve"> et al.</w:t>
      </w:r>
      <w:r w:rsidR="00684B6D">
        <w:rPr>
          <w:noProof/>
        </w:rPr>
        <w:t>, 2010)</w:t>
      </w:r>
      <w:r w:rsidR="00684B6D">
        <w:fldChar w:fldCharType="end"/>
      </w:r>
      <w:r w:rsidR="00684B6D">
        <w:t>.</w:t>
      </w:r>
      <w:r w:rsidR="00684B6D">
        <w:t xml:space="preserve"> Additionally, the plots provide</w:t>
      </w:r>
      <w:r>
        <w:t xml:space="preserve"> useful hypotheses of how the asymptotic divergence pattern over time – reflective of OU processes – arise. In both full and residual datasets, the plots </w:t>
      </w:r>
      <w:r w:rsidR="003B404E">
        <w:t xml:space="preserve">reinforce the concept of rodent skulls evolving around an optimal shape unless a substantial change in either </w:t>
      </w:r>
      <w:r w:rsidR="003B404E">
        <w:lastRenderedPageBreak/>
        <w:t xml:space="preserve">size or cranial function evolves. Consistent with this, the maximum divergences </w:t>
      </w:r>
      <w:r>
        <w:t xml:space="preserve">in the full dataset </w:t>
      </w:r>
      <w:r w:rsidR="003B404E">
        <w:t xml:space="preserve">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sidR="003B404E">
        <w:rPr>
          <w:i/>
        </w:rPr>
        <w:t>Notomys</w:t>
      </w:r>
      <w:r w:rsidR="003B404E">
        <w:t xml:space="preserve"> likely reflects </w:t>
      </w:r>
      <w:r>
        <w:t>a</w:t>
      </w:r>
      <w:r w:rsidR="003B404E">
        <w:t xml:space="preserve"> change in the genus-level allometric multidimensional intercept</w:t>
      </w:r>
      <w:r>
        <w:t xml:space="preserve"> (see below)</w:t>
      </w:r>
      <w:r w:rsidR="003B404E">
        <w:t xml:space="preserve">. </w:t>
      </w:r>
    </w:p>
    <w:p w14:paraId="7DAC2B49" w14:textId="32F4E648" w:rsidR="000E15A6" w:rsidRDefault="000E15A6" w:rsidP="00684B6D">
      <w:pPr>
        <w:spacing w:line="480" w:lineRule="auto"/>
        <w:ind w:firstLine="720"/>
      </w:pPr>
      <w:r>
        <w:t xml:space="preserve">Allometry in mammalian crania, and the subsequent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xml:space="preserve">. However, the residual shape space also appears to </w:t>
      </w:r>
      <w:r>
        <w:t>contain additional</w:t>
      </w:r>
      <w:r>
        <w:t xml:space="preserve"> biomechanical </w:t>
      </w:r>
      <w:r>
        <w:t xml:space="preserve">sources of shape information because the first PC emphasizes the angle at which the rostrum and incisors are situated relative to the remainder of the cranium, which </w:t>
      </w:r>
      <w:r w:rsidR="00A21F2A">
        <w:t>will result</w:t>
      </w:r>
      <w:r>
        <w:t xml:space="preserve"> in a change </w:t>
      </w:r>
      <w:r w:rsidR="00A21F2A">
        <w:t xml:space="preserve">gape and leverage of incisor biting. The carnivorous species, whose crania are least adapted to the extensive gnawing action typical of other rodents, have the straightest rostra and widest gape, which is consistent with the use of their jaws in prey apprehension. By contrast, the specialized folivores score low on both the residual PC1 and 2, reflecting curved anterior rostra and </w:t>
      </w:r>
      <w:r w:rsidR="00A21F2A">
        <w:t xml:space="preserve">shallower vaults. This pattern likely reflects the wider skulls and dorsally shifted temporalis </w:t>
      </w:r>
      <w:r w:rsidR="00A21F2A">
        <w:lastRenderedPageBreak/>
        <w:t xml:space="preserve">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A21F2A">
        <w:t>.</w:t>
      </w:r>
    </w:p>
    <w:p w14:paraId="34CCF86A" w14:textId="090DCDDC" w:rsidR="008922AE" w:rsidRDefault="00A21F2A" w:rsidP="00684B6D">
      <w:pPr>
        <w:spacing w:line="480" w:lineRule="auto"/>
        <w:ind w:firstLine="720"/>
      </w:pPr>
      <w:r>
        <w:t xml:space="preserve">Another effect emerging from the ordination of shape residuals is a tendency of the </w:t>
      </w:r>
      <w:r w:rsidR="00B86823">
        <w:t xml:space="preserve">dorsal </w:t>
      </w:r>
      <w:r>
        <w:t xml:space="preserve">cranial </w:t>
      </w:r>
      <w:r w:rsidR="00B86823">
        <w:t>v</w:t>
      </w:r>
      <w:r>
        <w:t>ault to expand together with an expansion of th</w:t>
      </w:r>
      <w:r w:rsidR="00B86823">
        <w:t>e basicranium on PC2, resulting in</w:t>
      </w:r>
      <w:r w:rsidR="00000000">
        <w:t xml:space="preserve"> relative braincase expansion</w:t>
      </w:r>
      <w:r w:rsidR="00B86823">
        <w:t>. Variation in braincase volume is</w:t>
      </w:r>
      <w:r w:rsidR="00E24766">
        <w:t xml:space="preserve"> also</w:t>
      </w:r>
      <w:r w:rsidR="00000000">
        <w:t xml:space="preserve"> part of the CREA pattern but here appear</w:t>
      </w:r>
      <w:r w:rsidR="00B86823">
        <w:t>s</w:t>
      </w:r>
      <w:r w:rsidR="00000000">
        <w:t xml:space="preserve"> independent of allometry</w:t>
      </w:r>
      <w:r w:rsidR="00B86823">
        <w:t>, demonstrating that</w:t>
      </w:r>
      <w:r w:rsidR="00000000">
        <w:t xml:space="preserve"> allometric patterning is not the only cause of shape variation that is commonly attributed to CREA. In the case of the murine </w:t>
      </w:r>
      <w:r w:rsidR="00E24766">
        <w:t>residuals</w:t>
      </w:r>
      <w:r w:rsidR="00000000">
        <w:t>, it is possible that the brain of species with more expanded braincases along PC</w:t>
      </w:r>
      <w:r w:rsidR="00E24766">
        <w:t>1</w:t>
      </w:r>
      <w:r w:rsidR="00000000">
        <w:t xml:space="preserve"> either have brain volumes that are larger than expected for their body mass – essentially reflecting the encephalization of these species </w:t>
      </w:r>
      <w:r w:rsidR="00000000">
        <w:fldChar w:fldCharType="begin"/>
      </w:r>
      <w:r w:rsidR="004550BE">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000000">
        <w:fldChar w:fldCharType="separate"/>
      </w:r>
      <w:r w:rsidR="004550BE">
        <w:rPr>
          <w:noProof/>
        </w:rPr>
        <w:t>(Smaers</w:t>
      </w:r>
      <w:r w:rsidR="004550BE" w:rsidRPr="004550BE">
        <w:rPr>
          <w:i/>
          <w:noProof/>
        </w:rPr>
        <w:t xml:space="preserve"> et al.</w:t>
      </w:r>
      <w:r w:rsidR="004550BE">
        <w:rPr>
          <w:noProof/>
        </w:rPr>
        <w:t>, 2021)</w:t>
      </w:r>
      <w:r w:rsidR="00000000">
        <w:fldChar w:fldCharType="end"/>
      </w:r>
      <w:r w:rsidR="00000000">
        <w:t xml:space="preserve"> – or have a different distribution of the brain tissue within the braincase </w:t>
      </w:r>
      <w:r w:rsidR="00000000">
        <w:fldChar w:fldCharType="begin"/>
      </w:r>
      <w:r w:rsidR="004550BE">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000000">
        <w:fldChar w:fldCharType="separate"/>
      </w:r>
      <w:r w:rsidR="004550BE">
        <w:rPr>
          <w:noProof/>
        </w:rPr>
        <w:t>(Weisbecker</w:t>
      </w:r>
      <w:r w:rsidR="004550BE" w:rsidRPr="004550BE">
        <w:rPr>
          <w:i/>
          <w:noProof/>
        </w:rPr>
        <w:t xml:space="preserve"> et al.</w:t>
      </w:r>
      <w:r w:rsidR="004550BE">
        <w:rPr>
          <w:noProof/>
        </w:rPr>
        <w:t>, 2021)</w:t>
      </w:r>
      <w:r w:rsidR="00000000">
        <w:fldChar w:fldCharType="end"/>
      </w:r>
      <w:r w:rsidR="00000000">
        <w:t xml:space="preserve"> compared to lower-scoring species. </w:t>
      </w:r>
      <w:r w:rsidR="00B86823">
        <w:t>The residual PCAs thus serve</w:t>
      </w:r>
      <w:r w:rsidR="00000000">
        <w:t xml:space="preserve"> as a reminder that comparisons of allometric and ‘allometry-free’ datasets can identify how different sources of shape variation interact to produce visible patterns of vertebrate shape diversity, even in clades </w:t>
      </w:r>
      <w:r w:rsidR="00684B6D">
        <w:t>where shape is dominated by allometry</w:t>
      </w:r>
      <w:r w:rsidR="00000000">
        <w:t>.</w:t>
      </w:r>
    </w:p>
    <w:p w14:paraId="0648A53A" w14:textId="169465A3" w:rsidR="008922AE" w:rsidRDefault="00B86823">
      <w:pPr>
        <w:spacing w:line="480" w:lineRule="auto"/>
      </w:pPr>
      <w:r>
        <w:t>KEEP GOING HERE</w:t>
      </w:r>
      <w:r w:rsidR="00000000">
        <w:t xml:space="preserve">. </w:t>
      </w:r>
    </w:p>
    <w:p w14:paraId="2BF75313" w14:textId="056383EE"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 </w:instrText>
      </w:r>
      <w:r w:rsidR="004550B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EN.CITE.DATA </w:instrText>
      </w:r>
      <w:r w:rsidR="004550BE">
        <w:fldChar w:fldCharType="end"/>
      </w:r>
      <w:r w:rsidR="00245C5E">
        <w:fldChar w:fldCharType="separate"/>
      </w:r>
      <w:r w:rsidR="004550BE">
        <w:rPr>
          <w:noProof/>
        </w:rPr>
        <w:t>(Hennekam</w:t>
      </w:r>
      <w:r w:rsidR="004550BE" w:rsidRPr="004550BE">
        <w:rPr>
          <w:i/>
          <w:noProof/>
        </w:rPr>
        <w:t xml:space="preserve"> et al.</w:t>
      </w:r>
      <w:r w:rsidR="004550BE">
        <w:rPr>
          <w:noProof/>
        </w:rPr>
        <w:t>, 2020; Williams</w:t>
      </w:r>
      <w:r w:rsidR="004550BE" w:rsidRPr="004550BE">
        <w:rPr>
          <w:i/>
          <w:noProof/>
        </w:rPr>
        <w:t xml:space="preserve"> et al.</w:t>
      </w:r>
      <w:r w:rsidR="004550BE">
        <w:rPr>
          <w:noProof/>
        </w:rPr>
        <w:t>,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 </w:instrText>
      </w:r>
      <w:r w:rsidR="004550B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EN.CITE.DATA </w:instrText>
      </w:r>
      <w:r w:rsidR="004550BE">
        <w:fldChar w:fldCharType="end"/>
      </w:r>
      <w:r w:rsidR="00245C5E">
        <w:fldChar w:fldCharType="separate"/>
      </w:r>
      <w:r w:rsidR="004550BE">
        <w:rPr>
          <w:noProof/>
        </w:rPr>
        <w:t>(Figueirido</w:t>
      </w:r>
      <w:r w:rsidR="004550BE" w:rsidRPr="004550BE">
        <w:rPr>
          <w:i/>
          <w:noProof/>
        </w:rPr>
        <w:t xml:space="preserve"> et al.</w:t>
      </w:r>
      <w:r w:rsidR="004550BE">
        <w:rPr>
          <w:noProof/>
        </w:rPr>
        <w:t xml:space="preserve">, 2014; </w:t>
      </w:r>
      <w:r w:rsidR="004550BE">
        <w:rPr>
          <w:noProof/>
        </w:rPr>
        <w:lastRenderedPageBreak/>
        <w:t>Mitchell, 2019; Strait</w:t>
      </w:r>
      <w:r w:rsidR="004550BE" w:rsidRPr="004550BE">
        <w:rPr>
          <w:i/>
          <w:noProof/>
        </w:rPr>
        <w:t xml:space="preserve"> et al.</w:t>
      </w:r>
      <w:r w:rsidR="004550BE">
        <w:rPr>
          <w:noProof/>
        </w:rPr>
        <w:t>,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4550B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4550BE">
        <w:rPr>
          <w:noProof/>
        </w:rPr>
        <w:t>(Murray</w:t>
      </w:r>
      <w:r w:rsidR="004550BE" w:rsidRPr="004550BE">
        <w:rPr>
          <w:i/>
          <w:noProof/>
        </w:rPr>
        <w:t xml:space="preserve"> et al.</w:t>
      </w:r>
      <w:r w:rsidR="004550BE">
        <w:rPr>
          <w:noProof/>
        </w:rPr>
        <w:t>,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01D0B56B"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xml:space="preserve">, which lies above the </w:t>
      </w:r>
      <w:r>
        <w:lastRenderedPageBreak/>
        <w:t>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4550BE">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4550BE">
        <w:rPr>
          <w:noProof/>
        </w:rPr>
        <w:t>((represented by the intercept differences of the allomeric slope; Mitchell</w:t>
      </w:r>
      <w:r w:rsidR="004550BE" w:rsidRPr="004550BE">
        <w:rPr>
          <w:i/>
          <w:noProof/>
        </w:rPr>
        <w:t xml:space="preserve"> et al.</w:t>
      </w:r>
      <w:r w:rsidR="004550BE">
        <w:rPr>
          <w:noProof/>
        </w:rPr>
        <w:t>, 2024)</w:t>
      </w:r>
      <w:r w:rsidR="00245C5E">
        <w:fldChar w:fldCharType="end"/>
      </w:r>
    </w:p>
    <w:p w14:paraId="4D9B1B6D" w14:textId="77777777" w:rsidR="008922AE" w:rsidRDefault="008922AE">
      <w:pPr>
        <w:spacing w:line="480" w:lineRule="auto"/>
      </w:pPr>
    </w:p>
    <w:p w14:paraId="52781224" w14:textId="437B6B66"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w:t>
      </w:r>
      <w:r>
        <w:lastRenderedPageBreak/>
        <w:t>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4550BE">
        <w:rPr>
          <w:noProof/>
        </w:rPr>
        <w:t>(Mitchell</w:t>
      </w:r>
      <w:r w:rsidR="004550BE" w:rsidRPr="004550BE">
        <w:rPr>
          <w:i/>
          <w:noProof/>
        </w:rPr>
        <w:t xml:space="preserve"> et al.</w:t>
      </w:r>
      <w:r w:rsidR="004550BE">
        <w:rPr>
          <w:noProof/>
        </w:rPr>
        <w:t>, 2024)</w:t>
      </w:r>
      <w:r w:rsidR="00422522">
        <w:fldChar w:fldCharType="end"/>
      </w:r>
      <w:r>
        <w:t>.</w:t>
      </w:r>
    </w:p>
    <w:p w14:paraId="635CDE58" w14:textId="77777777" w:rsidR="008922AE" w:rsidRDefault="008922AE">
      <w:pPr>
        <w:spacing w:line="480" w:lineRule="auto"/>
      </w:pP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w:t>
      </w:r>
      <w:r>
        <w:lastRenderedPageBreak/>
        <w:t>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44604286" w14:textId="61048CF6" w:rsidR="00B86823" w:rsidRPr="00B86823" w:rsidRDefault="00751EC7" w:rsidP="00B86823">
      <w:pPr>
        <w:pStyle w:val="EndNoteBibliography"/>
        <w:ind w:left="720" w:hanging="720"/>
        <w:rPr>
          <w:noProof/>
        </w:rPr>
      </w:pPr>
      <w:r>
        <w:fldChar w:fldCharType="begin"/>
      </w:r>
      <w:r>
        <w:instrText xml:space="preserve"> ADDIN EN.REFLIST </w:instrText>
      </w:r>
      <w:r>
        <w:fldChar w:fldCharType="separate"/>
      </w:r>
      <w:r w:rsidR="00B86823" w:rsidRPr="00B86823">
        <w:rPr>
          <w:noProof/>
        </w:rPr>
        <w:t xml:space="preserve">Adams, D. C. (2016). Evaluating modularity in morphometric data: challenges with the RV coefficient and a new test measure. </w:t>
      </w:r>
      <w:r w:rsidR="00B86823" w:rsidRPr="00B86823">
        <w:rPr>
          <w:i/>
          <w:noProof/>
        </w:rPr>
        <w:t>Methods in Ecology and Evolution, 7</w:t>
      </w:r>
      <w:r w:rsidR="00B86823" w:rsidRPr="00B86823">
        <w:rPr>
          <w:noProof/>
        </w:rPr>
        <w:t>(5), 565-572. doi:</w:t>
      </w:r>
      <w:hyperlink r:id="rId14" w:history="1">
        <w:r w:rsidR="00B86823" w:rsidRPr="00B86823">
          <w:rPr>
            <w:rStyle w:val="Hyperlink"/>
            <w:noProof/>
          </w:rPr>
          <w:t>https://doi.org/10.1111/2041-210X.12511</w:t>
        </w:r>
      </w:hyperlink>
    </w:p>
    <w:p w14:paraId="6EEAC18E" w14:textId="77777777" w:rsidR="00B86823" w:rsidRPr="00B86823" w:rsidRDefault="00B86823" w:rsidP="00B86823">
      <w:pPr>
        <w:pStyle w:val="EndNoteBibliography"/>
        <w:ind w:left="720" w:hanging="720"/>
        <w:rPr>
          <w:noProof/>
        </w:rPr>
      </w:pPr>
      <w:r w:rsidRPr="00B86823">
        <w:rPr>
          <w:noProof/>
        </w:rPr>
        <w:t xml:space="preserve">Adams, D. C., &amp; Collyer, M. L. (2016). On the comparison of the strength of morphological integration across morphometric datasets. </w:t>
      </w:r>
      <w:r w:rsidRPr="00B86823">
        <w:rPr>
          <w:i/>
          <w:noProof/>
        </w:rPr>
        <w:t>Evolution, 70</w:t>
      </w:r>
      <w:r w:rsidRPr="00B86823">
        <w:rPr>
          <w:noProof/>
        </w:rPr>
        <w:t xml:space="preserve">(11), 2623-2631. </w:t>
      </w:r>
    </w:p>
    <w:p w14:paraId="662B649D" w14:textId="48E073A8" w:rsidR="00B86823" w:rsidRPr="00B86823" w:rsidRDefault="00B86823" w:rsidP="00B86823">
      <w:pPr>
        <w:pStyle w:val="EndNoteBibliography"/>
        <w:ind w:left="720" w:hanging="720"/>
        <w:rPr>
          <w:noProof/>
        </w:rPr>
      </w:pPr>
      <w:r w:rsidRPr="00B86823">
        <w:rPr>
          <w:noProof/>
        </w:rPr>
        <w:t xml:space="preserve">Adams, D. C., &amp; Collyer, M. L. (2019). Comparing the strength of modular signal, and evaluating alternative modular hypotheses, using covariance ratio effect sizes with morphometric data. </w:t>
      </w:r>
      <w:r w:rsidRPr="00B86823">
        <w:rPr>
          <w:i/>
          <w:noProof/>
        </w:rPr>
        <w:t>Evolution, 73</w:t>
      </w:r>
      <w:r w:rsidRPr="00B86823">
        <w:rPr>
          <w:noProof/>
        </w:rPr>
        <w:t>(12), 2352-2367. doi:</w:t>
      </w:r>
      <w:hyperlink r:id="rId15" w:history="1">
        <w:r w:rsidRPr="00B86823">
          <w:rPr>
            <w:rStyle w:val="Hyperlink"/>
            <w:noProof/>
          </w:rPr>
          <w:t>https://doi.org/10.1111/evo.13867</w:t>
        </w:r>
      </w:hyperlink>
    </w:p>
    <w:p w14:paraId="393BB424" w14:textId="36DE23B3" w:rsidR="00B86823" w:rsidRPr="00B86823" w:rsidRDefault="00B86823" w:rsidP="00B86823">
      <w:pPr>
        <w:pStyle w:val="EndNoteBibliography"/>
        <w:ind w:left="720" w:hanging="720"/>
        <w:rPr>
          <w:noProof/>
        </w:rPr>
      </w:pPr>
      <w:r w:rsidRPr="00B86823">
        <w:rPr>
          <w:noProof/>
        </w:rPr>
        <w:t xml:space="preserve">Adams, D. C., Collyer, M. L., Kaliontzopoulou, A., &amp; Baken, E. K. (2022). Geomorph: Software for geometric morphometric analyses. </w:t>
      </w:r>
      <w:r w:rsidRPr="00B86823">
        <w:rPr>
          <w:i/>
          <w:noProof/>
        </w:rPr>
        <w:t xml:space="preserve">R package version 4.0.4. </w:t>
      </w:r>
      <w:hyperlink r:id="rId16" w:history="1">
        <w:r w:rsidRPr="00B86823">
          <w:rPr>
            <w:rStyle w:val="Hyperlink"/>
            <w:i/>
            <w:noProof/>
          </w:rPr>
          <w:t>https://cran.r-project.org/package=geomorph</w:t>
        </w:r>
      </w:hyperlink>
      <w:r w:rsidRPr="00B86823">
        <w:rPr>
          <w:noProof/>
        </w:rPr>
        <w:t xml:space="preserve">. </w:t>
      </w:r>
    </w:p>
    <w:p w14:paraId="7FE58A34" w14:textId="4FA74F9B" w:rsidR="00B86823" w:rsidRPr="00B86823" w:rsidRDefault="00B86823" w:rsidP="00B86823">
      <w:pPr>
        <w:pStyle w:val="EndNoteBibliography"/>
        <w:ind w:left="720" w:hanging="720"/>
        <w:rPr>
          <w:noProof/>
        </w:rPr>
      </w:pPr>
      <w:r w:rsidRPr="00B86823">
        <w:rPr>
          <w:noProof/>
        </w:rPr>
        <w:t xml:space="preserve">Adams, D. C., &amp; Felice, R. N. (2014). Assessing trait covariation and morphological integration on phylogenies using evolutionary covariance matrices. </w:t>
      </w:r>
      <w:r w:rsidRPr="00B86823">
        <w:rPr>
          <w:i/>
          <w:noProof/>
        </w:rPr>
        <w:t>PLOS ONE, 9</w:t>
      </w:r>
      <w:r w:rsidRPr="00B86823">
        <w:rPr>
          <w:noProof/>
        </w:rPr>
        <w:t>(4), e94335. doi:</w:t>
      </w:r>
      <w:hyperlink r:id="rId17" w:history="1">
        <w:r w:rsidRPr="00B86823">
          <w:rPr>
            <w:rStyle w:val="Hyperlink"/>
            <w:noProof/>
          </w:rPr>
          <w:t>https://doi.org/10.1371/journal.pone.0094335</w:t>
        </w:r>
      </w:hyperlink>
    </w:p>
    <w:p w14:paraId="22B67678" w14:textId="77777777" w:rsidR="00B86823" w:rsidRPr="00B86823" w:rsidRDefault="00B86823" w:rsidP="00B86823">
      <w:pPr>
        <w:pStyle w:val="EndNoteBibliography"/>
        <w:ind w:left="720" w:hanging="720"/>
        <w:rPr>
          <w:noProof/>
        </w:rPr>
      </w:pPr>
      <w:r w:rsidRPr="00B86823">
        <w:rPr>
          <w:noProof/>
        </w:rPr>
        <w:t xml:space="preserve">Aplin, K. P., &amp; Ford, F. (2014). Murine rodents: late but highly successful invaders. In H. H. T. Prins &amp; I. J. Gordon (Eds.), </w:t>
      </w:r>
      <w:r w:rsidRPr="00B86823">
        <w:rPr>
          <w:i/>
          <w:noProof/>
        </w:rPr>
        <w:t>Invasion Biology and Ecological Theory: Insights from a Continent in Transformation</w:t>
      </w:r>
      <w:r w:rsidRPr="00B86823">
        <w:rPr>
          <w:noProof/>
        </w:rPr>
        <w:t xml:space="preserve"> (pp. 196-240). Cambridge: Cambridge University Press.</w:t>
      </w:r>
    </w:p>
    <w:p w14:paraId="639B8E5A" w14:textId="48788086" w:rsidR="00B86823" w:rsidRPr="00B86823" w:rsidRDefault="00B86823" w:rsidP="00B86823">
      <w:pPr>
        <w:pStyle w:val="EndNoteBibliography"/>
        <w:ind w:left="720" w:hanging="720"/>
        <w:rPr>
          <w:noProof/>
        </w:rPr>
      </w:pPr>
      <w:r w:rsidRPr="00B86823">
        <w:rPr>
          <w:noProof/>
        </w:rPr>
        <w:t xml:space="preserve">Baken, E. K., Collyer, M. L., Kaliontzopoulou, A., &amp; Adams, D. C. (2021). geomorph v4.0 and gmShiny: enhanced analytics and a new graphical interface for a comprehensive morphometric experience. </w:t>
      </w:r>
      <w:r w:rsidRPr="00B86823">
        <w:rPr>
          <w:i/>
          <w:noProof/>
        </w:rPr>
        <w:t>Methods in Ecology and Evolution, 12</w:t>
      </w:r>
      <w:r w:rsidRPr="00B86823">
        <w:rPr>
          <w:noProof/>
        </w:rPr>
        <w:t>, 2355-2363. doi:</w:t>
      </w:r>
      <w:hyperlink r:id="rId18" w:history="1">
        <w:r w:rsidRPr="00B86823">
          <w:rPr>
            <w:rStyle w:val="Hyperlink"/>
            <w:noProof/>
          </w:rPr>
          <w:t>https://doi.org/10.1111/2041-210X.13723</w:t>
        </w:r>
      </w:hyperlink>
    </w:p>
    <w:p w14:paraId="4F39121E" w14:textId="77777777" w:rsidR="00B86823" w:rsidRPr="00B86823" w:rsidRDefault="00B86823" w:rsidP="00B86823">
      <w:pPr>
        <w:pStyle w:val="EndNoteBibliography"/>
        <w:ind w:left="720" w:hanging="720"/>
        <w:rPr>
          <w:noProof/>
        </w:rPr>
      </w:pPr>
      <w:r w:rsidRPr="00B86823">
        <w:rPr>
          <w:noProof/>
        </w:rPr>
        <w:t xml:space="preserve">Bonferroni, C. (1936). Teoria statistica delle classi e calcolo delle probabilita. </w:t>
      </w:r>
      <w:r w:rsidRPr="00B86823">
        <w:rPr>
          <w:i/>
          <w:noProof/>
        </w:rPr>
        <w:t>Pubblicazioni del R Istituto Superiore di Scienze Economiche e Commericiali di Firenze, 8</w:t>
      </w:r>
      <w:r w:rsidRPr="00B86823">
        <w:rPr>
          <w:noProof/>
        </w:rPr>
        <w:t xml:space="preserve">, 3-62. </w:t>
      </w:r>
    </w:p>
    <w:p w14:paraId="4B149680" w14:textId="5F28BFBA" w:rsidR="00B86823" w:rsidRPr="00B86823" w:rsidRDefault="00B86823" w:rsidP="00B86823">
      <w:pPr>
        <w:pStyle w:val="EndNoteBibliography"/>
        <w:ind w:left="720" w:hanging="720"/>
        <w:rPr>
          <w:noProof/>
        </w:rPr>
      </w:pPr>
      <w:r w:rsidRPr="00B86823">
        <w:rPr>
          <w:noProof/>
        </w:rPr>
        <w:t xml:space="preserve">Bookstein, F. L. (2015). Integration, disintegration, and self-similarity: characterizing the scales of shape variation in landmark data. </w:t>
      </w:r>
      <w:r w:rsidRPr="00B86823">
        <w:rPr>
          <w:i/>
          <w:noProof/>
        </w:rPr>
        <w:t>Evolutionary Biology, 42</w:t>
      </w:r>
      <w:r w:rsidRPr="00B86823">
        <w:rPr>
          <w:noProof/>
        </w:rPr>
        <w:t>(4), 395-426. doi:</w:t>
      </w:r>
      <w:hyperlink r:id="rId19" w:history="1">
        <w:r w:rsidRPr="00B86823">
          <w:rPr>
            <w:rStyle w:val="Hyperlink"/>
            <w:noProof/>
          </w:rPr>
          <w:t>https://doi.org/10.1007/s11692-015-9317-8</w:t>
        </w:r>
      </w:hyperlink>
    </w:p>
    <w:p w14:paraId="58E293A6" w14:textId="77777777" w:rsidR="00B86823" w:rsidRPr="00B86823" w:rsidRDefault="00B86823" w:rsidP="00B86823">
      <w:pPr>
        <w:pStyle w:val="EndNoteBibliography"/>
        <w:ind w:left="720" w:hanging="720"/>
        <w:rPr>
          <w:noProof/>
        </w:rPr>
      </w:pPr>
      <w:r w:rsidRPr="00B86823">
        <w:rPr>
          <w:noProof/>
        </w:rPr>
        <w:t xml:space="preserve">Breed, B., &amp; Ford, F. (2007). </w:t>
      </w:r>
      <w:r w:rsidRPr="00B86823">
        <w:rPr>
          <w:i/>
          <w:noProof/>
        </w:rPr>
        <w:t>Native Mice and Rats</w:t>
      </w:r>
      <w:r w:rsidRPr="00B86823">
        <w:rPr>
          <w:noProof/>
        </w:rPr>
        <w:t>.</w:t>
      </w:r>
    </w:p>
    <w:p w14:paraId="1B2F263A" w14:textId="1F066C01" w:rsidR="00B86823" w:rsidRPr="00B86823" w:rsidRDefault="00B86823" w:rsidP="00B86823">
      <w:pPr>
        <w:pStyle w:val="EndNoteBibliography"/>
        <w:ind w:left="720" w:hanging="720"/>
        <w:rPr>
          <w:noProof/>
        </w:rPr>
      </w:pPr>
      <w:r w:rsidRPr="00B86823">
        <w:rPr>
          <w:noProof/>
        </w:rPr>
        <w:t xml:space="preserve">Bright, J. A., Marugán-Lobón, J., Cobb, S. N., &amp; Rayfield, E. J. (2016). The shapes of bird beaks are highly controlled by nondietary factors. </w:t>
      </w:r>
      <w:r w:rsidRPr="00B86823">
        <w:rPr>
          <w:i/>
          <w:noProof/>
        </w:rPr>
        <w:t>Proceedings of the National Academy of Sciences, 113</w:t>
      </w:r>
      <w:r w:rsidRPr="00B86823">
        <w:rPr>
          <w:noProof/>
        </w:rPr>
        <w:t>(19), 5352-5357. doi:</w:t>
      </w:r>
      <w:hyperlink r:id="rId20" w:history="1">
        <w:r w:rsidRPr="00B86823">
          <w:rPr>
            <w:rStyle w:val="Hyperlink"/>
            <w:noProof/>
          </w:rPr>
          <w:t>https://doi.org/10.1073/pnas.1602683113</w:t>
        </w:r>
      </w:hyperlink>
    </w:p>
    <w:p w14:paraId="24164564" w14:textId="77777777" w:rsidR="00B86823" w:rsidRPr="00B86823" w:rsidRDefault="00B86823" w:rsidP="00B86823">
      <w:pPr>
        <w:pStyle w:val="EndNoteBibliography"/>
        <w:ind w:left="720" w:hanging="720"/>
        <w:rPr>
          <w:noProof/>
        </w:rPr>
      </w:pPr>
      <w:r w:rsidRPr="00B86823">
        <w:rPr>
          <w:noProof/>
        </w:rPr>
        <w:t xml:space="preserve">Burnham, K. P., &amp; Anderson, D. R. (2002). </w:t>
      </w:r>
      <w:r w:rsidRPr="00B86823">
        <w:rPr>
          <w:i/>
          <w:noProof/>
        </w:rPr>
        <w:t>Model Selection and Multi-Model Inference</w:t>
      </w:r>
      <w:r w:rsidRPr="00B86823">
        <w:rPr>
          <w:noProof/>
        </w:rPr>
        <w:t>. New York: Springer.</w:t>
      </w:r>
    </w:p>
    <w:p w14:paraId="219A6AFF" w14:textId="4DC1514A" w:rsidR="00B86823" w:rsidRPr="00B86823" w:rsidRDefault="00B86823" w:rsidP="00B86823">
      <w:pPr>
        <w:pStyle w:val="EndNoteBibliography"/>
        <w:ind w:left="720" w:hanging="720"/>
        <w:rPr>
          <w:noProof/>
        </w:rPr>
      </w:pPr>
      <w:r w:rsidRPr="00B86823">
        <w:rPr>
          <w:noProof/>
        </w:rPr>
        <w:t xml:space="preserve">Cardini, A. (2019). Craniofacial allometry is a rule in evolutionary radiations of placentals. </w:t>
      </w:r>
      <w:r w:rsidRPr="00B86823">
        <w:rPr>
          <w:i/>
          <w:noProof/>
        </w:rPr>
        <w:t>Evolutionary Biology, 46</w:t>
      </w:r>
      <w:r w:rsidRPr="00B86823">
        <w:rPr>
          <w:noProof/>
        </w:rPr>
        <w:t>(3), 239-248. doi:</w:t>
      </w:r>
      <w:hyperlink r:id="rId21" w:history="1">
        <w:r w:rsidRPr="00B86823">
          <w:rPr>
            <w:rStyle w:val="Hyperlink"/>
            <w:noProof/>
          </w:rPr>
          <w:t>https://doi.org/10.1007/s11692-019-09477-7</w:t>
        </w:r>
      </w:hyperlink>
    </w:p>
    <w:p w14:paraId="7180BB7B" w14:textId="44C39C97" w:rsidR="00B86823" w:rsidRPr="00B86823" w:rsidRDefault="00B86823" w:rsidP="00B86823">
      <w:pPr>
        <w:pStyle w:val="EndNoteBibliography"/>
        <w:ind w:left="720" w:hanging="720"/>
        <w:rPr>
          <w:noProof/>
        </w:rPr>
      </w:pPr>
      <w:r w:rsidRPr="00B86823">
        <w:rPr>
          <w:noProof/>
        </w:rPr>
        <w:t xml:space="preserve">Cardini, A., Polly, D., Dawson, R., &amp; Milne, N. (2015). Why the long face? Kangaroos and wallabies follow the same ‘rule’ of cranial evolutionary allometry (CREA) as placentals. </w:t>
      </w:r>
      <w:r w:rsidRPr="00B86823">
        <w:rPr>
          <w:i/>
          <w:noProof/>
        </w:rPr>
        <w:t>Evolutionary Biology, 42</w:t>
      </w:r>
      <w:r w:rsidRPr="00B86823">
        <w:rPr>
          <w:noProof/>
        </w:rPr>
        <w:t>(2), 169-176. doi:</w:t>
      </w:r>
      <w:hyperlink r:id="rId22" w:history="1">
        <w:r w:rsidRPr="00B86823">
          <w:rPr>
            <w:rStyle w:val="Hyperlink"/>
            <w:noProof/>
          </w:rPr>
          <w:t>https://doi.org/10.1007/s11692-015-9308-9</w:t>
        </w:r>
      </w:hyperlink>
    </w:p>
    <w:p w14:paraId="5631B422" w14:textId="04872F27" w:rsidR="00B86823" w:rsidRPr="00B86823" w:rsidRDefault="00B86823" w:rsidP="00B86823">
      <w:pPr>
        <w:pStyle w:val="EndNoteBibliography"/>
        <w:ind w:left="720" w:hanging="720"/>
        <w:rPr>
          <w:noProof/>
        </w:rPr>
      </w:pPr>
      <w:r w:rsidRPr="00B86823">
        <w:rPr>
          <w:noProof/>
        </w:rPr>
        <w:t xml:space="preserve">Cavanaugh, J. E., &amp; Neath, A. A. (2019). The Akaike information criterion: Background, derivation, properties, application, interpretation, and refinements. </w:t>
      </w:r>
      <w:r w:rsidRPr="00B86823">
        <w:rPr>
          <w:i/>
          <w:noProof/>
        </w:rPr>
        <w:t>WIREs Computational Statistics, 11</w:t>
      </w:r>
      <w:r w:rsidRPr="00B86823">
        <w:rPr>
          <w:noProof/>
        </w:rPr>
        <w:t>(3), e1460. doi:</w:t>
      </w:r>
      <w:hyperlink r:id="rId23" w:history="1">
        <w:r w:rsidRPr="00B86823">
          <w:rPr>
            <w:rStyle w:val="Hyperlink"/>
            <w:noProof/>
          </w:rPr>
          <w:t>https://doi.org/10.1002/wics.1460</w:t>
        </w:r>
      </w:hyperlink>
    </w:p>
    <w:p w14:paraId="466F3BF6" w14:textId="77777777" w:rsidR="00B86823" w:rsidRPr="00B86823" w:rsidRDefault="00B86823" w:rsidP="00B86823">
      <w:pPr>
        <w:pStyle w:val="EndNoteBibliography"/>
        <w:ind w:left="720" w:hanging="720"/>
        <w:rPr>
          <w:noProof/>
        </w:rPr>
      </w:pPr>
      <w:r w:rsidRPr="00B86823">
        <w:rPr>
          <w:noProof/>
        </w:rPr>
        <w:t xml:space="preserve">Clavel, J., Escarguel, G., &amp; Merceron, G. (2015). mvMORPH: an R package for fitting multivariate evolutionary models to morphometric data. </w:t>
      </w:r>
      <w:r w:rsidRPr="00B86823">
        <w:rPr>
          <w:i/>
          <w:noProof/>
        </w:rPr>
        <w:t>Methods in Ecology and Evolution, 6</w:t>
      </w:r>
      <w:r w:rsidRPr="00B86823">
        <w:rPr>
          <w:noProof/>
        </w:rPr>
        <w:t xml:space="preserve">(11), 1311-1319. </w:t>
      </w:r>
    </w:p>
    <w:p w14:paraId="5B2B438A" w14:textId="6AA98CFC" w:rsidR="00B86823" w:rsidRPr="00B86823" w:rsidRDefault="00B86823" w:rsidP="00B86823">
      <w:pPr>
        <w:pStyle w:val="EndNoteBibliography"/>
        <w:ind w:left="720" w:hanging="720"/>
        <w:rPr>
          <w:noProof/>
        </w:rPr>
      </w:pPr>
      <w:r w:rsidRPr="00B86823">
        <w:rPr>
          <w:noProof/>
        </w:rPr>
        <w:lastRenderedPageBreak/>
        <w:t xml:space="preserve">Collyer, M. L., &amp; Adams, D. C. (2018). RRPP: An R package for fitting linear models to high‐dimensional data using residual randomization. </w:t>
      </w:r>
      <w:r w:rsidRPr="00B86823">
        <w:rPr>
          <w:i/>
          <w:noProof/>
        </w:rPr>
        <w:t>Methods in Ecology and Evolution, 9</w:t>
      </w:r>
      <w:r w:rsidRPr="00B86823">
        <w:rPr>
          <w:noProof/>
        </w:rPr>
        <w:t>, 1772-1779. doi:</w:t>
      </w:r>
      <w:hyperlink r:id="rId24" w:history="1">
        <w:r w:rsidRPr="00B86823">
          <w:rPr>
            <w:rStyle w:val="Hyperlink"/>
            <w:noProof/>
          </w:rPr>
          <w:t>https://doi.org/10.1111/2041-210X.13029</w:t>
        </w:r>
      </w:hyperlink>
    </w:p>
    <w:p w14:paraId="5F3B7C94" w14:textId="26891F45" w:rsidR="00B86823" w:rsidRPr="00B86823" w:rsidRDefault="00B86823" w:rsidP="00B86823">
      <w:pPr>
        <w:pStyle w:val="EndNoteBibliography"/>
        <w:ind w:left="720" w:hanging="720"/>
        <w:rPr>
          <w:noProof/>
        </w:rPr>
      </w:pPr>
      <w:r w:rsidRPr="00B86823">
        <w:rPr>
          <w:noProof/>
        </w:rPr>
        <w:t xml:space="preserve">Collyer, M. L., &amp; Adams, D. C. (2019). RRPP: Linear Model Evaluation with Randomized Residuals in a Permutation Procedure. </w:t>
      </w:r>
      <w:hyperlink r:id="rId25" w:history="1">
        <w:r w:rsidRPr="00B86823">
          <w:rPr>
            <w:rStyle w:val="Hyperlink"/>
            <w:i/>
            <w:noProof/>
          </w:rPr>
          <w:t>https://CRAN.R-project.org/package=RRPP</w:t>
        </w:r>
      </w:hyperlink>
      <w:r w:rsidRPr="00B86823">
        <w:rPr>
          <w:noProof/>
        </w:rPr>
        <w:t xml:space="preserve">. </w:t>
      </w:r>
    </w:p>
    <w:p w14:paraId="15678360" w14:textId="77777777" w:rsidR="00B86823" w:rsidRPr="00B86823" w:rsidRDefault="00B86823" w:rsidP="00B86823">
      <w:pPr>
        <w:pStyle w:val="EndNoteBibliography"/>
        <w:ind w:left="720" w:hanging="720"/>
        <w:rPr>
          <w:noProof/>
        </w:rPr>
      </w:pPr>
      <w:r w:rsidRPr="00B86823">
        <w:rPr>
          <w:noProof/>
        </w:rPr>
        <w:t xml:space="preserve">Cooper, N., Thomas, G. H., Venditti, C., Meade, A., &amp; Freckleton, R. P. (2016). A cautionary note on the use of Ornstein Uhlenbeck models in macroevolutionary studies. </w:t>
      </w:r>
      <w:r w:rsidRPr="00B86823">
        <w:rPr>
          <w:i/>
          <w:noProof/>
        </w:rPr>
        <w:t>Biological Journal of the Linnean Society, 118</w:t>
      </w:r>
      <w:r w:rsidRPr="00B86823">
        <w:rPr>
          <w:noProof/>
        </w:rPr>
        <w:t xml:space="preserve">(1), 64-77. </w:t>
      </w:r>
    </w:p>
    <w:p w14:paraId="0E0A8B67" w14:textId="6F2B6212" w:rsidR="00B86823" w:rsidRPr="00B86823" w:rsidRDefault="00B86823" w:rsidP="00B86823">
      <w:pPr>
        <w:pStyle w:val="EndNoteBibliography"/>
        <w:ind w:left="720" w:hanging="720"/>
        <w:rPr>
          <w:noProof/>
        </w:rPr>
      </w:pPr>
      <w:r w:rsidRPr="00B86823">
        <w:rPr>
          <w:noProof/>
        </w:rPr>
        <w:t xml:space="preserve">Cox, P. G., Rayfield, E. J., Fagan, M. J., Herrel, A., Pataky, T. C., &amp; Jeffery, N. (2012). Functional evolution of the feeding system in rodents. </w:t>
      </w:r>
      <w:r w:rsidRPr="00B86823">
        <w:rPr>
          <w:i/>
          <w:noProof/>
        </w:rPr>
        <w:t>PLOS ONE, 7</w:t>
      </w:r>
      <w:r w:rsidRPr="00B86823">
        <w:rPr>
          <w:noProof/>
        </w:rPr>
        <w:t>(4), e36299. doi:</w:t>
      </w:r>
      <w:hyperlink r:id="rId26" w:history="1">
        <w:r w:rsidRPr="00B86823">
          <w:rPr>
            <w:rStyle w:val="Hyperlink"/>
            <w:noProof/>
          </w:rPr>
          <w:t>https://doi.org/10.1371/journal.pone.0036299</w:t>
        </w:r>
      </w:hyperlink>
    </w:p>
    <w:p w14:paraId="7057D1ED" w14:textId="77777777" w:rsidR="00B86823" w:rsidRPr="00B86823" w:rsidRDefault="00B86823" w:rsidP="00B86823">
      <w:pPr>
        <w:pStyle w:val="EndNoteBibliography"/>
        <w:ind w:left="720" w:hanging="720"/>
        <w:rPr>
          <w:noProof/>
        </w:rPr>
      </w:pPr>
      <w:r w:rsidRPr="00B86823">
        <w:rPr>
          <w:noProof/>
        </w:rPr>
        <w:t xml:space="preserve">Druzinsky, R. E. (2015). The oral apparatus of rodents: variations on the theme of a gnawing machine. In L. Hautier &amp; P. G. Cox (Eds.), </w:t>
      </w:r>
      <w:r w:rsidRPr="00B86823">
        <w:rPr>
          <w:i/>
          <w:noProof/>
        </w:rPr>
        <w:t>Evolution of the Rodents: Advances in Phylogeny, Functional Morphology and Development</w:t>
      </w:r>
      <w:r w:rsidRPr="00B86823">
        <w:rPr>
          <w:noProof/>
        </w:rPr>
        <w:t xml:space="preserve"> (Vol. 5, pp. 323-349). Cambridge: Cambridge University Press.</w:t>
      </w:r>
    </w:p>
    <w:p w14:paraId="439AEA99" w14:textId="58308B3A" w:rsidR="00B86823" w:rsidRPr="00B86823" w:rsidRDefault="00B86823" w:rsidP="00B86823">
      <w:pPr>
        <w:pStyle w:val="EndNoteBibliography"/>
        <w:ind w:left="720" w:hanging="720"/>
        <w:rPr>
          <w:noProof/>
        </w:rPr>
      </w:pPr>
      <w:r w:rsidRPr="00B86823">
        <w:rPr>
          <w:noProof/>
        </w:rPr>
        <w:t xml:space="preserve">Esselstyn, J. A., Achmadi, A. S., &amp; Rowe, K. C. (2012). Evolutionary novelty in a rat with no molars. </w:t>
      </w:r>
      <w:r w:rsidRPr="00B86823">
        <w:rPr>
          <w:i/>
          <w:noProof/>
        </w:rPr>
        <w:t>Biology Letters, 8</w:t>
      </w:r>
      <w:r w:rsidRPr="00B86823">
        <w:rPr>
          <w:noProof/>
        </w:rPr>
        <w:t>(6), 990-993. doi:</w:t>
      </w:r>
      <w:hyperlink r:id="rId27" w:history="1">
        <w:r w:rsidRPr="00B86823">
          <w:rPr>
            <w:rStyle w:val="Hyperlink"/>
            <w:noProof/>
          </w:rPr>
          <w:t>https://doi.org/10.1098/rsbl.2012.0574</w:t>
        </w:r>
      </w:hyperlink>
    </w:p>
    <w:p w14:paraId="0BCCED7A" w14:textId="394E3DAD" w:rsidR="00B86823" w:rsidRPr="00B86823" w:rsidRDefault="00B86823" w:rsidP="00B86823">
      <w:pPr>
        <w:pStyle w:val="EndNoteBibliography"/>
        <w:ind w:left="720" w:hanging="720"/>
        <w:rPr>
          <w:noProof/>
        </w:rPr>
      </w:pPr>
      <w:r w:rsidRPr="00B86823">
        <w:rPr>
          <w:noProof/>
        </w:rPr>
        <w:t xml:space="preserve">Evans, K. M., Waltz, B., Tagliacollo, V., Chakrabarty, P., &amp; Albert, J. S. (2017). Why the short face? Developmental disintegration of the neurocranium drives convergent evolution in neotropical electric fishes. </w:t>
      </w:r>
      <w:r w:rsidRPr="00B86823">
        <w:rPr>
          <w:i/>
          <w:noProof/>
        </w:rPr>
        <w:t>Ecology and Evolution, 7</w:t>
      </w:r>
      <w:r w:rsidRPr="00B86823">
        <w:rPr>
          <w:noProof/>
        </w:rPr>
        <w:t>(6), 1783-1801. doi:</w:t>
      </w:r>
      <w:hyperlink r:id="rId28" w:history="1">
        <w:r w:rsidRPr="00B86823">
          <w:rPr>
            <w:rStyle w:val="Hyperlink"/>
            <w:noProof/>
          </w:rPr>
          <w:t>https://doi.org/10.1002/ece3.2704</w:t>
        </w:r>
      </w:hyperlink>
    </w:p>
    <w:p w14:paraId="151E11FD" w14:textId="5C58A61A" w:rsidR="00B86823" w:rsidRPr="00B86823" w:rsidRDefault="00B86823" w:rsidP="00B86823">
      <w:pPr>
        <w:pStyle w:val="EndNoteBibliography"/>
        <w:ind w:left="720" w:hanging="720"/>
        <w:rPr>
          <w:noProof/>
        </w:rPr>
      </w:pPr>
      <w:r w:rsidRPr="00B86823">
        <w:rPr>
          <w:noProof/>
        </w:rPr>
        <w:t xml:space="preserve">Figueirido, B., Tseng, Z. J., Serrano-Alarcón, F. J., Martín-Serra, A., &amp; Pastor, J. F. (2014). Three-dimensional computer simulations of feeding behaviour in red and giant pandas relate skull biomechanics with dietary niche partitioning. </w:t>
      </w:r>
      <w:r w:rsidRPr="00B86823">
        <w:rPr>
          <w:i/>
          <w:noProof/>
        </w:rPr>
        <w:t>Biology Letters, 10</w:t>
      </w:r>
      <w:r w:rsidRPr="00B86823">
        <w:rPr>
          <w:noProof/>
        </w:rPr>
        <w:t>(4), 20140196. doi:</w:t>
      </w:r>
      <w:hyperlink r:id="rId29" w:history="1">
        <w:r w:rsidRPr="00B86823">
          <w:rPr>
            <w:rStyle w:val="Hyperlink"/>
            <w:noProof/>
          </w:rPr>
          <w:t>https://doi.org/10.1098/rsbl.2014.0196</w:t>
        </w:r>
      </w:hyperlink>
    </w:p>
    <w:p w14:paraId="4CA5C122" w14:textId="575057F9" w:rsidR="00B86823" w:rsidRPr="00B86823" w:rsidRDefault="00B86823" w:rsidP="00B86823">
      <w:pPr>
        <w:pStyle w:val="EndNoteBibliography"/>
        <w:ind w:left="720" w:hanging="720"/>
        <w:rPr>
          <w:noProof/>
        </w:rPr>
      </w:pPr>
      <w:r w:rsidRPr="00B86823">
        <w:rPr>
          <w:noProof/>
        </w:rPr>
        <w:t xml:space="preserve">Ginot, S., Claude, J., &amp; Hautier, L. (2018). One skull to rule them all? Descriptive and comparative anatomy of the masticatory apparatus in five mouse species. </w:t>
      </w:r>
      <w:r w:rsidRPr="00B86823">
        <w:rPr>
          <w:i/>
          <w:noProof/>
        </w:rPr>
        <w:t>Journal of Morphology, 279</w:t>
      </w:r>
      <w:r w:rsidRPr="00B86823">
        <w:rPr>
          <w:noProof/>
        </w:rPr>
        <w:t>(9), 1234-1255. doi:</w:t>
      </w:r>
      <w:hyperlink r:id="rId30" w:history="1">
        <w:r w:rsidRPr="00B86823">
          <w:rPr>
            <w:rStyle w:val="Hyperlink"/>
            <w:noProof/>
          </w:rPr>
          <w:t>https://doi.org/10.1002/jmor.20845</w:t>
        </w:r>
      </w:hyperlink>
    </w:p>
    <w:p w14:paraId="2A62773A" w14:textId="7F9AFC8C" w:rsidR="00B86823" w:rsidRPr="00B86823" w:rsidRDefault="00B86823" w:rsidP="00B86823">
      <w:pPr>
        <w:pStyle w:val="EndNoteBibliography"/>
        <w:ind w:left="720" w:hanging="720"/>
        <w:rPr>
          <w:noProof/>
        </w:rPr>
      </w:pPr>
      <w:r w:rsidRPr="00B86823">
        <w:rPr>
          <w:noProof/>
        </w:rPr>
        <w:t xml:space="preserve">Goswami, A. (2006). Cranial modularity shifts during mammalian evolution. </w:t>
      </w:r>
      <w:r w:rsidRPr="00B86823">
        <w:rPr>
          <w:i/>
          <w:noProof/>
        </w:rPr>
        <w:t>The American Naturalist, 168</w:t>
      </w:r>
      <w:r w:rsidRPr="00B86823">
        <w:rPr>
          <w:noProof/>
        </w:rPr>
        <w:t>(2), 270-280. doi:</w:t>
      </w:r>
      <w:hyperlink r:id="rId31" w:history="1">
        <w:r w:rsidRPr="00B86823">
          <w:rPr>
            <w:rStyle w:val="Hyperlink"/>
            <w:noProof/>
          </w:rPr>
          <w:t>https://doi.org/10.1086/505758</w:t>
        </w:r>
      </w:hyperlink>
    </w:p>
    <w:p w14:paraId="0A2E466D" w14:textId="35672C5F" w:rsidR="00B86823" w:rsidRPr="00B86823" w:rsidRDefault="00B86823" w:rsidP="00B86823">
      <w:pPr>
        <w:pStyle w:val="EndNoteBibliography"/>
        <w:ind w:left="720" w:hanging="720"/>
        <w:rPr>
          <w:noProof/>
        </w:rPr>
      </w:pPr>
      <w:r w:rsidRPr="00B86823">
        <w:rPr>
          <w:noProof/>
        </w:rPr>
        <w:t xml:space="preserve">Goswami, A., Noirault, E., Coombs, E. J., Clavel, J., Fabre, A.-C., Halliday, T. J. D., Churchill, M., Curtis, A., Watanabe, A., Simmons, N. B., Beatty, B. L., Geisler, J. H., Fox, D. L., &amp; Felice, R. N. (2022). Attenuated evolution of mammals through the Cenozoic. </w:t>
      </w:r>
      <w:r w:rsidRPr="00B86823">
        <w:rPr>
          <w:i/>
          <w:noProof/>
        </w:rPr>
        <w:t>Science, 378</w:t>
      </w:r>
      <w:r w:rsidRPr="00B86823">
        <w:rPr>
          <w:noProof/>
        </w:rPr>
        <w:t>(6618), 377-383. doi:</w:t>
      </w:r>
      <w:hyperlink r:id="rId32" w:history="1">
        <w:r w:rsidRPr="00B86823">
          <w:rPr>
            <w:rStyle w:val="Hyperlink"/>
            <w:noProof/>
          </w:rPr>
          <w:t>https://doi.org/10.1126/science.abm7525</w:t>
        </w:r>
      </w:hyperlink>
    </w:p>
    <w:p w14:paraId="275F1548" w14:textId="5BAC6D97" w:rsidR="00B86823" w:rsidRPr="00B86823" w:rsidRDefault="00B86823" w:rsidP="00B86823">
      <w:pPr>
        <w:pStyle w:val="EndNoteBibliography"/>
        <w:ind w:left="720" w:hanging="720"/>
        <w:rPr>
          <w:noProof/>
        </w:rPr>
      </w:pPr>
      <w:r w:rsidRPr="00B86823">
        <w:rPr>
          <w:noProof/>
        </w:rPr>
        <w:t xml:space="preserve">Guillerme, T., &amp; Weisbecker, V. (2019). LandvR: Tools for measuring landmark position variation. </w:t>
      </w:r>
      <w:r w:rsidRPr="00B86823">
        <w:rPr>
          <w:i/>
          <w:noProof/>
        </w:rPr>
        <w:t>Zenodo</w:t>
      </w:r>
      <w:r w:rsidRPr="00B86823">
        <w:rPr>
          <w:noProof/>
        </w:rPr>
        <w:t>. doi:</w:t>
      </w:r>
      <w:hyperlink r:id="rId33" w:history="1">
        <w:r w:rsidRPr="00B86823">
          <w:rPr>
            <w:rStyle w:val="Hyperlink"/>
            <w:noProof/>
          </w:rPr>
          <w:t>https://doi.org/10.5281/zenodo.2620785</w:t>
        </w:r>
      </w:hyperlink>
    </w:p>
    <w:p w14:paraId="5F8B13CE" w14:textId="3304C09F" w:rsidR="00B86823" w:rsidRPr="00B86823" w:rsidRDefault="00B86823" w:rsidP="00B86823">
      <w:pPr>
        <w:pStyle w:val="EndNoteBibliography"/>
        <w:ind w:left="720" w:hanging="720"/>
        <w:rPr>
          <w:noProof/>
        </w:rPr>
      </w:pPr>
      <w:r w:rsidRPr="00B86823">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86823">
        <w:rPr>
          <w:i/>
          <w:noProof/>
        </w:rPr>
        <w:t>Evolution, 64</w:t>
      </w:r>
      <w:r w:rsidRPr="00B86823">
        <w:rPr>
          <w:noProof/>
        </w:rPr>
        <w:t>(8), 2385-2396. doi:</w:t>
      </w:r>
      <w:hyperlink r:id="rId34" w:history="1">
        <w:r w:rsidRPr="00B86823">
          <w:rPr>
            <w:rStyle w:val="Hyperlink"/>
            <w:noProof/>
          </w:rPr>
          <w:t>https://doi.org/10.1111/j.1558-5646.2010.01025.x</w:t>
        </w:r>
      </w:hyperlink>
    </w:p>
    <w:p w14:paraId="6171CA0C" w14:textId="584BCAA3" w:rsidR="00B86823" w:rsidRPr="00B86823" w:rsidRDefault="00B86823" w:rsidP="00B86823">
      <w:pPr>
        <w:pStyle w:val="EndNoteBibliography"/>
        <w:ind w:left="720" w:hanging="720"/>
        <w:rPr>
          <w:noProof/>
        </w:rPr>
      </w:pPr>
      <w:r w:rsidRPr="00B86823">
        <w:rPr>
          <w:noProof/>
        </w:rPr>
        <w:t xml:space="preserve">Hennekam, J. J., Benson, R. B. J., Herridge, V. L., Jeffery, N., Torres-Roig, E., Alcover, J. A., &amp; Cox, P. G. (2020). Morphological divergence in giant fossil dormice. </w:t>
      </w:r>
      <w:r w:rsidRPr="00B86823">
        <w:rPr>
          <w:i/>
          <w:noProof/>
        </w:rPr>
        <w:t>Proceedings of the Royal Society B: Biological Sciences, 287</w:t>
      </w:r>
      <w:r w:rsidRPr="00B86823">
        <w:rPr>
          <w:noProof/>
        </w:rPr>
        <w:t>(1938), 20202085. doi:</w:t>
      </w:r>
      <w:hyperlink r:id="rId35" w:history="1">
        <w:r w:rsidRPr="00B86823">
          <w:rPr>
            <w:rStyle w:val="Hyperlink"/>
            <w:noProof/>
          </w:rPr>
          <w:t>https://doi.org/10.1098/rspb.2020.2085</w:t>
        </w:r>
      </w:hyperlink>
    </w:p>
    <w:p w14:paraId="715D687A" w14:textId="13488D8E" w:rsidR="00B86823" w:rsidRPr="00B86823" w:rsidRDefault="00B86823" w:rsidP="00B86823">
      <w:pPr>
        <w:pStyle w:val="EndNoteBibliography"/>
        <w:ind w:left="720" w:hanging="720"/>
        <w:rPr>
          <w:noProof/>
        </w:rPr>
      </w:pPr>
      <w:r w:rsidRPr="00B86823">
        <w:rPr>
          <w:noProof/>
        </w:rPr>
        <w:lastRenderedPageBreak/>
        <w:t xml:space="preserve">Hetherington, A. J., Sherratt, E., Ruta, M., Wilkinson, M., Deline, B., &amp; Donoghue, P. C. J. (2015). Do cladistic and morphometric data capture common patterns of morphological disparity? </w:t>
      </w:r>
      <w:r w:rsidRPr="00B86823">
        <w:rPr>
          <w:i/>
          <w:noProof/>
        </w:rPr>
        <w:t>Palaeontology, 58</w:t>
      </w:r>
      <w:r w:rsidRPr="00B86823">
        <w:rPr>
          <w:noProof/>
        </w:rPr>
        <w:t>(3), 393-399. doi:</w:t>
      </w:r>
      <w:hyperlink r:id="rId36" w:history="1">
        <w:r w:rsidRPr="00B86823">
          <w:rPr>
            <w:rStyle w:val="Hyperlink"/>
            <w:noProof/>
          </w:rPr>
          <w:t>https://doi.org/10.1111/pala.12159</w:t>
        </w:r>
      </w:hyperlink>
    </w:p>
    <w:p w14:paraId="2F47EDA2" w14:textId="3681203C" w:rsidR="00B86823" w:rsidRPr="00B86823" w:rsidRDefault="00B86823" w:rsidP="00B86823">
      <w:pPr>
        <w:pStyle w:val="EndNoteBibliography"/>
        <w:ind w:left="720" w:hanging="720"/>
        <w:rPr>
          <w:noProof/>
        </w:rPr>
      </w:pPr>
      <w:r w:rsidRPr="00B86823">
        <w:rPr>
          <w:noProof/>
        </w:rPr>
        <w:t xml:space="preserve">Kembel, S. W., Cowan, P. D., Helmus, M. R., Cornwell, W. K., Morlon, H., Ackerly, D. D., Blomberg, S. P., &amp; Webb, C. O. (2010). </w:t>
      </w:r>
      <w:r w:rsidRPr="00B86823">
        <w:rPr>
          <w:i/>
          <w:noProof/>
        </w:rPr>
        <w:t>Picante</w:t>
      </w:r>
      <w:r w:rsidRPr="00B86823">
        <w:rPr>
          <w:noProof/>
        </w:rPr>
        <w:t xml:space="preserve">: R tools for integrating phylogenies and ecology. </w:t>
      </w:r>
      <w:r w:rsidRPr="00B86823">
        <w:rPr>
          <w:i/>
          <w:noProof/>
        </w:rPr>
        <w:t>Bioinformatics, 26</w:t>
      </w:r>
      <w:r w:rsidRPr="00B86823">
        <w:rPr>
          <w:noProof/>
        </w:rPr>
        <w:t>(11), 1463-1464. doi:</w:t>
      </w:r>
      <w:hyperlink r:id="rId37" w:history="1">
        <w:r w:rsidRPr="00B86823">
          <w:rPr>
            <w:rStyle w:val="Hyperlink"/>
            <w:noProof/>
          </w:rPr>
          <w:t>https://doi.org/10.1093/bioinformatics/btq166</w:t>
        </w:r>
      </w:hyperlink>
    </w:p>
    <w:p w14:paraId="2DE0013F" w14:textId="27F04855" w:rsidR="00B86823" w:rsidRPr="00B86823" w:rsidRDefault="00B86823" w:rsidP="00B86823">
      <w:pPr>
        <w:pStyle w:val="EndNoteBibliography"/>
        <w:ind w:left="720" w:hanging="720"/>
        <w:rPr>
          <w:noProof/>
        </w:rPr>
      </w:pPr>
      <w:r w:rsidRPr="00B86823">
        <w:rPr>
          <w:noProof/>
        </w:rPr>
        <w:t xml:space="preserve">Klingenberg, C. P. (2009). Morphometric integration and modularity in configurations of landmarks: tools for evaluating a priori hypotheses. </w:t>
      </w:r>
      <w:r w:rsidRPr="00B86823">
        <w:rPr>
          <w:i/>
          <w:noProof/>
        </w:rPr>
        <w:t>Evolution &amp; Development, 11</w:t>
      </w:r>
      <w:r w:rsidRPr="00B86823">
        <w:rPr>
          <w:noProof/>
        </w:rPr>
        <w:t>(4), 405-421. doi:</w:t>
      </w:r>
      <w:hyperlink r:id="rId38" w:history="1">
        <w:r w:rsidRPr="00B86823">
          <w:rPr>
            <w:rStyle w:val="Hyperlink"/>
            <w:noProof/>
          </w:rPr>
          <w:t>https://doi.org/10.1111/j.1525-142X.2009.00347.x</w:t>
        </w:r>
      </w:hyperlink>
    </w:p>
    <w:p w14:paraId="16256BE4" w14:textId="56CECDDE" w:rsidR="00B86823" w:rsidRPr="00B86823" w:rsidRDefault="00B86823" w:rsidP="00B86823">
      <w:pPr>
        <w:pStyle w:val="EndNoteBibliography"/>
        <w:ind w:left="720" w:hanging="720"/>
        <w:rPr>
          <w:noProof/>
        </w:rPr>
      </w:pPr>
      <w:r w:rsidRPr="00B86823">
        <w:rPr>
          <w:noProof/>
        </w:rPr>
        <w:t xml:space="preserve">Klingenberg, C. P., &amp; Marugán-Lobón, J. (2013). Evolutionary covariation in geometric morphometric data: analyzing integration, modularity, and allometry in a phylogenetic context. </w:t>
      </w:r>
      <w:r w:rsidRPr="00B86823">
        <w:rPr>
          <w:i/>
          <w:noProof/>
        </w:rPr>
        <w:t>Systematic Biology, 62</w:t>
      </w:r>
      <w:r w:rsidRPr="00B86823">
        <w:rPr>
          <w:noProof/>
        </w:rPr>
        <w:t>(4), 591-610. doi:</w:t>
      </w:r>
      <w:hyperlink r:id="rId39" w:history="1">
        <w:r w:rsidRPr="00B86823">
          <w:rPr>
            <w:rStyle w:val="Hyperlink"/>
            <w:noProof/>
          </w:rPr>
          <w:t>https://doi.org/10.1093/sysbio/syt025</w:t>
        </w:r>
      </w:hyperlink>
    </w:p>
    <w:p w14:paraId="7CB14C01" w14:textId="5C1D23E2" w:rsidR="00B86823" w:rsidRPr="00B86823" w:rsidRDefault="00B86823" w:rsidP="00B86823">
      <w:pPr>
        <w:pStyle w:val="EndNoteBibliography"/>
        <w:ind w:left="720" w:hanging="720"/>
        <w:rPr>
          <w:noProof/>
        </w:rPr>
      </w:pPr>
      <w:r w:rsidRPr="00B86823">
        <w:rPr>
          <w:noProof/>
        </w:rPr>
        <w:t xml:space="preserve">Kraatz, B., &amp; Sherratt, E. (2016). Evolutionary morphology of the rabbit skull. </w:t>
      </w:r>
      <w:r w:rsidRPr="00B86823">
        <w:rPr>
          <w:i/>
          <w:noProof/>
        </w:rPr>
        <w:t>PeerJ, 4</w:t>
      </w:r>
      <w:r w:rsidRPr="00B86823">
        <w:rPr>
          <w:noProof/>
        </w:rPr>
        <w:t>, e2453. doi:</w:t>
      </w:r>
      <w:hyperlink r:id="rId40" w:history="1">
        <w:r w:rsidRPr="00B86823">
          <w:rPr>
            <w:rStyle w:val="Hyperlink"/>
            <w:noProof/>
          </w:rPr>
          <w:t>https://doi.org/10.7717/peerj.2453</w:t>
        </w:r>
      </w:hyperlink>
    </w:p>
    <w:p w14:paraId="5F3D901E" w14:textId="77777777" w:rsidR="00B86823" w:rsidRPr="00B86823" w:rsidRDefault="00B86823" w:rsidP="00B86823">
      <w:pPr>
        <w:pStyle w:val="EndNoteBibliography"/>
        <w:ind w:left="720" w:hanging="720"/>
        <w:rPr>
          <w:noProof/>
        </w:rPr>
      </w:pPr>
      <w:r w:rsidRPr="00B86823">
        <w:rPr>
          <w:noProof/>
        </w:rPr>
        <w:t xml:space="preserve">Legendre, P., &amp; Legendre, L. (2012). </w:t>
      </w:r>
      <w:r w:rsidRPr="00B86823">
        <w:rPr>
          <w:i/>
          <w:noProof/>
        </w:rPr>
        <w:t>Numerical ecology</w:t>
      </w:r>
      <w:r w:rsidRPr="00B86823">
        <w:rPr>
          <w:noProof/>
        </w:rPr>
        <w:t xml:space="preserve"> (3rd English Edition ed.): Elsevier.</w:t>
      </w:r>
    </w:p>
    <w:p w14:paraId="2238C1E5" w14:textId="3AF1C352" w:rsidR="00B86823" w:rsidRPr="00B86823" w:rsidRDefault="00B86823" w:rsidP="00B86823">
      <w:pPr>
        <w:pStyle w:val="EndNoteBibliography"/>
        <w:ind w:left="720" w:hanging="720"/>
        <w:rPr>
          <w:noProof/>
        </w:rPr>
      </w:pPr>
      <w:r w:rsidRPr="00B86823">
        <w:rPr>
          <w:noProof/>
        </w:rPr>
        <w:t xml:space="preserve">Lessa, E. P., &amp; Patton, J. L. (1989). Structural constraints, recurrent shapes, and allometry in pocket gophers (genus Thomomys). </w:t>
      </w:r>
      <w:r w:rsidRPr="00B86823">
        <w:rPr>
          <w:i/>
          <w:noProof/>
        </w:rPr>
        <w:t>Biological Journal of the Linnean Society, 36</w:t>
      </w:r>
      <w:r w:rsidRPr="00B86823">
        <w:rPr>
          <w:noProof/>
        </w:rPr>
        <w:t>(4), 349-363. doi:</w:t>
      </w:r>
      <w:hyperlink r:id="rId41" w:history="1">
        <w:r w:rsidRPr="00B86823">
          <w:rPr>
            <w:rStyle w:val="Hyperlink"/>
            <w:noProof/>
          </w:rPr>
          <w:t>https://doi.org/10.1111/j.1095-8312.1989.tb00500.x</w:t>
        </w:r>
      </w:hyperlink>
    </w:p>
    <w:p w14:paraId="5D44B449" w14:textId="707313A0" w:rsidR="00B86823" w:rsidRPr="00B86823" w:rsidRDefault="00B86823" w:rsidP="00B86823">
      <w:pPr>
        <w:pStyle w:val="EndNoteBibliography"/>
        <w:ind w:left="720" w:hanging="720"/>
        <w:rPr>
          <w:noProof/>
        </w:rPr>
      </w:pPr>
      <w:r w:rsidRPr="00B86823">
        <w:rPr>
          <w:noProof/>
        </w:rPr>
        <w:t xml:space="preserve">Marcy, A. E., Fruciano, C., Phillips, M. J., Mardon, K., &amp; Weisbecker, V. (2018). Low resolution scans can provide a sufficiently accurate, cost- and time-effective alternative to high resolution scans for 3D shape analyses. </w:t>
      </w:r>
      <w:r w:rsidRPr="00B86823">
        <w:rPr>
          <w:i/>
          <w:noProof/>
        </w:rPr>
        <w:t>PeerJ, 6</w:t>
      </w:r>
      <w:r w:rsidRPr="00B86823">
        <w:rPr>
          <w:noProof/>
        </w:rPr>
        <w:t>, e5032. doi:</w:t>
      </w:r>
      <w:hyperlink r:id="rId42" w:history="1">
        <w:r w:rsidRPr="00B86823">
          <w:rPr>
            <w:rStyle w:val="Hyperlink"/>
            <w:noProof/>
          </w:rPr>
          <w:t>https://doi.org/10.7717/peerj.5032</w:t>
        </w:r>
      </w:hyperlink>
    </w:p>
    <w:p w14:paraId="000F0EBC" w14:textId="5DD7015D" w:rsidR="00B86823" w:rsidRPr="00B86823" w:rsidRDefault="00B86823" w:rsidP="00B86823">
      <w:pPr>
        <w:pStyle w:val="EndNoteBibliography"/>
        <w:ind w:left="720" w:hanging="720"/>
        <w:rPr>
          <w:noProof/>
        </w:rPr>
      </w:pPr>
      <w:r w:rsidRPr="00B86823">
        <w:rPr>
          <w:noProof/>
        </w:rPr>
        <w:t xml:space="preserve">Marcy, A. E., Guillerme, T., Sherratt, E., Rowe, K. C., Phillips, M. J., &amp; Weisbecker, V. (2020). Australian rodents reveal conserved cranial evolutionary allometry across 10 million years of Murid evolution. </w:t>
      </w:r>
      <w:r w:rsidRPr="00B86823">
        <w:rPr>
          <w:i/>
          <w:noProof/>
        </w:rPr>
        <w:t>The American Naturalist, 196</w:t>
      </w:r>
      <w:r w:rsidRPr="00B86823">
        <w:rPr>
          <w:noProof/>
        </w:rPr>
        <w:t>(6), 755-768. doi:</w:t>
      </w:r>
      <w:hyperlink r:id="rId43" w:history="1">
        <w:r w:rsidRPr="00B86823">
          <w:rPr>
            <w:rStyle w:val="Hyperlink"/>
            <w:noProof/>
          </w:rPr>
          <w:t>https://doi.org/10.1086/711398</w:t>
        </w:r>
      </w:hyperlink>
    </w:p>
    <w:p w14:paraId="3509EDE8" w14:textId="42053C3A" w:rsidR="00B86823" w:rsidRPr="00B86823" w:rsidRDefault="00B86823" w:rsidP="00B86823">
      <w:pPr>
        <w:pStyle w:val="EndNoteBibliography"/>
        <w:ind w:left="720" w:hanging="720"/>
        <w:rPr>
          <w:noProof/>
        </w:rPr>
      </w:pPr>
      <w:r w:rsidRPr="00B86823">
        <w:rPr>
          <w:noProof/>
        </w:rPr>
        <w:t>Marcy, A. E., Hadly, E. A., Sherratt, E., Garland, K., &amp; Weisbecker, V. (2016). Getting a head in hard soils: Convergent skull evolution and divergent allometric patterns explain shape variation in a highly diverse genus of pocket gophers (</w:t>
      </w:r>
      <w:r w:rsidRPr="00B86823">
        <w:rPr>
          <w:i/>
          <w:noProof/>
        </w:rPr>
        <w:t>Thomomys</w:t>
      </w:r>
      <w:r w:rsidRPr="00B86823">
        <w:rPr>
          <w:noProof/>
        </w:rPr>
        <w:t xml:space="preserve">). </w:t>
      </w:r>
      <w:r w:rsidRPr="00B86823">
        <w:rPr>
          <w:i/>
          <w:noProof/>
        </w:rPr>
        <w:t>BMC Evolutionary Biology, 16</w:t>
      </w:r>
      <w:r w:rsidRPr="00B86823">
        <w:rPr>
          <w:noProof/>
        </w:rPr>
        <w:t>(1), 207. doi:</w:t>
      </w:r>
      <w:hyperlink r:id="rId44" w:history="1">
        <w:r w:rsidRPr="00B86823">
          <w:rPr>
            <w:rStyle w:val="Hyperlink"/>
            <w:noProof/>
          </w:rPr>
          <w:t>https://doi.org/10.1186/s12862-016-0782-1</w:t>
        </w:r>
      </w:hyperlink>
    </w:p>
    <w:p w14:paraId="34970FA0" w14:textId="32A497DC" w:rsidR="00B86823" w:rsidRPr="00B86823" w:rsidRDefault="00B86823" w:rsidP="00B86823">
      <w:pPr>
        <w:pStyle w:val="EndNoteBibliography"/>
        <w:ind w:left="720" w:hanging="720"/>
        <w:rPr>
          <w:noProof/>
        </w:rPr>
      </w:pPr>
      <w:r w:rsidRPr="00B86823">
        <w:rPr>
          <w:noProof/>
        </w:rPr>
        <w:t xml:space="preserve">Marroig, G., &amp; Cheverud, J. M. (2005). Size as a line of least evolutionary resistance: diet and adaptive morphological radiation in new world monkeys. </w:t>
      </w:r>
      <w:r w:rsidRPr="00B86823">
        <w:rPr>
          <w:i/>
          <w:noProof/>
        </w:rPr>
        <w:t>Evolution, 59</w:t>
      </w:r>
      <w:r w:rsidRPr="00B86823">
        <w:rPr>
          <w:noProof/>
        </w:rPr>
        <w:t>(5), 1128-1142. doi:</w:t>
      </w:r>
      <w:hyperlink r:id="rId45" w:history="1">
        <w:r w:rsidRPr="00B86823">
          <w:rPr>
            <w:rStyle w:val="Hyperlink"/>
            <w:noProof/>
          </w:rPr>
          <w:t>https://doi.org/10.1111/j.0014-3820.2005.tb01049.x</w:t>
        </w:r>
      </w:hyperlink>
    </w:p>
    <w:p w14:paraId="6F08751E" w14:textId="34E2C787" w:rsidR="00B86823" w:rsidRPr="00B86823" w:rsidRDefault="00B86823" w:rsidP="00B86823">
      <w:pPr>
        <w:pStyle w:val="EndNoteBibliography"/>
        <w:ind w:left="720" w:hanging="720"/>
        <w:rPr>
          <w:noProof/>
        </w:rPr>
      </w:pPr>
      <w:r w:rsidRPr="00B86823">
        <w:rPr>
          <w:noProof/>
        </w:rPr>
        <w:t xml:space="preserve">Mitchell, D. R. (2019). The anatomy of a crushing bite: The specialised cranial mechanics of a giant extinct kangaroo. </w:t>
      </w:r>
      <w:r w:rsidRPr="00B86823">
        <w:rPr>
          <w:i/>
          <w:noProof/>
        </w:rPr>
        <w:t>PLOS ONE, 14</w:t>
      </w:r>
      <w:r w:rsidRPr="00B86823">
        <w:rPr>
          <w:noProof/>
        </w:rPr>
        <w:t>(9), e0221287. doi:</w:t>
      </w:r>
      <w:hyperlink r:id="rId46" w:history="1">
        <w:r w:rsidRPr="00B86823">
          <w:rPr>
            <w:rStyle w:val="Hyperlink"/>
            <w:noProof/>
          </w:rPr>
          <w:t>https://doi.org/10.1371/journal.pone.0221287</w:t>
        </w:r>
      </w:hyperlink>
    </w:p>
    <w:p w14:paraId="3E363D7E" w14:textId="53699A5B" w:rsidR="00B86823" w:rsidRPr="00B86823" w:rsidRDefault="00B86823" w:rsidP="00B86823">
      <w:pPr>
        <w:pStyle w:val="EndNoteBibliography"/>
        <w:ind w:left="720" w:hanging="720"/>
        <w:rPr>
          <w:noProof/>
        </w:rPr>
      </w:pPr>
      <w:r w:rsidRPr="00B86823">
        <w:rPr>
          <w:noProof/>
        </w:rPr>
        <w:t xml:space="preserve">Mitchell, D. R., Sherratt, E., Ledogar, J. A., &amp; Wroe, S. (2018). The biomechanics of foraging determines face length among kangaroos and their relatives. </w:t>
      </w:r>
      <w:r w:rsidRPr="00B86823">
        <w:rPr>
          <w:i/>
          <w:noProof/>
        </w:rPr>
        <w:t>Proceedings of the Royal Society B: Biological Sciences, 285</w:t>
      </w:r>
      <w:r w:rsidRPr="00B86823">
        <w:rPr>
          <w:noProof/>
        </w:rPr>
        <w:t>(1881), 20180845. doi:</w:t>
      </w:r>
      <w:hyperlink r:id="rId47" w:history="1">
        <w:r w:rsidRPr="00B86823">
          <w:rPr>
            <w:rStyle w:val="Hyperlink"/>
            <w:noProof/>
          </w:rPr>
          <w:t>https://doi.org/10.1098/rspb.2018.0845</w:t>
        </w:r>
      </w:hyperlink>
    </w:p>
    <w:p w14:paraId="0F23C535" w14:textId="77777777" w:rsidR="00B86823" w:rsidRPr="00B86823" w:rsidRDefault="00B86823" w:rsidP="00B86823">
      <w:pPr>
        <w:pStyle w:val="EndNoteBibliography"/>
        <w:ind w:left="720" w:hanging="720"/>
        <w:rPr>
          <w:noProof/>
        </w:rPr>
      </w:pPr>
      <w:r w:rsidRPr="00B86823">
        <w:rPr>
          <w:noProof/>
        </w:rPr>
        <w:t xml:space="preserve">Mitchell, D. R., Sherratt, E., &amp; Weisbecker, V. (2024). Facing the facts: Adaptive trade-offs along body size ranges determine mammalian craniofacial scaling </w:t>
      </w:r>
      <w:r w:rsidRPr="00B86823">
        <w:rPr>
          <w:i/>
          <w:noProof/>
        </w:rPr>
        <w:t>Biological Reviews, 99</w:t>
      </w:r>
      <w:r w:rsidRPr="00B86823">
        <w:rPr>
          <w:noProof/>
        </w:rPr>
        <w:t>(2), 496-524. doi:10.1111/brv.13032</w:t>
      </w:r>
    </w:p>
    <w:p w14:paraId="26A5678E" w14:textId="0E5F6E62" w:rsidR="00B86823" w:rsidRPr="00B86823" w:rsidRDefault="00B86823" w:rsidP="00B86823">
      <w:pPr>
        <w:pStyle w:val="EndNoteBibliography"/>
        <w:ind w:left="720" w:hanging="720"/>
        <w:rPr>
          <w:noProof/>
        </w:rPr>
      </w:pPr>
      <w:r w:rsidRPr="00B86823">
        <w:rPr>
          <w:noProof/>
        </w:rPr>
        <w:lastRenderedPageBreak/>
        <w:t xml:space="preserve">Murray, B. R., Dickman, C. R., Watts, C. H. S., &amp; Morton, S. R. (1999). The dietary ecology of Australian rodents. </w:t>
      </w:r>
      <w:r w:rsidRPr="00B86823">
        <w:rPr>
          <w:i/>
          <w:noProof/>
        </w:rPr>
        <w:t>Wildlife Research, 26</w:t>
      </w:r>
      <w:r w:rsidRPr="00B86823">
        <w:rPr>
          <w:noProof/>
        </w:rPr>
        <w:t>(6), 857-858. doi:</w:t>
      </w:r>
      <w:hyperlink r:id="rId48" w:history="1">
        <w:r w:rsidRPr="00B86823">
          <w:rPr>
            <w:rStyle w:val="Hyperlink"/>
            <w:noProof/>
          </w:rPr>
          <w:t>https://doi.org/10.1071/WR97046_CO</w:t>
        </w:r>
      </w:hyperlink>
    </w:p>
    <w:p w14:paraId="5164E4EB" w14:textId="7BCD4EE9" w:rsidR="00B86823" w:rsidRPr="00B86823" w:rsidRDefault="00B86823" w:rsidP="00B86823">
      <w:pPr>
        <w:pStyle w:val="EndNoteBibliography"/>
        <w:ind w:left="720" w:hanging="720"/>
        <w:rPr>
          <w:noProof/>
        </w:rPr>
      </w:pPr>
      <w:r w:rsidRPr="00B86823">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B86823">
        <w:rPr>
          <w:i/>
          <w:noProof/>
        </w:rPr>
        <w:t xml:space="preserve">R package version 2.6-4 </w:t>
      </w:r>
      <w:hyperlink r:id="rId49" w:history="1">
        <w:r w:rsidRPr="00B86823">
          <w:rPr>
            <w:rStyle w:val="Hyperlink"/>
            <w:i/>
            <w:noProof/>
          </w:rPr>
          <w:t>https://CRAN.R-project.org/package=vegan</w:t>
        </w:r>
      </w:hyperlink>
      <w:r w:rsidRPr="00B86823">
        <w:rPr>
          <w:noProof/>
        </w:rPr>
        <w:t xml:space="preserve">. </w:t>
      </w:r>
    </w:p>
    <w:p w14:paraId="3C626CC1" w14:textId="4A92477E" w:rsidR="00B86823" w:rsidRPr="00B86823" w:rsidRDefault="00B86823" w:rsidP="00B86823">
      <w:pPr>
        <w:pStyle w:val="EndNoteBibliography"/>
        <w:ind w:left="720" w:hanging="720"/>
        <w:rPr>
          <w:noProof/>
        </w:rPr>
      </w:pPr>
      <w:r w:rsidRPr="00B86823">
        <w:rPr>
          <w:noProof/>
        </w:rPr>
        <w:t xml:space="preserve">R Core Team. (2023). R: A Language and Environment for Statistical Computing_. . </w:t>
      </w:r>
      <w:r w:rsidRPr="00B86823">
        <w:rPr>
          <w:i/>
          <w:noProof/>
        </w:rPr>
        <w:t xml:space="preserve">R Foundation for Statistical Computing, Vienna, Austria. </w:t>
      </w:r>
      <w:hyperlink r:id="rId50" w:history="1">
        <w:r w:rsidRPr="00B86823">
          <w:rPr>
            <w:rStyle w:val="Hyperlink"/>
            <w:i/>
            <w:noProof/>
          </w:rPr>
          <w:t>https://www.R-project.org/</w:t>
        </w:r>
      </w:hyperlink>
      <w:r w:rsidRPr="00B86823">
        <w:rPr>
          <w:noProof/>
        </w:rPr>
        <w:t xml:space="preserve">. </w:t>
      </w:r>
    </w:p>
    <w:p w14:paraId="05ED18D6" w14:textId="26AFD8E2" w:rsidR="00B86823" w:rsidRPr="00B86823" w:rsidRDefault="00B86823" w:rsidP="00B86823">
      <w:pPr>
        <w:pStyle w:val="EndNoteBibliography"/>
        <w:ind w:left="720" w:hanging="720"/>
        <w:rPr>
          <w:noProof/>
        </w:rPr>
      </w:pPr>
      <w:r w:rsidRPr="00B86823">
        <w:rPr>
          <w:noProof/>
        </w:rPr>
        <w:t xml:space="preserve">Samuels, J. X. (2009). Cranial morphology and dietary habits of rodents. </w:t>
      </w:r>
      <w:r w:rsidRPr="00B86823">
        <w:rPr>
          <w:i/>
          <w:noProof/>
        </w:rPr>
        <w:t>Zoological Journal of the Linnean Society, 156</w:t>
      </w:r>
      <w:r w:rsidRPr="00B86823">
        <w:rPr>
          <w:noProof/>
        </w:rPr>
        <w:t>(4), 864-888. doi:</w:t>
      </w:r>
      <w:hyperlink r:id="rId51" w:history="1">
        <w:r w:rsidRPr="00B86823">
          <w:rPr>
            <w:rStyle w:val="Hyperlink"/>
            <w:noProof/>
          </w:rPr>
          <w:t>https://doi.org/10.1111/j.1096-3642.2009.00502.x</w:t>
        </w:r>
      </w:hyperlink>
    </w:p>
    <w:p w14:paraId="2653ADC0" w14:textId="1DDE3673" w:rsidR="00B86823" w:rsidRPr="00B86823" w:rsidRDefault="00B86823" w:rsidP="00B86823">
      <w:pPr>
        <w:pStyle w:val="EndNoteBibliography"/>
        <w:ind w:left="720" w:hanging="720"/>
        <w:rPr>
          <w:noProof/>
        </w:rPr>
      </w:pPr>
      <w:r w:rsidRPr="00B86823">
        <w:rPr>
          <w:noProof/>
        </w:rPr>
        <w:t xml:space="preserve">Sansalone, G., Colangelo, P., Loy, A., Raia, P., Wroe, S., &amp; Piras, P. (2019). Impact of transition to a subterranean lifestyle on morphological disparity and integration in talpid moles (Mammalia, Talpidae). </w:t>
      </w:r>
      <w:r w:rsidRPr="00B86823">
        <w:rPr>
          <w:i/>
          <w:noProof/>
        </w:rPr>
        <w:t>BMC Evolutionary Biology, 19</w:t>
      </w:r>
      <w:r w:rsidRPr="00B86823">
        <w:rPr>
          <w:noProof/>
        </w:rPr>
        <w:t>(1), 179. doi:</w:t>
      </w:r>
      <w:hyperlink r:id="rId52" w:history="1">
        <w:r w:rsidRPr="00B86823">
          <w:rPr>
            <w:rStyle w:val="Hyperlink"/>
            <w:noProof/>
          </w:rPr>
          <w:t>https://doi.org/10.1186/s12862-019-1506-0</w:t>
        </w:r>
      </w:hyperlink>
    </w:p>
    <w:p w14:paraId="2ACDA06D" w14:textId="77777777" w:rsidR="00B86823" w:rsidRPr="00B86823" w:rsidRDefault="00B86823" w:rsidP="00B86823">
      <w:pPr>
        <w:pStyle w:val="EndNoteBibliography"/>
        <w:ind w:left="720" w:hanging="720"/>
        <w:rPr>
          <w:noProof/>
        </w:rPr>
      </w:pPr>
      <w:r w:rsidRPr="00B86823">
        <w:rPr>
          <w:noProof/>
        </w:rPr>
        <w:t xml:space="preserve">Segura, V., Flores, D., &amp; Deferrari, G. (2023). Comparison of skull growth in two ecosystem modifiers: beavers Castor canadensis (Rodentia: Castoridae) and muskrats Ondatra zibethicus (Rodentia: Cricetidae). </w:t>
      </w:r>
      <w:r w:rsidRPr="00B86823">
        <w:rPr>
          <w:i/>
          <w:noProof/>
        </w:rPr>
        <w:t>Zoologischer Anzeiger, 304</w:t>
      </w:r>
      <w:r w:rsidRPr="00B86823">
        <w:rPr>
          <w:noProof/>
        </w:rPr>
        <w:t xml:space="preserve">, 61-72. </w:t>
      </w:r>
    </w:p>
    <w:p w14:paraId="2F375033" w14:textId="77777777" w:rsidR="00B86823" w:rsidRPr="00B86823" w:rsidRDefault="00B86823" w:rsidP="00B86823">
      <w:pPr>
        <w:pStyle w:val="EndNoteBibliography"/>
        <w:ind w:left="720" w:hanging="720"/>
        <w:rPr>
          <w:noProof/>
        </w:rPr>
      </w:pPr>
      <w:r w:rsidRPr="00B86823">
        <w:rPr>
          <w:noProof/>
        </w:rPr>
        <w:t xml:space="preserve">Singleton, M. (2005). Functional shape variation in the Cercopithecine masticatory complex. In D. E. Slice (Ed.), </w:t>
      </w:r>
      <w:r w:rsidRPr="00B86823">
        <w:rPr>
          <w:i/>
          <w:noProof/>
        </w:rPr>
        <w:t>Modern Morphometrics in Physical Anthropology</w:t>
      </w:r>
      <w:r w:rsidRPr="00B86823">
        <w:rPr>
          <w:noProof/>
        </w:rPr>
        <w:t xml:space="preserve"> (pp. 319-348). Boston, MA: Springer US.</w:t>
      </w:r>
    </w:p>
    <w:p w14:paraId="1678EB95" w14:textId="4A7D0CF5" w:rsidR="00B86823" w:rsidRPr="00B86823" w:rsidRDefault="00B86823" w:rsidP="00B86823">
      <w:pPr>
        <w:pStyle w:val="EndNoteBibliography"/>
        <w:ind w:left="720" w:hanging="720"/>
        <w:rPr>
          <w:noProof/>
        </w:rPr>
      </w:pPr>
      <w:r w:rsidRPr="00B86823">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86823">
        <w:rPr>
          <w:i/>
          <w:noProof/>
        </w:rPr>
        <w:t>Science Advances, 7</w:t>
      </w:r>
      <w:r w:rsidRPr="00B86823">
        <w:rPr>
          <w:noProof/>
        </w:rPr>
        <w:t>(18), eabe2101. doi:</w:t>
      </w:r>
      <w:hyperlink r:id="rId53" w:history="1">
        <w:r w:rsidRPr="00B86823">
          <w:rPr>
            <w:rStyle w:val="Hyperlink"/>
            <w:noProof/>
          </w:rPr>
          <w:t>https://doi.org/10.1126/sciadv.abe2101</w:t>
        </w:r>
      </w:hyperlink>
    </w:p>
    <w:p w14:paraId="7C49F311" w14:textId="159CC0E5" w:rsidR="00B86823" w:rsidRPr="00B86823" w:rsidRDefault="00B86823" w:rsidP="00B86823">
      <w:pPr>
        <w:pStyle w:val="EndNoteBibliography"/>
        <w:ind w:left="720" w:hanging="720"/>
        <w:rPr>
          <w:noProof/>
        </w:rPr>
      </w:pPr>
      <w:r w:rsidRPr="00B86823">
        <w:rPr>
          <w:noProof/>
        </w:rPr>
        <w:t xml:space="preserve">Smissen, P. J., &amp; Rowe, K. C. (2018). Repeated biome transitions in the evolution of Australian rodents. </w:t>
      </w:r>
      <w:r w:rsidRPr="00B86823">
        <w:rPr>
          <w:i/>
          <w:noProof/>
        </w:rPr>
        <w:t>Molecular Phylogenetics and Evolution, 128</w:t>
      </w:r>
      <w:r w:rsidRPr="00B86823">
        <w:rPr>
          <w:noProof/>
        </w:rPr>
        <w:t>, 182-191. doi:</w:t>
      </w:r>
      <w:hyperlink r:id="rId54" w:history="1">
        <w:r w:rsidRPr="00B86823">
          <w:rPr>
            <w:rStyle w:val="Hyperlink"/>
            <w:noProof/>
          </w:rPr>
          <w:t>https://doi.org/10.1016/j.ympev.2018.07.015</w:t>
        </w:r>
      </w:hyperlink>
    </w:p>
    <w:p w14:paraId="7A47D25D" w14:textId="18B22244" w:rsidR="00B86823" w:rsidRPr="00B86823" w:rsidRDefault="00B86823" w:rsidP="00B86823">
      <w:pPr>
        <w:pStyle w:val="EndNoteBibliography"/>
        <w:ind w:left="720" w:hanging="720"/>
        <w:rPr>
          <w:noProof/>
        </w:rPr>
      </w:pPr>
      <w:r w:rsidRPr="00B86823">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86823">
        <w:rPr>
          <w:i/>
          <w:noProof/>
        </w:rPr>
        <w:t>Australopithecus africanus</w:t>
      </w:r>
      <w:r w:rsidRPr="00B86823">
        <w:rPr>
          <w:noProof/>
        </w:rPr>
        <w:t xml:space="preserve">. </w:t>
      </w:r>
      <w:r w:rsidRPr="00B86823">
        <w:rPr>
          <w:i/>
          <w:noProof/>
        </w:rPr>
        <w:t>Proceedings of the National Academy of Sciences, 106</w:t>
      </w:r>
      <w:r w:rsidRPr="00B86823">
        <w:rPr>
          <w:noProof/>
        </w:rPr>
        <w:t>(7), 2124-2129. doi:</w:t>
      </w:r>
      <w:hyperlink r:id="rId55" w:history="1">
        <w:r w:rsidRPr="00B86823">
          <w:rPr>
            <w:rStyle w:val="Hyperlink"/>
            <w:noProof/>
          </w:rPr>
          <w:t>https://doi.org/10.1073/pnas.0808730106</w:t>
        </w:r>
      </w:hyperlink>
    </w:p>
    <w:p w14:paraId="294191E8" w14:textId="77777777" w:rsidR="00B86823" w:rsidRPr="00B86823" w:rsidRDefault="00B86823" w:rsidP="00B86823">
      <w:pPr>
        <w:pStyle w:val="EndNoteBibliography"/>
        <w:ind w:left="720" w:hanging="720"/>
        <w:rPr>
          <w:noProof/>
        </w:rPr>
      </w:pPr>
      <w:r w:rsidRPr="00B86823">
        <w:rPr>
          <w:noProof/>
        </w:rPr>
        <w:t xml:space="preserve">Van Valkenburgh, B. (1989). Carnivore dental adaptations and diet: A study of trophic diversity within Guilds. In J. L. Gittleman (Ed.), </w:t>
      </w:r>
      <w:r w:rsidRPr="00B86823">
        <w:rPr>
          <w:i/>
          <w:noProof/>
        </w:rPr>
        <w:t>Carnivore Behavior, Ecology, and Evolution</w:t>
      </w:r>
      <w:r w:rsidRPr="00B86823">
        <w:rPr>
          <w:noProof/>
        </w:rPr>
        <w:t xml:space="preserve"> (pp. 410-436). Boston, MA: Springer US.</w:t>
      </w:r>
    </w:p>
    <w:p w14:paraId="20309C1E" w14:textId="3FC35155" w:rsidR="00B86823" w:rsidRPr="00B86823" w:rsidRDefault="00B86823" w:rsidP="00B86823">
      <w:pPr>
        <w:pStyle w:val="EndNoteBibliography"/>
        <w:ind w:left="720" w:hanging="720"/>
        <w:rPr>
          <w:noProof/>
        </w:rPr>
      </w:pPr>
      <w:r w:rsidRPr="00B86823">
        <w:rPr>
          <w:noProof/>
        </w:rPr>
        <w:t xml:space="preserve">Voje, K. L., Hansen, T. F., Egset, C. K., Bolstad, G. H., &amp; Pélabon, C. (2014). Allometric constraints and the evolution of allometry. </w:t>
      </w:r>
      <w:r w:rsidRPr="00B86823">
        <w:rPr>
          <w:i/>
          <w:noProof/>
        </w:rPr>
        <w:t>Evolution, 68</w:t>
      </w:r>
      <w:r w:rsidRPr="00B86823">
        <w:rPr>
          <w:noProof/>
        </w:rPr>
        <w:t>(3), 866-885. doi:</w:t>
      </w:r>
      <w:hyperlink r:id="rId56" w:history="1">
        <w:r w:rsidRPr="00B86823">
          <w:rPr>
            <w:rStyle w:val="Hyperlink"/>
            <w:noProof/>
          </w:rPr>
          <w:t>https://doi.org/10.1111/evo.12312</w:t>
        </w:r>
      </w:hyperlink>
    </w:p>
    <w:p w14:paraId="1BB66DBF" w14:textId="540D53B2" w:rsidR="00B86823" w:rsidRPr="00B86823" w:rsidRDefault="00B86823" w:rsidP="00B86823">
      <w:pPr>
        <w:pStyle w:val="EndNoteBibliography"/>
        <w:ind w:left="720" w:hanging="720"/>
        <w:rPr>
          <w:noProof/>
        </w:rPr>
      </w:pPr>
      <w:r w:rsidRPr="00B86823">
        <w:rPr>
          <w:noProof/>
        </w:rPr>
        <w:lastRenderedPageBreak/>
        <w:t xml:space="preserve">Weisbecker, V., Guillerme, T., Speck, C., Sherratt, E., Abraha, H. M., Sharp, A. C., Terhune, C. E., Collins, S., Johnston, S., &amp; Panagiotopoulou, O. (2019). Individual variation of the masticatory system dominates 3D skull shape in the herbivory-adapted marsupial wombats. </w:t>
      </w:r>
      <w:r w:rsidRPr="00B86823">
        <w:rPr>
          <w:i/>
          <w:noProof/>
        </w:rPr>
        <w:t>Frontiers in Zoology, 16</w:t>
      </w:r>
      <w:r w:rsidRPr="00B86823">
        <w:rPr>
          <w:noProof/>
        </w:rPr>
        <w:t>(1), 41. doi:</w:t>
      </w:r>
      <w:hyperlink r:id="rId57" w:history="1">
        <w:r w:rsidRPr="00B86823">
          <w:rPr>
            <w:rStyle w:val="Hyperlink"/>
            <w:noProof/>
          </w:rPr>
          <w:t>https://doi.org/10.1186/s12983-019-0338-5</w:t>
        </w:r>
      </w:hyperlink>
    </w:p>
    <w:p w14:paraId="3D0D2AB7" w14:textId="2CB2C1D8" w:rsidR="00B86823" w:rsidRPr="00B86823" w:rsidRDefault="00B86823" w:rsidP="00B86823">
      <w:pPr>
        <w:pStyle w:val="EndNoteBibliography"/>
        <w:ind w:left="720" w:hanging="720"/>
        <w:rPr>
          <w:noProof/>
        </w:rPr>
      </w:pPr>
      <w:r w:rsidRPr="00B86823">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B86823">
        <w:rPr>
          <w:i/>
          <w:noProof/>
        </w:rPr>
        <w:t>Evolution, 75</w:t>
      </w:r>
      <w:r w:rsidRPr="00B86823">
        <w:rPr>
          <w:noProof/>
        </w:rPr>
        <w:t>(3), 625-640. doi:</w:t>
      </w:r>
      <w:hyperlink r:id="rId58" w:history="1">
        <w:r w:rsidRPr="00B86823">
          <w:rPr>
            <w:rStyle w:val="Hyperlink"/>
            <w:noProof/>
          </w:rPr>
          <w:t>https://doi.org/10.1111/evo.14163</w:t>
        </w:r>
      </w:hyperlink>
    </w:p>
    <w:p w14:paraId="7A1CC230" w14:textId="18E24BBA" w:rsidR="00B86823" w:rsidRPr="00B86823" w:rsidRDefault="00B86823" w:rsidP="00B86823">
      <w:pPr>
        <w:pStyle w:val="EndNoteBibliography"/>
        <w:ind w:left="720" w:hanging="720"/>
        <w:rPr>
          <w:noProof/>
        </w:rPr>
      </w:pPr>
      <w:r w:rsidRPr="00B86823">
        <w:rPr>
          <w:noProof/>
        </w:rPr>
        <w:t xml:space="preserve">Williams, S. H., Peiffer, E., &amp; Ford, S. (2009). Gape and bite force in the rodents </w:t>
      </w:r>
      <w:r w:rsidRPr="00B86823">
        <w:rPr>
          <w:i/>
          <w:noProof/>
        </w:rPr>
        <w:t>Onychomys leucogaster</w:t>
      </w:r>
      <w:r w:rsidRPr="00B86823">
        <w:rPr>
          <w:noProof/>
        </w:rPr>
        <w:t xml:space="preserve"> and </w:t>
      </w:r>
      <w:r w:rsidRPr="00B86823">
        <w:rPr>
          <w:i/>
          <w:noProof/>
        </w:rPr>
        <w:t>Peromyscus maniculatus</w:t>
      </w:r>
      <w:r w:rsidRPr="00B86823">
        <w:rPr>
          <w:noProof/>
        </w:rPr>
        <w:t xml:space="preserve">: Does jaw-muscle anatomy predict performance? </w:t>
      </w:r>
      <w:r w:rsidRPr="00B86823">
        <w:rPr>
          <w:i/>
          <w:noProof/>
        </w:rPr>
        <w:t>Journal of Morphology, 270</w:t>
      </w:r>
      <w:r w:rsidRPr="00B86823">
        <w:rPr>
          <w:noProof/>
        </w:rPr>
        <w:t>(11), 1338-1347. doi:</w:t>
      </w:r>
      <w:hyperlink r:id="rId59" w:history="1">
        <w:r w:rsidRPr="00B86823">
          <w:rPr>
            <w:rStyle w:val="Hyperlink"/>
            <w:noProof/>
          </w:rPr>
          <w:t>https://doi.org/10.1002/jmor.10761</w:t>
        </w:r>
      </w:hyperlink>
    </w:p>
    <w:p w14:paraId="48F756B0" w14:textId="3CEE56AD" w:rsidR="00B86823" w:rsidRPr="00B86823" w:rsidRDefault="00B86823" w:rsidP="00B86823">
      <w:pPr>
        <w:pStyle w:val="EndNoteBibliography"/>
        <w:ind w:left="720" w:hanging="720"/>
        <w:rPr>
          <w:noProof/>
        </w:rPr>
      </w:pPr>
      <w:r w:rsidRPr="00B86823">
        <w:rPr>
          <w:noProof/>
        </w:rPr>
        <w:t xml:space="preserve">Wilson, L. A. B. (2013). Allometric disparity in rodent evolution. </w:t>
      </w:r>
      <w:r w:rsidRPr="00B86823">
        <w:rPr>
          <w:i/>
          <w:noProof/>
        </w:rPr>
        <w:t>Ecology and Evolution, 3</w:t>
      </w:r>
      <w:r w:rsidRPr="00B86823">
        <w:rPr>
          <w:noProof/>
        </w:rPr>
        <w:t>(4), 971-984. doi:</w:t>
      </w:r>
      <w:hyperlink r:id="rId60" w:history="1">
        <w:r w:rsidRPr="00B86823">
          <w:rPr>
            <w:rStyle w:val="Hyperlink"/>
            <w:noProof/>
          </w:rPr>
          <w:t>https://doi.org/10.1002/ece3.521</w:t>
        </w:r>
      </w:hyperlink>
    </w:p>
    <w:p w14:paraId="1F764565" w14:textId="4BA3C456" w:rsidR="00B86823" w:rsidRPr="00B86823" w:rsidRDefault="00B86823" w:rsidP="00B86823">
      <w:pPr>
        <w:pStyle w:val="EndNoteBibliography"/>
        <w:ind w:left="720" w:hanging="720"/>
        <w:rPr>
          <w:noProof/>
        </w:rPr>
      </w:pPr>
      <w:r w:rsidRPr="00B86823">
        <w:rPr>
          <w:noProof/>
        </w:rPr>
        <w:t xml:space="preserve">Young, N. M., Linde-Medina, M., Fondon, J. W., Hallgrímsson, B., &amp; Marcucio, R. S. (2017). Craniofacial diversification in the domestic pigeon and the evolution of the avian skull. </w:t>
      </w:r>
      <w:r w:rsidRPr="00B86823">
        <w:rPr>
          <w:i/>
          <w:noProof/>
        </w:rPr>
        <w:t>Nature Ecology &amp; Evolution, 1</w:t>
      </w:r>
      <w:r w:rsidRPr="00B86823">
        <w:rPr>
          <w:noProof/>
        </w:rPr>
        <w:t>(4), 0095. doi:</w:t>
      </w:r>
      <w:hyperlink r:id="rId61" w:history="1">
        <w:r w:rsidRPr="00B86823">
          <w:rPr>
            <w:rStyle w:val="Hyperlink"/>
            <w:noProof/>
          </w:rPr>
          <w:t>https://doi.org/10.1038/s41559-017-0095</w:t>
        </w:r>
      </w:hyperlink>
    </w:p>
    <w:p w14:paraId="3E12B2EF" w14:textId="77777777" w:rsidR="00B86823" w:rsidRPr="00B86823" w:rsidRDefault="00B86823" w:rsidP="00B86823">
      <w:pPr>
        <w:pStyle w:val="EndNoteBibliography"/>
        <w:ind w:left="720" w:hanging="720"/>
        <w:rPr>
          <w:noProof/>
        </w:rPr>
      </w:pPr>
      <w:r w:rsidRPr="00B86823">
        <w:rPr>
          <w:noProof/>
        </w:rPr>
        <w:t xml:space="preserve">Zelditch, M. L., &amp; Swiderski, D. L. (2023). The predictable complexity of evolutionary allometry. </w:t>
      </w:r>
      <w:r w:rsidRPr="00B86823">
        <w:rPr>
          <w:i/>
          <w:noProof/>
        </w:rPr>
        <w:t>Evolutionary Biology, 50</w:t>
      </w:r>
      <w:r w:rsidRPr="00B86823">
        <w:rPr>
          <w:noProof/>
        </w:rPr>
        <w:t xml:space="preserve">(1), 56-77. </w:t>
      </w:r>
    </w:p>
    <w:p w14:paraId="30972CFF" w14:textId="1A72B83D"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2"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3"/>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4"/>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0033BE">
      <w:footerReference w:type="default" r:id="rId65"/>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B6472" w14:textId="77777777" w:rsidR="000033BE" w:rsidRDefault="000033BE">
      <w:r>
        <w:separator/>
      </w:r>
    </w:p>
  </w:endnote>
  <w:endnote w:type="continuationSeparator" w:id="0">
    <w:p w14:paraId="3691EC8D" w14:textId="77777777" w:rsidR="000033BE" w:rsidRDefault="00003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C1574" w14:textId="77777777" w:rsidR="000033BE" w:rsidRDefault="000033BE">
      <w:r>
        <w:separator/>
      </w:r>
    </w:p>
  </w:footnote>
  <w:footnote w:type="continuationSeparator" w:id="0">
    <w:p w14:paraId="05441982" w14:textId="77777777" w:rsidR="000033BE" w:rsidRDefault="00003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8922AE"/>
    <w:rsid w:val="00002B33"/>
    <w:rsid w:val="000033BE"/>
    <w:rsid w:val="00014915"/>
    <w:rsid w:val="0006003B"/>
    <w:rsid w:val="000640A4"/>
    <w:rsid w:val="000650EE"/>
    <w:rsid w:val="00076B55"/>
    <w:rsid w:val="0008082D"/>
    <w:rsid w:val="00092FE1"/>
    <w:rsid w:val="000B6A67"/>
    <w:rsid w:val="000D500A"/>
    <w:rsid w:val="000E15A6"/>
    <w:rsid w:val="000E694B"/>
    <w:rsid w:val="000E7AF4"/>
    <w:rsid w:val="001035B6"/>
    <w:rsid w:val="001040E1"/>
    <w:rsid w:val="00112A41"/>
    <w:rsid w:val="00122978"/>
    <w:rsid w:val="00127236"/>
    <w:rsid w:val="0013479C"/>
    <w:rsid w:val="00155A92"/>
    <w:rsid w:val="00174EF9"/>
    <w:rsid w:val="0019349F"/>
    <w:rsid w:val="001A1C0F"/>
    <w:rsid w:val="001B3685"/>
    <w:rsid w:val="001D2733"/>
    <w:rsid w:val="001D4B99"/>
    <w:rsid w:val="001D5FD2"/>
    <w:rsid w:val="001D7B39"/>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E7775"/>
    <w:rsid w:val="002F2D31"/>
    <w:rsid w:val="00305153"/>
    <w:rsid w:val="00323E39"/>
    <w:rsid w:val="003266F8"/>
    <w:rsid w:val="003408C3"/>
    <w:rsid w:val="0034292C"/>
    <w:rsid w:val="003455E2"/>
    <w:rsid w:val="003543F6"/>
    <w:rsid w:val="00381040"/>
    <w:rsid w:val="003A188B"/>
    <w:rsid w:val="003A5829"/>
    <w:rsid w:val="003B0500"/>
    <w:rsid w:val="003B404E"/>
    <w:rsid w:val="003B7E1E"/>
    <w:rsid w:val="003C14C3"/>
    <w:rsid w:val="003C7F90"/>
    <w:rsid w:val="003E4105"/>
    <w:rsid w:val="00422522"/>
    <w:rsid w:val="0043398A"/>
    <w:rsid w:val="004550BE"/>
    <w:rsid w:val="00480F1D"/>
    <w:rsid w:val="00481B35"/>
    <w:rsid w:val="00491B6E"/>
    <w:rsid w:val="00492FE4"/>
    <w:rsid w:val="00493544"/>
    <w:rsid w:val="004C3067"/>
    <w:rsid w:val="004C7554"/>
    <w:rsid w:val="004D0A02"/>
    <w:rsid w:val="004D38FD"/>
    <w:rsid w:val="004E1AAB"/>
    <w:rsid w:val="004F4B48"/>
    <w:rsid w:val="004F5580"/>
    <w:rsid w:val="00533639"/>
    <w:rsid w:val="00564AD8"/>
    <w:rsid w:val="00566919"/>
    <w:rsid w:val="00573D24"/>
    <w:rsid w:val="00581044"/>
    <w:rsid w:val="00582E1F"/>
    <w:rsid w:val="005B661F"/>
    <w:rsid w:val="005D14AF"/>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A14F8"/>
    <w:rsid w:val="006B7490"/>
    <w:rsid w:val="006E4A5B"/>
    <w:rsid w:val="00721492"/>
    <w:rsid w:val="007215C9"/>
    <w:rsid w:val="00743F31"/>
    <w:rsid w:val="00751EC7"/>
    <w:rsid w:val="0075246D"/>
    <w:rsid w:val="00775EF2"/>
    <w:rsid w:val="0079408D"/>
    <w:rsid w:val="007B38FA"/>
    <w:rsid w:val="007D2A7D"/>
    <w:rsid w:val="007F3B28"/>
    <w:rsid w:val="007F4F9A"/>
    <w:rsid w:val="007F54EC"/>
    <w:rsid w:val="0080015A"/>
    <w:rsid w:val="00805130"/>
    <w:rsid w:val="00837FC7"/>
    <w:rsid w:val="0087042B"/>
    <w:rsid w:val="008922AE"/>
    <w:rsid w:val="0089641F"/>
    <w:rsid w:val="008B1B35"/>
    <w:rsid w:val="008D0A12"/>
    <w:rsid w:val="008E0A28"/>
    <w:rsid w:val="008F58D9"/>
    <w:rsid w:val="009063D8"/>
    <w:rsid w:val="0090753B"/>
    <w:rsid w:val="009145B2"/>
    <w:rsid w:val="00916840"/>
    <w:rsid w:val="00924ECB"/>
    <w:rsid w:val="00932518"/>
    <w:rsid w:val="00935EFD"/>
    <w:rsid w:val="009502DF"/>
    <w:rsid w:val="00956157"/>
    <w:rsid w:val="00960507"/>
    <w:rsid w:val="00976A94"/>
    <w:rsid w:val="0098026F"/>
    <w:rsid w:val="00994273"/>
    <w:rsid w:val="009942D1"/>
    <w:rsid w:val="009A4266"/>
    <w:rsid w:val="009A5291"/>
    <w:rsid w:val="009A7581"/>
    <w:rsid w:val="009E41FE"/>
    <w:rsid w:val="009E4BDB"/>
    <w:rsid w:val="009F559E"/>
    <w:rsid w:val="00A15124"/>
    <w:rsid w:val="00A21F2A"/>
    <w:rsid w:val="00A24879"/>
    <w:rsid w:val="00A30C95"/>
    <w:rsid w:val="00A40202"/>
    <w:rsid w:val="00A42C86"/>
    <w:rsid w:val="00A44BA0"/>
    <w:rsid w:val="00A6497B"/>
    <w:rsid w:val="00A65F2F"/>
    <w:rsid w:val="00A71B05"/>
    <w:rsid w:val="00A81B39"/>
    <w:rsid w:val="00A859F5"/>
    <w:rsid w:val="00A861D3"/>
    <w:rsid w:val="00A959CF"/>
    <w:rsid w:val="00AA6F15"/>
    <w:rsid w:val="00AB10B4"/>
    <w:rsid w:val="00AE0DCE"/>
    <w:rsid w:val="00AF057B"/>
    <w:rsid w:val="00AF59F6"/>
    <w:rsid w:val="00AF74E7"/>
    <w:rsid w:val="00B02AC1"/>
    <w:rsid w:val="00B0609F"/>
    <w:rsid w:val="00B1097F"/>
    <w:rsid w:val="00B27788"/>
    <w:rsid w:val="00B4001F"/>
    <w:rsid w:val="00B4519F"/>
    <w:rsid w:val="00B508B1"/>
    <w:rsid w:val="00B86823"/>
    <w:rsid w:val="00BA753C"/>
    <w:rsid w:val="00BB4074"/>
    <w:rsid w:val="00BD54DD"/>
    <w:rsid w:val="00BE4905"/>
    <w:rsid w:val="00BF18AC"/>
    <w:rsid w:val="00BF36EE"/>
    <w:rsid w:val="00BF6875"/>
    <w:rsid w:val="00C014AE"/>
    <w:rsid w:val="00C124ED"/>
    <w:rsid w:val="00C20C4B"/>
    <w:rsid w:val="00C248A2"/>
    <w:rsid w:val="00C41EB0"/>
    <w:rsid w:val="00C46768"/>
    <w:rsid w:val="00C62D76"/>
    <w:rsid w:val="00C75404"/>
    <w:rsid w:val="00C76B4F"/>
    <w:rsid w:val="00C77C9D"/>
    <w:rsid w:val="00CA15B6"/>
    <w:rsid w:val="00CA4AD8"/>
    <w:rsid w:val="00CD6888"/>
    <w:rsid w:val="00CF662F"/>
    <w:rsid w:val="00D37864"/>
    <w:rsid w:val="00D40434"/>
    <w:rsid w:val="00D54F21"/>
    <w:rsid w:val="00D63252"/>
    <w:rsid w:val="00D678AA"/>
    <w:rsid w:val="00D70DF0"/>
    <w:rsid w:val="00D769D6"/>
    <w:rsid w:val="00D95117"/>
    <w:rsid w:val="00DB09F3"/>
    <w:rsid w:val="00DB1D12"/>
    <w:rsid w:val="00DB4D1C"/>
    <w:rsid w:val="00DB7BF9"/>
    <w:rsid w:val="00DC75D6"/>
    <w:rsid w:val="00DF3B52"/>
    <w:rsid w:val="00E00B56"/>
    <w:rsid w:val="00E00FF4"/>
    <w:rsid w:val="00E2097B"/>
    <w:rsid w:val="00E24766"/>
    <w:rsid w:val="00E40BB6"/>
    <w:rsid w:val="00E5650C"/>
    <w:rsid w:val="00E91143"/>
    <w:rsid w:val="00EC6815"/>
    <w:rsid w:val="00ED28C2"/>
    <w:rsid w:val="00EE6B7A"/>
    <w:rsid w:val="00F02BB5"/>
    <w:rsid w:val="00F1272E"/>
    <w:rsid w:val="00F17323"/>
    <w:rsid w:val="00F372B1"/>
    <w:rsid w:val="00F43948"/>
    <w:rsid w:val="00F54CA6"/>
    <w:rsid w:val="00F560B0"/>
    <w:rsid w:val="00F637F6"/>
    <w:rsid w:val="00F723FD"/>
    <w:rsid w:val="00F8733B"/>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093/sysbio/syt025"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111/j.1558-5646.2010.01025.x" TargetMode="External"/><Relationship Id="rId42" Type="http://schemas.openxmlformats.org/officeDocument/2006/relationships/hyperlink" Target="https://doi.org/10.7717/peerj.5032" TargetMode="External"/><Relationship Id="rId47" Type="http://schemas.openxmlformats.org/officeDocument/2006/relationships/hyperlink" Target="https://doi.org/10.1098/rspb.2018.0845" TargetMode="External"/><Relationship Id="rId50" Type="http://schemas.openxmlformats.org/officeDocument/2006/relationships/hyperlink" Target="https://www.R-project.org/" TargetMode="External"/><Relationship Id="rId55" Type="http://schemas.openxmlformats.org/officeDocument/2006/relationships/hyperlink" Target="https://doi.org/10.1073/pnas.0808730106"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126/science.abm7525" TargetMode="External"/><Relationship Id="rId37" Type="http://schemas.openxmlformats.org/officeDocument/2006/relationships/hyperlink" Target="https://doi.org/10.1093/bioinformatics/btq166" TargetMode="External"/><Relationship Id="rId40" Type="http://schemas.openxmlformats.org/officeDocument/2006/relationships/hyperlink" Target="https://doi.org/10.7717/peerj.2453" TargetMode="External"/><Relationship Id="rId45" Type="http://schemas.openxmlformats.org/officeDocument/2006/relationships/hyperlink" Target="https://doi.org/10.1111/j.0014-3820.2005.tb01049.x" TargetMode="External"/><Relationship Id="rId53" Type="http://schemas.openxmlformats.org/officeDocument/2006/relationships/hyperlink" Target="https://doi.org/10.1126/sciadv.abe2101" TargetMode="External"/><Relationship Id="rId58" Type="http://schemas.openxmlformats.org/officeDocument/2006/relationships/hyperlink" Target="https://doi.org/10.1111/evo.14163"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2/wics.1460" TargetMode="External"/><Relationship Id="rId28" Type="http://schemas.openxmlformats.org/officeDocument/2006/relationships/hyperlink" Target="https://doi.org/10.1002/ece3.2704" TargetMode="External"/><Relationship Id="rId36" Type="http://schemas.openxmlformats.org/officeDocument/2006/relationships/hyperlink" Target="https://doi.org/10.1111/pala.12159" TargetMode="External"/><Relationship Id="rId49" Type="http://schemas.openxmlformats.org/officeDocument/2006/relationships/hyperlink" Target="https://CRAN.R-project.org/package=vegan" TargetMode="External"/><Relationship Id="rId57" Type="http://schemas.openxmlformats.org/officeDocument/2006/relationships/hyperlink" Target="https://doi.org/10.1186/s12983-019-0338-5" TargetMode="External"/><Relationship Id="rId61" Type="http://schemas.openxmlformats.org/officeDocument/2006/relationships/hyperlink" Target="https://doi.org/10.1038/s41559-017-00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086/505758" TargetMode="External"/><Relationship Id="rId44" Type="http://schemas.openxmlformats.org/officeDocument/2006/relationships/hyperlink" Target="https://doi.org/10.1186/s12862-016-0782-1" TargetMode="External"/><Relationship Id="rId52" Type="http://schemas.openxmlformats.org/officeDocument/2006/relationships/hyperlink" Target="https://doi.org/10.1186/s12862-019-1506-0" TargetMode="External"/><Relationship Id="rId60" Type="http://schemas.openxmlformats.org/officeDocument/2006/relationships/hyperlink" Target="https://doi.org/10.1002/ece3.52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002/jmor.20845" TargetMode="External"/><Relationship Id="rId35" Type="http://schemas.openxmlformats.org/officeDocument/2006/relationships/hyperlink" Target="https://doi.org/10.1098/rspb.2020.2085" TargetMode="External"/><Relationship Id="rId43" Type="http://schemas.openxmlformats.org/officeDocument/2006/relationships/hyperlink" Target="https://doi.org/10.1086/711398" TargetMode="External"/><Relationship Id="rId48" Type="http://schemas.openxmlformats.org/officeDocument/2006/relationships/hyperlink" Target="https://doi.org/10.1071/WR97046_CO" TargetMode="External"/><Relationship Id="rId56" Type="http://schemas.openxmlformats.org/officeDocument/2006/relationships/hyperlink" Target="https://doi.org/10.1111/evo.12312" TargetMode="External"/><Relationship Id="rId64"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doi.org/10.1111/j.1096-3642.2009.00502.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5281/zenodo.2620785" TargetMode="External"/><Relationship Id="rId38" Type="http://schemas.openxmlformats.org/officeDocument/2006/relationships/hyperlink" Target="https://doi.org/10.1111/j.1525-142X.2009.00347.x" TargetMode="External"/><Relationship Id="rId46" Type="http://schemas.openxmlformats.org/officeDocument/2006/relationships/hyperlink" Target="https://doi.org/10.1371/journal.pone.0221287" TargetMode="External"/><Relationship Id="rId59" Type="http://schemas.openxmlformats.org/officeDocument/2006/relationships/hyperlink" Target="https://doi.org/10.1002/jmor.10761" TargetMode="External"/><Relationship Id="rId67" Type="http://schemas.openxmlformats.org/officeDocument/2006/relationships/theme" Target="theme/theme1.xml"/><Relationship Id="rId20" Type="http://schemas.openxmlformats.org/officeDocument/2006/relationships/hyperlink" Target="https://doi.org/10.1073/pnas.1602683113" TargetMode="External"/><Relationship Id="rId41" Type="http://schemas.openxmlformats.org/officeDocument/2006/relationships/hyperlink" Target="https://doi.org/10.1111/j.1095-8312.1989.tb00500.x" TargetMode="External"/><Relationship Id="rId54" Type="http://schemas.openxmlformats.org/officeDocument/2006/relationships/hyperlink" Target="https://doi.org/10.1016/j.ympev.2018.07.015" TargetMode="External"/><Relationship Id="rId62" Type="http://schemas.openxmlformats.org/officeDocument/2006/relationships/hyperlink" Target="https://doi.org/10.5281/zenodo.1021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41</Pages>
  <Words>24086</Words>
  <Characters>137292</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108</cp:revision>
  <cp:lastPrinted>2024-04-02T09:24:00Z</cp:lastPrinted>
  <dcterms:created xsi:type="dcterms:W3CDTF">2023-11-21T06:21:00Z</dcterms:created>
  <dcterms:modified xsi:type="dcterms:W3CDTF">2024-04-02T10:53:00Z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