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FB9855F"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t xml:space="preserve">. </w:t>
      </w: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xml:space="preserve">, </w:t>
      </w:r>
      <w:r w:rsidR="004550BE">
        <w:rPr>
          <w:noProof/>
        </w:rPr>
        <w:lastRenderedPageBreak/>
        <w:t>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769BE26"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6B75804C" w14:textId="62676BFE" w:rsidR="00305153" w:rsidRDefault="00305153">
      <w:pPr>
        <w:spacing w:line="480" w:lineRule="auto"/>
      </w:pPr>
      <w:r>
        <w:lastRenderedPageBreak/>
        <w:t>EXPLAIN ALLOMETRY RESIDUALS EARLY AROUND HERE</w:t>
      </w:r>
    </w:p>
    <w:p w14:paraId="468692D1" w14:textId="3BFB1E8D" w:rsidR="008922AE" w:rsidRDefault="00000000">
      <w:pPr>
        <w:spacing w:line="480" w:lineRule="auto"/>
      </w:pPr>
      <w:r>
        <w:t xml:space="preserve">The rodent sample assessed in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Ornstein-Uhlenbeck pattern of shape divergence through tim</w:t>
      </w:r>
      <w:r w:rsidR="00AE0DCE" w:rsidRPr="00AE0DCE">
        <w:rPr>
          <w:highlight w:val="yellow"/>
        </w:rPr>
        <w:t>e</w:t>
      </w:r>
      <w:r w:rsidRPr="00AE0DCE">
        <w:rPr>
          <w:highlight w:val="yellow"/>
        </w:rPr>
        <w:t>. We would also expect the morphological distances among species to be associated with the evolution of optimal shapes within the samples’ maximum size range.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109DF5CF"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t>
      </w:r>
      <w:r>
        <w:lastRenderedPageBreak/>
        <w:t xml:space="preserve">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region. </w:t>
      </w:r>
      <w:r w:rsidR="007F4F9A">
        <w:t xml:space="preserve">Removing the effects of size from the shape variation </w:t>
      </w:r>
      <w:r w:rsidR="00FB409C">
        <w:t xml:space="preserve">by analysing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4F64E93E" w:rsidR="008922AE" w:rsidRPr="00A861D3" w:rsidRDefault="00000000" w:rsidP="00DF3B52">
      <w:pPr>
        <w:spacing w:line="480" w:lineRule="auto"/>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r w:rsidR="0066115D" w:rsidRPr="0066115D">
        <w:rPr>
          <w:i/>
          <w:iCs/>
        </w:rPr>
        <w:t>mvMORPH</w:t>
      </w:r>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236D1F93" w:rsidR="00E00FF4" w:rsidRPr="00B0609F"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gls models of allometry under the three evolutionary scenarios to find out which evolutionary mode fits the evolution of allometry best. To identify </w:t>
      </w:r>
      <w:r w:rsidR="00E00FF4">
        <w:lastRenderedPageBreak/>
        <w:t xml:space="preserve">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4550BE">
        <w:t xml:space="preserve">Note that estimates of evolutionary mode are unlikely to be very robust because our samples size is relatively small </w:t>
      </w:r>
      <w:r w:rsidR="004550BE">
        <w:fldChar w:fldCharType="begin"/>
      </w:r>
      <w:r w:rsidR="004550BE">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rsidR="004550BE">
        <w:fldChar w:fldCharType="separate"/>
      </w:r>
      <w:r w:rsidR="004550BE">
        <w:rPr>
          <w:noProof/>
        </w:rPr>
        <w:t>(Cooper</w:t>
      </w:r>
      <w:r w:rsidR="004550BE" w:rsidRPr="004550BE">
        <w:rPr>
          <w:i/>
          <w:noProof/>
        </w:rPr>
        <w:t xml:space="preserve"> et al.</w:t>
      </w:r>
      <w:r w:rsidR="004550BE">
        <w:rPr>
          <w:noProof/>
        </w:rPr>
        <w:t>, 2016)</w:t>
      </w:r>
      <w:r w:rsidR="004550BE">
        <w:fldChar w:fldCharType="end"/>
      </w:r>
      <w:r w:rsidR="004550BE">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rsidR="004550BE">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r w:rsidR="00A859F5">
        <w:rPr>
          <w:i/>
          <w:iCs/>
        </w:rPr>
        <w:t>geomorph</w:t>
      </w:r>
      <w:r w:rsidR="00680FC6">
        <w:t xml:space="preserve"> in the context of Brownian Motion models</w:t>
      </w:r>
      <w:r w:rsidR="00837FC7">
        <w:t>.</w:t>
      </w:r>
      <w:r w:rsidR="00B0609F">
        <w:t xml:space="preserve"> Lastly, we also investigated the most likely evolutionary mode for log-transformed centroid size through functionalities in the </w:t>
      </w:r>
      <w:r w:rsidR="00B0609F">
        <w:rPr>
          <w:i/>
          <w:iCs/>
        </w:rPr>
        <w:t>Phytools</w:t>
      </w:r>
      <w:r w:rsidR="00B0609F">
        <w:t xml:space="preserve"> package. Note that the </w:t>
      </w:r>
      <w:r w:rsidR="0089641F">
        <w:t>probabilities</w:t>
      </w:r>
      <w:r w:rsidR="00B0609F">
        <w:t xml:space="preserve"> from </w:t>
      </w:r>
      <w:r w:rsidR="00B0609F">
        <w:rPr>
          <w:i/>
          <w:iCs/>
        </w:rPr>
        <w:t>Phytools</w:t>
      </w:r>
      <w:r w:rsidR="00B0609F">
        <w:t xml:space="preserve"> are given as Akaike Information Criterion (AIC), </w:t>
      </w:r>
      <w:r w:rsidR="0089641F">
        <w:t xml:space="preserve">which are a special case of and similar to the GICs given by the mvMORPH package </w:t>
      </w:r>
      <w:r w:rsidR="0089641F">
        <w:fldChar w:fldCharType="begin"/>
      </w:r>
      <w:r w:rsidR="0089641F">
        <w:instrText xml:space="preserve"> ADDIN EN.CITE &lt;EndNote&gt;&lt;Cite&gt;&lt;Author&gt;Cavanaugh&lt;/Author&gt;&lt;Year&gt;2019&lt;/Year&gt;&lt;RecNum&gt;62&lt;/RecNum&gt;&lt;DisplayText&gt;(Cavanaugh &amp;amp; Neath, 2019)&lt;/DisplayText&gt;&lt;record&gt;&lt;rec-number&gt;62&lt;/rec-number&gt;&lt;foreign-keys&gt;&lt;key app="EN" db-id="p9vfsf2vj2tvwjevww9pzwfazxfv5txvw5ap" timestamp="1711581833"&gt;62&lt;/key&gt;&lt;/foreign-keys&gt;&lt;ref-type name="Journal Article"&gt;17&lt;/ref-type&gt;&lt;contributors&gt;&lt;authors&gt;&lt;author&gt;Cavanaugh, Joseph E.&lt;/author&gt;&lt;author&gt;Neath, Andrew A.&lt;/author&gt;&lt;/authors&gt;&lt;/contributors&gt;&lt;titles&gt;&lt;title&gt;The Akaike information criterion: Background, derivation, properties, application, interpretation, and refinements&lt;/title&gt;&lt;secondary-title&gt;WIREs Computational Statistics&lt;/secondary-title&gt;&lt;/titles&gt;&lt;periodical&gt;&lt;full-title&gt;WIREs Computational Statistics&lt;/full-title&gt;&lt;/periodical&gt;&lt;pages&gt;e1460&lt;/pages&gt;&lt;volume&gt;11&lt;/volume&gt;&lt;number&gt;3&lt;/number&gt;&lt;dates&gt;&lt;year&gt;2019&lt;/year&gt;&lt;/dates&gt;&lt;isbn&gt;1939-5108&lt;/isbn&gt;&lt;urls&gt;&lt;related-urls&gt;&lt;url&gt;https://wires.onlinelibrary.wiley.com/doi/abs/10.1002/wics.1460&lt;/url&gt;&lt;/related-urls&gt;&lt;/urls&gt;&lt;electronic-resource-num&gt;https://doi.org/10.1002/wics.1460&lt;/electronic-resource-num&gt;&lt;/record&gt;&lt;/Cite&gt;&lt;/EndNote&gt;</w:instrText>
      </w:r>
      <w:r w:rsidR="0089641F">
        <w:fldChar w:fldCharType="separate"/>
      </w:r>
      <w:r w:rsidR="0089641F">
        <w:rPr>
          <w:noProof/>
        </w:rPr>
        <w:t>(Cavanaugh &amp; Neath, 2019)</w:t>
      </w:r>
      <w:r w:rsidR="0089641F">
        <w:fldChar w:fldCharType="end"/>
      </w:r>
      <w:r w:rsidR="0089641F">
        <w:t>.</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r>
        <w:rPr>
          <w:highlight w:val="white"/>
        </w:rPr>
        <w:t>Visualising shape evolution</w:t>
      </w:r>
    </w:p>
    <w:p w14:paraId="39969688" w14:textId="77777777" w:rsidR="007F54EC" w:rsidRDefault="007F54EC" w:rsidP="007F54EC">
      <w:pPr>
        <w:spacing w:line="480" w:lineRule="auto"/>
        <w:rPr>
          <w:highlight w:val="white"/>
        </w:rPr>
      </w:pPr>
    </w:p>
    <w:p w14:paraId="5A12D0A3" w14:textId="70619D6B" w:rsidR="00E00FF4" w:rsidRDefault="007F54EC" w:rsidP="007F54EC">
      <w:pPr>
        <w:spacing w:line="480" w:lineRule="auto"/>
      </w:pPr>
      <w:r>
        <w:rPr>
          <w:highlight w:val="white"/>
        </w:rPr>
        <w:t xml:space="preserve">To complement our analyses of evolutionary modes, we also visualized the divergence of shape over evolutionary time. For this,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Pr>
          <w:highlight w:val="white"/>
        </w:rPr>
        <w:fldChar w:fldCharType="end"/>
      </w:r>
      <w:r>
        <w:rPr>
          <w:highlight w:val="white"/>
        </w:rPr>
        <w:t xml:space="preserve"> on our ultrametric time-calibrated phylogeny </w:t>
      </w:r>
      <w:r>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Pr>
          <w:highlight w:val="white"/>
        </w:rPr>
      </w:r>
      <w:r>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t xml:space="preserve">We expected this to provide a broad estimate </w:t>
      </w:r>
      <w:r>
        <w:lastRenderedPageBreak/>
        <w:t>of morphological divergences with and without allometry, but there are two caveats to this method: 1) pseudoreplication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bookmarkStart w:id="4" w:name="_heading=h.1t3h5sf"/>
      <w:bookmarkEnd w:id="4"/>
    </w:p>
    <w:p w14:paraId="1B97BB2A" w14:textId="2B496FFC" w:rsidR="00E00FF4" w:rsidRPr="00E00FF4" w:rsidRDefault="00E00FF4" w:rsidP="0066115D">
      <w:pPr>
        <w:spacing w:line="480" w:lineRule="auto"/>
        <w:rPr>
          <w:i/>
          <w:iCs/>
        </w:rPr>
      </w:pPr>
      <w:r>
        <w:rPr>
          <w:i/>
          <w:iCs/>
        </w:rPr>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geomorph-based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w:t>
      </w:r>
      <w:r>
        <w:rPr>
          <w:highlight w:val="white"/>
        </w:rPr>
        <w:lastRenderedPageBreak/>
        <w:t xml:space="preserve">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lastRenderedPageBreak/>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B92011" w:rsidR="00916840" w:rsidRDefault="00573D24" w:rsidP="00916840">
      <w:pPr>
        <w:spacing w:line="480" w:lineRule="auto"/>
        <w:rPr>
          <w:highlight w:val="white"/>
        </w:rPr>
      </w:pPr>
      <w:r>
        <w:t>We used geomorph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geomorph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xml:space="preserve">. The resulting evolutionary covariance matrix </w:t>
      </w:r>
      <w:r w:rsidR="00A81B39">
        <w:rPr>
          <w:highlight w:val="white"/>
        </w:rPr>
        <w:lastRenderedPageBreak/>
        <w:t>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r w:rsidR="00960507">
        <w:rPr>
          <w:i/>
          <w:iCs/>
          <w:highlight w:val="white"/>
        </w:rPr>
        <w:t xml:space="preserve">geomorph;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7CF2771F" w:rsidR="00BE4905" w:rsidRDefault="00BE4905" w:rsidP="00BE4905">
      <w:pPr>
        <w:spacing w:line="480" w:lineRule="auto"/>
        <w:rPr>
          <w:highlight w:val="white"/>
        </w:rPr>
      </w:pPr>
      <w:r>
        <w:rPr>
          <w:highlight w:val="white"/>
        </w:rPr>
        <w:t>The CR-coefficent-based</w:t>
      </w:r>
      <w:r w:rsidR="006550EF">
        <w:rPr>
          <w:highlight w:val="white"/>
        </w:rPr>
        <w:t xml:space="preserve"> modularity analyses</w:t>
      </w:r>
      <w:r>
        <w:rPr>
          <w:highlight w:val="white"/>
        </w:rPr>
        <w:t xml:space="preserve"> in geomorph</w:t>
      </w:r>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w:t>
      </w:r>
      <w:r>
        <w:rPr>
          <w:highlight w:val="white"/>
        </w:rPr>
        <w:lastRenderedPageBreak/>
        <w:t xml:space="preserve">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31BB7E71"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r w:rsidR="000E694B">
        <w:rPr>
          <w:i/>
          <w:highlight w:val="white"/>
        </w:rPr>
        <w:t>geomorph</w:t>
      </w:r>
      <w:r w:rsidR="000E694B">
        <w:rPr>
          <w:highlight w:val="white"/>
        </w:rPr>
        <w:t xml:space="preserve"> function </w:t>
      </w:r>
      <w:r w:rsidR="000E694B">
        <w:rPr>
          <w:i/>
          <w:highlight w:val="white"/>
        </w:rPr>
        <w:t>globalIntegration</w:t>
      </w:r>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 </w:instrText>
      </w:r>
      <w:r w:rsidR="004550BE">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EN.CITE.DATA </w:instrText>
      </w:r>
      <w:r w:rsidR="004550BE">
        <w:fldChar w:fldCharType="end"/>
      </w:r>
      <w:r w:rsidR="000E694B" w:rsidRPr="00573D24">
        <w:fldChar w:fldCharType="separate"/>
      </w:r>
      <w:r w:rsidR="004550BE">
        <w:rPr>
          <w:noProof/>
        </w:rPr>
        <w:t>(Bookstein, 2015; Evans</w:t>
      </w:r>
      <w:r w:rsidR="004550BE" w:rsidRPr="004550BE">
        <w:rPr>
          <w:i/>
          <w:noProof/>
        </w:rPr>
        <w:t xml:space="preserve"> et al.</w:t>
      </w:r>
      <w:r w:rsidR="004550BE">
        <w:rPr>
          <w:noProof/>
        </w:rPr>
        <w:t>, 2017; Sansalone</w:t>
      </w:r>
      <w:r w:rsidR="004550BE" w:rsidRPr="004550BE">
        <w:rPr>
          <w:i/>
          <w:noProof/>
        </w:rPr>
        <w:t xml:space="preserve"> et al.</w:t>
      </w:r>
      <w:r w:rsidR="004550BE">
        <w:rPr>
          <w:noProof/>
        </w:rPr>
        <w:t>, 2019; Young</w:t>
      </w:r>
      <w:r w:rsidR="004550BE" w:rsidRPr="004550BE">
        <w:rPr>
          <w:i/>
          <w:noProof/>
        </w:rPr>
        <w:t xml:space="preserve"> et al.</w:t>
      </w:r>
      <w:r w:rsidR="004550BE">
        <w:rPr>
          <w:noProof/>
        </w:rPr>
        <w:t>, 2017)</w:t>
      </w:r>
      <w:r w:rsidR="000E694B" w:rsidRPr="00573D24">
        <w:fldChar w:fldCharType="end"/>
      </w:r>
      <w:r w:rsidR="000E694B">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4AB3B7C6" w14:textId="77777777" w:rsidR="00323E39" w:rsidRDefault="00323E39" w:rsidP="000E694B">
      <w:pPr>
        <w:spacing w:line="480" w:lineRule="auto"/>
        <w:rPr>
          <w:highlight w:val="white"/>
        </w:rPr>
      </w:pPr>
    </w:p>
    <w:p w14:paraId="272A0554" w14:textId="77777777" w:rsidR="00323E39" w:rsidRDefault="00323E39" w:rsidP="000E694B">
      <w:pPr>
        <w:spacing w:line="480" w:lineRule="auto"/>
        <w:rPr>
          <w:highlight w:val="white"/>
        </w:rPr>
      </w:pPr>
    </w:p>
    <w:p w14:paraId="1880FD47" w14:textId="43A0B7F9" w:rsidR="00C41EB0" w:rsidRDefault="00C41EB0">
      <w:pPr>
        <w:rPr>
          <w:highlight w:val="white"/>
        </w:rPr>
      </w:pPr>
      <w:r>
        <w:rPr>
          <w:highlight w:val="white"/>
        </w:rP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7FFDD364" w14:textId="767B2682" w:rsidR="00F560B0" w:rsidRDefault="00F560B0" w:rsidP="00F560B0">
      <w:pPr>
        <w:spacing w:line="480" w:lineRule="auto"/>
        <w:rPr>
          <w:i/>
          <w:iCs/>
        </w:rPr>
      </w:pPr>
      <w:r>
        <w:rPr>
          <w:i/>
          <w:iCs/>
        </w:rPr>
        <w:t>Modes of Evolution</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Ornstein-Uhlenbeck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77777777" w:rsidR="00A65F2F" w:rsidRPr="00A65F2F" w:rsidRDefault="00A65F2F" w:rsidP="00A65F2F">
            <w:pPr>
              <w:suppressAutoHyphens w:val="0"/>
              <w:rPr>
                <w:lang w:val="en-AU" w:eastAsia="en-AU"/>
              </w:rPr>
            </w:pP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rnstein-Uhlenbeck</w:t>
            </w:r>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A65F2F"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 GIC</w:t>
            </w:r>
          </w:p>
        </w:tc>
        <w:tc>
          <w:tcPr>
            <w:tcW w:w="1319" w:type="dxa"/>
            <w:tcBorders>
              <w:top w:val="single" w:sz="4" w:space="0" w:color="auto"/>
              <w:left w:val="nil"/>
              <w:bottom w:val="nil"/>
              <w:right w:val="nil"/>
            </w:tcBorders>
            <w:shd w:val="clear" w:color="auto" w:fill="auto"/>
            <w:noWrap/>
            <w:vAlign w:val="bottom"/>
            <w:hideMark/>
          </w:tcPr>
          <w:p w14:paraId="7A5E571D"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-446170</w:t>
            </w:r>
          </w:p>
        </w:tc>
        <w:tc>
          <w:tcPr>
            <w:tcW w:w="1276" w:type="dxa"/>
            <w:tcBorders>
              <w:top w:val="single" w:sz="4" w:space="0" w:color="auto"/>
              <w:left w:val="nil"/>
              <w:bottom w:val="nil"/>
              <w:right w:val="nil"/>
            </w:tcBorders>
            <w:shd w:val="clear" w:color="auto" w:fill="auto"/>
            <w:noWrap/>
            <w:vAlign w:val="bottom"/>
            <w:hideMark/>
          </w:tcPr>
          <w:p w14:paraId="1040EC79"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-447701</w:t>
            </w:r>
          </w:p>
        </w:tc>
        <w:tc>
          <w:tcPr>
            <w:tcW w:w="1276" w:type="dxa"/>
            <w:tcBorders>
              <w:top w:val="single" w:sz="4" w:space="0" w:color="auto"/>
              <w:left w:val="nil"/>
              <w:bottom w:val="nil"/>
              <w:right w:val="nil"/>
            </w:tcBorders>
            <w:shd w:val="clear" w:color="auto" w:fill="auto"/>
            <w:noWrap/>
            <w:vAlign w:val="bottom"/>
            <w:hideMark/>
          </w:tcPr>
          <w:p w14:paraId="25BC980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-446167</w:t>
            </w:r>
          </w:p>
        </w:tc>
      </w:tr>
      <w:tr w:rsidR="00A65F2F"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 W</w:t>
            </w:r>
          </w:p>
        </w:tc>
        <w:tc>
          <w:tcPr>
            <w:tcW w:w="1319" w:type="dxa"/>
            <w:tcBorders>
              <w:top w:val="nil"/>
              <w:left w:val="nil"/>
              <w:bottom w:val="nil"/>
              <w:right w:val="nil"/>
            </w:tcBorders>
            <w:shd w:val="clear" w:color="auto" w:fill="auto"/>
            <w:noWrap/>
            <w:vAlign w:val="bottom"/>
            <w:hideMark/>
          </w:tcPr>
          <w:p w14:paraId="19335C9D"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c>
          <w:tcPr>
            <w:tcW w:w="1276" w:type="dxa"/>
            <w:tcBorders>
              <w:top w:val="nil"/>
              <w:left w:val="nil"/>
              <w:bottom w:val="nil"/>
              <w:right w:val="nil"/>
            </w:tcBorders>
            <w:shd w:val="clear" w:color="auto" w:fill="auto"/>
            <w:noWrap/>
            <w:vAlign w:val="bottom"/>
            <w:hideMark/>
          </w:tcPr>
          <w:p w14:paraId="6274BBCA"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1</w:t>
            </w:r>
          </w:p>
        </w:tc>
        <w:tc>
          <w:tcPr>
            <w:tcW w:w="1276" w:type="dxa"/>
            <w:tcBorders>
              <w:top w:val="nil"/>
              <w:left w:val="nil"/>
              <w:bottom w:val="nil"/>
              <w:right w:val="nil"/>
            </w:tcBorders>
            <w:shd w:val="clear" w:color="auto" w:fill="auto"/>
            <w:noWrap/>
            <w:vAlign w:val="bottom"/>
            <w:hideMark/>
          </w:tcPr>
          <w:p w14:paraId="33551C89"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r>
      <w:tr w:rsidR="00A65F2F"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log(Centroid size) AIC</w:t>
            </w:r>
          </w:p>
        </w:tc>
        <w:tc>
          <w:tcPr>
            <w:tcW w:w="1319" w:type="dxa"/>
            <w:tcBorders>
              <w:top w:val="nil"/>
              <w:left w:val="nil"/>
              <w:bottom w:val="nil"/>
              <w:right w:val="nil"/>
            </w:tcBorders>
            <w:shd w:val="clear" w:color="auto" w:fill="auto"/>
            <w:noWrap/>
            <w:vAlign w:val="bottom"/>
            <w:hideMark/>
          </w:tcPr>
          <w:p w14:paraId="24DDE172"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-4.802</w:t>
            </w:r>
          </w:p>
        </w:tc>
        <w:tc>
          <w:tcPr>
            <w:tcW w:w="1276" w:type="dxa"/>
            <w:tcBorders>
              <w:top w:val="nil"/>
              <w:left w:val="nil"/>
              <w:bottom w:val="nil"/>
              <w:right w:val="nil"/>
            </w:tcBorders>
            <w:shd w:val="clear" w:color="auto" w:fill="auto"/>
            <w:noWrap/>
            <w:vAlign w:val="bottom"/>
            <w:hideMark/>
          </w:tcPr>
          <w:p w14:paraId="6F1E89C9"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-2.875</w:t>
            </w:r>
          </w:p>
        </w:tc>
        <w:tc>
          <w:tcPr>
            <w:tcW w:w="1276" w:type="dxa"/>
            <w:tcBorders>
              <w:top w:val="nil"/>
              <w:left w:val="nil"/>
              <w:bottom w:val="nil"/>
              <w:right w:val="nil"/>
            </w:tcBorders>
            <w:shd w:val="clear" w:color="auto" w:fill="auto"/>
            <w:noWrap/>
            <w:vAlign w:val="bottom"/>
            <w:hideMark/>
          </w:tcPr>
          <w:p w14:paraId="0198C6C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-2.802</w:t>
            </w:r>
          </w:p>
        </w:tc>
      </w:tr>
      <w:tr w:rsidR="00A65F2F"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log(Centroid size) W</w:t>
            </w:r>
          </w:p>
        </w:tc>
        <w:tc>
          <w:tcPr>
            <w:tcW w:w="1319" w:type="dxa"/>
            <w:tcBorders>
              <w:top w:val="nil"/>
              <w:left w:val="nil"/>
              <w:bottom w:val="nil"/>
              <w:right w:val="nil"/>
            </w:tcBorders>
            <w:shd w:val="clear" w:color="auto" w:fill="auto"/>
            <w:noWrap/>
            <w:vAlign w:val="bottom"/>
            <w:hideMark/>
          </w:tcPr>
          <w:p w14:paraId="63D6F845"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0.572</w:t>
            </w:r>
          </w:p>
        </w:tc>
        <w:tc>
          <w:tcPr>
            <w:tcW w:w="1276" w:type="dxa"/>
            <w:tcBorders>
              <w:top w:val="nil"/>
              <w:left w:val="nil"/>
              <w:bottom w:val="nil"/>
              <w:right w:val="nil"/>
            </w:tcBorders>
            <w:shd w:val="clear" w:color="auto" w:fill="auto"/>
            <w:noWrap/>
            <w:vAlign w:val="bottom"/>
            <w:hideMark/>
          </w:tcPr>
          <w:p w14:paraId="48FF5CD6" w14:textId="3BDAC80D"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0.2</w:t>
            </w:r>
            <w:r>
              <w:rPr>
                <w:rFonts w:ascii="Calibri" w:hAnsi="Calibri" w:cs="Calibri"/>
                <w:color w:val="000000"/>
                <w:sz w:val="22"/>
                <w:szCs w:val="22"/>
                <w:lang w:val="en-AU" w:eastAsia="en-AU"/>
              </w:rPr>
              <w:t>2</w:t>
            </w:r>
          </w:p>
        </w:tc>
        <w:tc>
          <w:tcPr>
            <w:tcW w:w="1276" w:type="dxa"/>
            <w:tcBorders>
              <w:top w:val="nil"/>
              <w:left w:val="nil"/>
              <w:bottom w:val="nil"/>
              <w:right w:val="nil"/>
            </w:tcBorders>
            <w:shd w:val="clear" w:color="auto" w:fill="auto"/>
            <w:noWrap/>
            <w:vAlign w:val="bottom"/>
            <w:hideMark/>
          </w:tcPr>
          <w:p w14:paraId="07995B8E"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0.21</w:t>
            </w:r>
          </w:p>
        </w:tc>
      </w:tr>
      <w:tr w:rsidR="00A65F2F"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Shape~log(Csize) GIC</w:t>
            </w:r>
          </w:p>
        </w:tc>
        <w:tc>
          <w:tcPr>
            <w:tcW w:w="1319" w:type="dxa"/>
            <w:tcBorders>
              <w:top w:val="nil"/>
              <w:left w:val="nil"/>
              <w:right w:val="nil"/>
            </w:tcBorders>
            <w:shd w:val="clear" w:color="auto" w:fill="auto"/>
            <w:noWrap/>
            <w:vAlign w:val="bottom"/>
            <w:hideMark/>
          </w:tcPr>
          <w:p w14:paraId="2333F442"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-433056</w:t>
            </w:r>
          </w:p>
        </w:tc>
        <w:tc>
          <w:tcPr>
            <w:tcW w:w="1276" w:type="dxa"/>
            <w:tcBorders>
              <w:top w:val="nil"/>
              <w:left w:val="nil"/>
              <w:right w:val="nil"/>
            </w:tcBorders>
            <w:shd w:val="clear" w:color="auto" w:fill="auto"/>
            <w:noWrap/>
            <w:vAlign w:val="bottom"/>
            <w:hideMark/>
          </w:tcPr>
          <w:p w14:paraId="1B2E58E7"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-434260</w:t>
            </w:r>
          </w:p>
        </w:tc>
        <w:tc>
          <w:tcPr>
            <w:tcW w:w="1276" w:type="dxa"/>
            <w:tcBorders>
              <w:top w:val="nil"/>
              <w:left w:val="nil"/>
              <w:right w:val="nil"/>
            </w:tcBorders>
            <w:shd w:val="clear" w:color="auto" w:fill="auto"/>
            <w:noWrap/>
            <w:vAlign w:val="bottom"/>
            <w:hideMark/>
          </w:tcPr>
          <w:p w14:paraId="5C154FFC"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-433054</w:t>
            </w:r>
          </w:p>
        </w:tc>
      </w:tr>
      <w:tr w:rsidR="00A65F2F" w:rsidRPr="00A65F2F" w14:paraId="622450D9"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7D4A248D"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Shape~Loc(Csize) W</w:t>
            </w:r>
          </w:p>
        </w:tc>
        <w:tc>
          <w:tcPr>
            <w:tcW w:w="1319" w:type="dxa"/>
            <w:tcBorders>
              <w:top w:val="nil"/>
              <w:left w:val="nil"/>
              <w:bottom w:val="single" w:sz="4" w:space="0" w:color="auto"/>
              <w:right w:val="nil"/>
            </w:tcBorders>
            <w:shd w:val="clear" w:color="auto" w:fill="auto"/>
            <w:noWrap/>
            <w:vAlign w:val="bottom"/>
            <w:hideMark/>
          </w:tcPr>
          <w:p w14:paraId="2069246B"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c>
          <w:tcPr>
            <w:tcW w:w="1276" w:type="dxa"/>
            <w:tcBorders>
              <w:top w:val="nil"/>
              <w:left w:val="nil"/>
              <w:bottom w:val="single" w:sz="4" w:space="0" w:color="auto"/>
              <w:right w:val="nil"/>
            </w:tcBorders>
            <w:shd w:val="clear" w:color="auto" w:fill="auto"/>
            <w:noWrap/>
            <w:vAlign w:val="bottom"/>
            <w:hideMark/>
          </w:tcPr>
          <w:p w14:paraId="7CA6E5A0"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1</w:t>
            </w:r>
          </w:p>
        </w:tc>
        <w:tc>
          <w:tcPr>
            <w:tcW w:w="1276" w:type="dxa"/>
            <w:tcBorders>
              <w:top w:val="nil"/>
              <w:left w:val="nil"/>
              <w:bottom w:val="single" w:sz="4" w:space="0" w:color="auto"/>
              <w:right w:val="nil"/>
            </w:tcBorders>
            <w:shd w:val="clear" w:color="auto" w:fill="auto"/>
            <w:noWrap/>
            <w:vAlign w:val="bottom"/>
            <w:hideMark/>
          </w:tcPr>
          <w:p w14:paraId="29C4134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r>
    </w:tbl>
    <w:p w14:paraId="39BFDB53" w14:textId="77777777" w:rsidR="00F560B0" w:rsidRDefault="00F560B0" w:rsidP="00F560B0">
      <w:pPr>
        <w:spacing w:line="480" w:lineRule="auto"/>
      </w:pPr>
    </w:p>
    <w:p w14:paraId="79EAE768" w14:textId="7A43114F" w:rsidR="00F560B0" w:rsidRDefault="00E00B56" w:rsidP="00F17323">
      <w:r>
        <w:rPr>
          <w:b/>
          <w:bCs/>
        </w:rPr>
        <w:t xml:space="preserve">Table X: </w:t>
      </w:r>
      <w:r>
        <w:t xml:space="preserve">Generalised or Akaike Information criterion scores (GIC/AIC) and W-scores of relative probabilities </w:t>
      </w:r>
      <w:r w:rsidR="00BF36EE">
        <w:t xml:space="preserve">of different modes of evolution </w:t>
      </w:r>
      <w:r>
        <w:t xml:space="preserve">for models of shape, log- transformed centroid size, and shape evolution with log(centroid size) as predictor variable. </w:t>
      </w:r>
    </w:p>
    <w:p w14:paraId="28DA6030" w14:textId="77777777" w:rsidR="00F17323" w:rsidRDefault="00F17323" w:rsidP="00F560B0">
      <w:pPr>
        <w:spacing w:line="480" w:lineRule="auto"/>
      </w:pPr>
    </w:p>
    <w:p w14:paraId="70D44E49" w14:textId="69E1E8F0" w:rsidR="00F17323" w:rsidRPr="00E00B56"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shape from both models using Two-Block Partial Least Squares. In both cases, the </w:t>
      </w:r>
      <w:r w:rsidR="00994273">
        <w:t>r-PLS value was 1, suggesting t</w:t>
      </w:r>
      <w:r w:rsidR="00F02BB5">
        <w:t>hat no substantial difference to BM-based analyses is to be expected</w:t>
      </w:r>
      <w:r w:rsidR="00B27788">
        <w:t>.</w:t>
      </w:r>
    </w:p>
    <w:p w14:paraId="64909BA4" w14:textId="77777777" w:rsidR="00F560B0" w:rsidRPr="00F560B0" w:rsidRDefault="00F560B0" w:rsidP="00F560B0">
      <w:pPr>
        <w:spacing w:line="480" w:lineRule="auto"/>
        <w:rPr>
          <w:b/>
          <w:bCs/>
        </w:rPr>
      </w:pP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69771456" w:rsidR="008922AE" w:rsidRDefault="00C248A2">
      <w:pPr>
        <w:spacing w:line="480" w:lineRule="auto"/>
      </w:pPr>
      <w:r>
        <w:t xml:space="preserve">Comparing the variation and species distribution from the first two Principal Components (PC)  of the full and residual datasets shows that the removal of allometric shape variation substantially </w:t>
      </w:r>
      <w:r>
        <w:lastRenderedPageBreak/>
        <w:t>reduces the amount of variation in the dataset that is aligned with PC1 (26% vs. 52%). PC2 axes captured similar percentages of shape variation (14.5% and 18.6%,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1a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was removed, the relative positioning of species and the shape variation associated with the first two PCs remain similar (Fig. 1</w:t>
      </w:r>
      <w:r w:rsidR="001D5FD2">
        <w:t>c</w:t>
      </w:r>
      <w:r>
        <w:t xml:space="preserve"> vs. </w:t>
      </w:r>
      <w:r w:rsidR="001D5FD2">
        <w:t>d</w:t>
      </w:r>
      <w:r>
        <w:t xml:space="preserve">). </w:t>
      </w:r>
    </w:p>
    <w:p w14:paraId="421BC090" w14:textId="77777777" w:rsidR="0043398A" w:rsidRDefault="0043398A">
      <w:pPr>
        <w:spacing w:line="480" w:lineRule="auto"/>
      </w:pPr>
    </w:p>
    <w:p w14:paraId="48D0E5DB" w14:textId="4DC47D10" w:rsidR="008922AE" w:rsidRDefault="00000000">
      <w:pPr>
        <w:spacing w:line="480" w:lineRule="auto"/>
      </w:pPr>
      <w:r>
        <w:t>In the shape residual plot of PC1 and PC2, the majority of species cluster in the center</w:t>
      </w:r>
      <w:r w:rsidR="0043398A">
        <w:t xml:space="preserve"> and include </w:t>
      </w:r>
      <w:r>
        <w:t>two large-bodied frugivores,</w:t>
      </w:r>
      <w:r w:rsidR="0043398A">
        <w:t xml:space="preserve"> whose large size makes them outliers in the full-shape PC1 plot and gives them</w:t>
      </w:r>
      <w:r>
        <w:t xml:space="preserve"> high regression scores in the evolutionary allometry plot. The allometry-free shape residual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1f). The PC2 </w:t>
      </w:r>
      <w:r w:rsidR="00481B35">
        <w:t>minimum</w:t>
      </w:r>
      <w:r>
        <w:t xml:space="preserve"> highlights the Australian murid most specialised for folivory, the broad-toothed rat (</w:t>
      </w:r>
      <w:r>
        <w:rPr>
          <w:i/>
        </w:rPr>
        <w:t>Mastacomys fuscus</w:t>
      </w:r>
      <w:r>
        <w:t xml:space="preserve">). All of the specialists along these extremes are in the </w:t>
      </w:r>
      <w:r>
        <w:rPr>
          <w:i/>
          <w:iCs/>
        </w:rPr>
        <w:t>Pseudomys</w:t>
      </w:r>
      <w:r>
        <w:t xml:space="preserve"> division </w:t>
      </w:r>
      <w:r w:rsidR="00481B35">
        <w:lastRenderedPageBreak/>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0D60B225" w:rsidR="008922AE" w:rsidRDefault="00BF6875" w:rsidP="00BF6875">
      <w:pPr>
        <w:spacing w:line="480" w:lineRule="auto"/>
        <w:ind w:firstLine="720"/>
      </w:pPr>
      <w:bookmarkStart w:id="7" w:name="_heading=h.2s8eyo1"/>
      <w:r>
        <w:rPr>
          <w:noProof/>
        </w:rPr>
        <w:drawing>
          <wp:inline distT="0" distB="0" distL="0" distR="0" wp14:anchorId="519EDF53" wp14:editId="36068D7F">
            <wp:extent cx="5943600" cy="4888230"/>
            <wp:effectExtent l="0" t="0" r="0" b="7620"/>
            <wp:docPr id="77908916" name="Picture 1"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916" name="Picture 1" descr="A group of graphs with different colored squares&#10;&#10;Description automatically generated with medium confidence"/>
                    <pic:cNvPicPr/>
                  </pic:nvPicPr>
                  <pic:blipFill>
                    <a:blip r:embed="rId10"/>
                    <a:stretch>
                      <a:fillRect/>
                    </a:stretch>
                  </pic:blipFill>
                  <pic:spPr>
                    <a:xfrm>
                      <a:off x="0" y="0"/>
                      <a:ext cx="5943600" cy="4888230"/>
                    </a:xfrm>
                    <a:prstGeom prst="rect">
                      <a:avLst/>
                    </a:prstGeom>
                  </pic:spPr>
                </pic:pic>
              </a:graphicData>
            </a:graphic>
          </wp:inline>
        </w:drawing>
      </w:r>
    </w:p>
    <w:p w14:paraId="38275DEF" w14:textId="4A681AD1" w:rsidR="00BF6875" w:rsidRDefault="00000000" w:rsidP="00BF6875">
      <w:pPr>
        <w:spacing w:after="200"/>
      </w:pPr>
      <w:sdt>
        <w:sdtPr>
          <w:id w:val="133243903"/>
        </w:sdtPr>
        <w:sdtContent>
          <w:bookmarkEnd w:id="7"/>
        </w:sdtContent>
      </w:sdt>
      <w:r>
        <w:rPr>
          <w:b/>
          <w:color w:val="000000"/>
        </w:rPr>
        <w:t>Figure 1</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BF6875">
        <w:rPr>
          <w:bCs/>
        </w:rPr>
        <w:t xml:space="preserve"> </w:t>
      </w:r>
      <w:r>
        <w:rPr>
          <w:bCs/>
        </w:rPr>
        <w:t>d,</w:t>
      </w:r>
      <w:r>
        <w:t xml:space="preserve"> shape residual dataset without </w:t>
      </w:r>
      <w:r>
        <w:rPr>
          <w:i/>
        </w:rPr>
        <w:t>Notomys</w:t>
      </w:r>
      <w:r w:rsidR="00BF6875">
        <w:rPr>
          <w:i/>
        </w:rPr>
        <w:t>.</w:t>
      </w:r>
    </w:p>
    <w:p w14:paraId="4FA34F04" w14:textId="77777777" w:rsidR="008922AE" w:rsidRDefault="008922AE">
      <w:pPr>
        <w:spacing w:after="200"/>
      </w:pPr>
    </w:p>
    <w:p w14:paraId="471B3C9F" w14:textId="77777777" w:rsidR="008922AE" w:rsidRDefault="00000000" w:rsidP="003266F8">
      <w:pPr>
        <w:pStyle w:val="Heading3"/>
        <w:numPr>
          <w:ilvl w:val="0"/>
          <w:numId w:val="0"/>
        </w:numPr>
        <w:spacing w:line="480" w:lineRule="auto"/>
      </w:pPr>
      <w:bookmarkStart w:id="8" w:name="_heading=h.17dp8vu"/>
      <w:bookmarkEnd w:id="8"/>
      <w:r>
        <w:t>Landmark heatmaps</w:t>
      </w:r>
    </w:p>
    <w:p w14:paraId="7AF17660" w14:textId="78CC39B7"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w:t>
      </w:r>
      <w:r w:rsidR="00EC6815">
        <w:t>Predicted shapes for</w:t>
      </w:r>
      <w:r>
        <w:t xml:space="preserve"> </w:t>
      </w:r>
      <w:r>
        <w:lastRenderedPageBreak/>
        <w:t xml:space="preserve">larger species </w:t>
      </w:r>
      <w:r w:rsidR="003266F8">
        <w:t>had</w:t>
      </w:r>
      <w:r>
        <w:t xml:space="preserve"> lengthened rostra and smaller relative braincases compared to smaller species</w:t>
      </w:r>
      <w:r w:rsidR="00EC6815">
        <w:t xml:space="preserve"> (Fig. 2a), a pattern </w:t>
      </w:r>
      <w:r w:rsidR="003266F8">
        <w:t xml:space="preserve">also </w:t>
      </w:r>
      <w:r w:rsidR="00EC6815">
        <w:t>clearly visible in comparisons of mean shapes between smallest and 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14F4A7C3"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comparison,and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P. delicatulus)</w:t>
      </w:r>
      <w:r>
        <w:t xml:space="preserve"> to the largest (</w:t>
      </w:r>
      <w:r>
        <w:rPr>
          <w:i/>
          <w:iCs/>
        </w:rPr>
        <w:t>U. caudimaculatus)</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1D4E57E5" w:rsidR="008922AE" w:rsidRPr="006A14F8" w:rsidRDefault="004D0A02">
      <w:pPr>
        <w:spacing w:line="480" w:lineRule="auto"/>
      </w:pPr>
      <w:r>
        <w:t>As expected</w:t>
      </w:r>
      <w:r w:rsidR="00263DD3">
        <w:t>,</w:t>
      </w:r>
      <w:r>
        <w:t xml:space="preserve"> removing the shape patterns that covary with size (Fig. 2d-f) also removed </w:t>
      </w:r>
      <w:r w:rsidR="00263DD3">
        <w:t>the CREA-aligned</w:t>
      </w:r>
      <w:r>
        <w:t xml:space="preserve"> gracilization pattern. Species closer to the PC1 minimum then show ventral flexion of the rostrum and anteroventral movement of the foramen magnum (Fig. 2d). However, the allometry-free PC2 heatmaps with all species highlighted shape patterns resemble </w:t>
      </w:r>
      <w:r w:rsidR="00A44BA0">
        <w:t>some of the</w:t>
      </w:r>
      <w:r>
        <w:t xml:space="preserve"> allometric variation. For example, the </w:t>
      </w:r>
      <w:r>
        <w:rPr>
          <w:i/>
        </w:rPr>
        <w:t>Notomys</w:t>
      </w:r>
      <w:r>
        <w:t xml:space="preserve"> species at PC1 minimum show </w:t>
      </w:r>
      <w:r w:rsidR="00A44BA0">
        <w:t>dorsally expanded</w:t>
      </w:r>
      <w:r>
        <w:t xml:space="preserve"> braincases and </w:t>
      </w:r>
      <w:r w:rsidR="00A44BA0">
        <w:t xml:space="preserve">ventrally expanded </w:t>
      </w:r>
      <w:r>
        <w:t xml:space="preserve">auditory </w:t>
      </w:r>
      <w:r w:rsidR="00A44BA0">
        <w:t>regions</w:t>
      </w:r>
      <w:r>
        <w:t xml:space="preserve">, but not shortened rostra as </w:t>
      </w:r>
      <w:r>
        <w:lastRenderedPageBreak/>
        <w:t xml:space="preserve">expected under CREA (Fig. 2e).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with the PC1/2 plots of Fig. 1, the</w:t>
      </w:r>
      <w:r>
        <w:t xml:space="preserve"> result showed similar regions of variation (Fig. 2f)</w:t>
      </w:r>
      <w:r w:rsidR="00A44BA0">
        <w:t>.</w:t>
      </w:r>
      <w:r>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558A80A6" w14:textId="77777777" w:rsidR="00263DD3" w:rsidRDefault="00000000">
      <w:pPr>
        <w:spacing w:line="480" w:lineRule="auto"/>
      </w:pPr>
      <w:r>
        <w:t>As expected, the full dataset had higher levels of integration (high PLS correlation coefficient) and lower modularity (CR coefficient closer to 1) than the shape residual dataset (Fig. 3)</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and CR coefficients of the shape residual dataset. </w:t>
      </w:r>
      <w:bookmarkStart w:id="14" w:name="_Hlk160634476"/>
    </w:p>
    <w:tbl>
      <w:tblPr>
        <w:tblW w:w="7513" w:type="dxa"/>
        <w:tblLook w:val="04A0" w:firstRow="1" w:lastRow="0" w:firstColumn="1" w:lastColumn="0" w:noHBand="0" w:noVBand="1"/>
      </w:tblPr>
      <w:tblGrid>
        <w:gridCol w:w="1418"/>
        <w:gridCol w:w="1396"/>
        <w:gridCol w:w="1014"/>
        <w:gridCol w:w="1134"/>
        <w:gridCol w:w="1134"/>
        <w:gridCol w:w="1417"/>
      </w:tblGrid>
      <w:tr w:rsidR="0025189D" w:rsidRPr="0025189D" w14:paraId="44E11D2B" w14:textId="77777777" w:rsidTr="0025189D">
        <w:trPr>
          <w:trHeight w:val="290"/>
        </w:trPr>
        <w:tc>
          <w:tcPr>
            <w:tcW w:w="1418" w:type="dxa"/>
            <w:tcBorders>
              <w:top w:val="nil"/>
              <w:left w:val="nil"/>
              <w:bottom w:val="nil"/>
              <w:right w:val="nil"/>
            </w:tcBorders>
            <w:shd w:val="clear" w:color="auto" w:fill="auto"/>
            <w:noWrap/>
            <w:vAlign w:val="bottom"/>
            <w:hideMark/>
          </w:tcPr>
          <w:p w14:paraId="296F38CE" w14:textId="77777777" w:rsidR="0025189D" w:rsidRPr="0025189D" w:rsidRDefault="0025189D" w:rsidP="0025189D">
            <w:pPr>
              <w:suppressAutoHyphens w:val="0"/>
              <w:rPr>
                <w:lang w:val="en-AU" w:eastAsia="en-AU"/>
              </w:rPr>
            </w:pPr>
          </w:p>
        </w:tc>
        <w:tc>
          <w:tcPr>
            <w:tcW w:w="1396" w:type="dxa"/>
            <w:tcBorders>
              <w:top w:val="nil"/>
              <w:left w:val="nil"/>
              <w:bottom w:val="nil"/>
              <w:right w:val="nil"/>
            </w:tcBorders>
            <w:shd w:val="clear" w:color="auto" w:fill="auto"/>
            <w:noWrap/>
            <w:vAlign w:val="bottom"/>
            <w:hideMark/>
          </w:tcPr>
          <w:p w14:paraId="2AE30643" w14:textId="1ED80FA1"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1014" w:type="dxa"/>
            <w:tcBorders>
              <w:top w:val="nil"/>
              <w:left w:val="nil"/>
              <w:bottom w:val="nil"/>
              <w:right w:val="nil"/>
            </w:tcBorders>
            <w:shd w:val="clear" w:color="auto" w:fill="auto"/>
            <w:noWrap/>
            <w:vAlign w:val="bottom"/>
            <w:hideMark/>
          </w:tcPr>
          <w:p w14:paraId="6274007E" w14:textId="77777777"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nil"/>
              <w:right w:val="nil"/>
            </w:tcBorders>
            <w:shd w:val="clear" w:color="auto" w:fill="auto"/>
            <w:noWrap/>
            <w:vAlign w:val="bottom"/>
            <w:hideMark/>
          </w:tcPr>
          <w:p w14:paraId="1743DEE8" w14:textId="77777777"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nil"/>
              <w:right w:val="nil"/>
            </w:tcBorders>
            <w:shd w:val="clear" w:color="auto" w:fill="auto"/>
            <w:noWrap/>
            <w:vAlign w:val="bottom"/>
            <w:hideMark/>
          </w:tcPr>
          <w:p w14:paraId="21CB2ACC" w14:textId="77777777"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nil"/>
              <w:right w:val="nil"/>
            </w:tcBorders>
            <w:shd w:val="clear" w:color="auto" w:fill="auto"/>
            <w:noWrap/>
            <w:vAlign w:val="bottom"/>
            <w:hideMark/>
          </w:tcPr>
          <w:p w14:paraId="0A3596A6" w14:textId="77777777"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25189D" w:rsidRPr="0025189D" w14:paraId="73E9D356" w14:textId="77777777" w:rsidTr="0025189D">
        <w:trPr>
          <w:trHeight w:val="290"/>
        </w:trPr>
        <w:tc>
          <w:tcPr>
            <w:tcW w:w="1418" w:type="dxa"/>
            <w:tcBorders>
              <w:top w:val="nil"/>
              <w:left w:val="nil"/>
              <w:bottom w:val="nil"/>
              <w:right w:val="nil"/>
            </w:tcBorders>
            <w:shd w:val="clear" w:color="auto" w:fill="auto"/>
            <w:noWrap/>
            <w:vAlign w:val="bottom"/>
            <w:hideMark/>
          </w:tcPr>
          <w:p w14:paraId="0B28E3AD" w14:textId="7DCCFFAD"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1396" w:type="dxa"/>
            <w:tcBorders>
              <w:top w:val="nil"/>
              <w:left w:val="nil"/>
              <w:bottom w:val="nil"/>
              <w:right w:val="nil"/>
            </w:tcBorders>
            <w:shd w:val="clear" w:color="auto" w:fill="D0CECE" w:themeFill="background2" w:themeFillShade="E6"/>
            <w:noWrap/>
            <w:vAlign w:val="bottom"/>
            <w:hideMark/>
          </w:tcPr>
          <w:p w14:paraId="3AB30A49"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64</w:t>
            </w:r>
          </w:p>
        </w:tc>
        <w:tc>
          <w:tcPr>
            <w:tcW w:w="1014" w:type="dxa"/>
            <w:tcBorders>
              <w:top w:val="nil"/>
              <w:left w:val="nil"/>
              <w:bottom w:val="nil"/>
              <w:right w:val="nil"/>
            </w:tcBorders>
            <w:shd w:val="clear" w:color="auto" w:fill="auto"/>
            <w:noWrap/>
            <w:vAlign w:val="bottom"/>
            <w:hideMark/>
          </w:tcPr>
          <w:p w14:paraId="019E7355"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0.59</w:t>
            </w:r>
          </w:p>
        </w:tc>
        <w:tc>
          <w:tcPr>
            <w:tcW w:w="1134" w:type="dxa"/>
            <w:tcBorders>
              <w:top w:val="nil"/>
              <w:left w:val="nil"/>
              <w:bottom w:val="nil"/>
              <w:right w:val="nil"/>
            </w:tcBorders>
            <w:shd w:val="clear" w:color="auto" w:fill="auto"/>
            <w:noWrap/>
            <w:vAlign w:val="bottom"/>
            <w:hideMark/>
          </w:tcPr>
          <w:p w14:paraId="36BB2B11"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0.8</w:t>
            </w:r>
          </w:p>
        </w:tc>
        <w:tc>
          <w:tcPr>
            <w:tcW w:w="1134" w:type="dxa"/>
            <w:tcBorders>
              <w:top w:val="nil"/>
              <w:left w:val="nil"/>
              <w:bottom w:val="nil"/>
              <w:right w:val="nil"/>
            </w:tcBorders>
            <w:shd w:val="clear" w:color="auto" w:fill="auto"/>
            <w:noWrap/>
            <w:vAlign w:val="bottom"/>
            <w:hideMark/>
          </w:tcPr>
          <w:p w14:paraId="457004F1"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0.71</w:t>
            </w:r>
          </w:p>
        </w:tc>
        <w:tc>
          <w:tcPr>
            <w:tcW w:w="1417" w:type="dxa"/>
            <w:tcBorders>
              <w:top w:val="nil"/>
              <w:left w:val="nil"/>
              <w:bottom w:val="nil"/>
              <w:right w:val="nil"/>
            </w:tcBorders>
            <w:shd w:val="clear" w:color="auto" w:fill="auto"/>
            <w:noWrap/>
            <w:vAlign w:val="bottom"/>
            <w:hideMark/>
          </w:tcPr>
          <w:p w14:paraId="757A67B7"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0.88</w:t>
            </w:r>
          </w:p>
        </w:tc>
      </w:tr>
      <w:tr w:rsidR="0025189D" w:rsidRPr="0025189D" w14:paraId="2CBF6C86" w14:textId="77777777" w:rsidTr="0025189D">
        <w:trPr>
          <w:trHeight w:val="290"/>
        </w:trPr>
        <w:tc>
          <w:tcPr>
            <w:tcW w:w="1418" w:type="dxa"/>
            <w:tcBorders>
              <w:top w:val="nil"/>
              <w:left w:val="nil"/>
              <w:bottom w:val="nil"/>
              <w:right w:val="nil"/>
            </w:tcBorders>
            <w:shd w:val="clear" w:color="auto" w:fill="auto"/>
            <w:noWrap/>
            <w:vAlign w:val="bottom"/>
            <w:hideMark/>
          </w:tcPr>
          <w:p w14:paraId="6C5D6DD2" w14:textId="77777777"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nil"/>
              <w:bottom w:val="nil"/>
              <w:right w:val="nil"/>
            </w:tcBorders>
            <w:shd w:val="clear" w:color="auto" w:fill="auto"/>
            <w:noWrap/>
            <w:vAlign w:val="bottom"/>
            <w:hideMark/>
          </w:tcPr>
          <w:p w14:paraId="574AFA90"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0.69</w:t>
            </w:r>
          </w:p>
        </w:tc>
        <w:tc>
          <w:tcPr>
            <w:tcW w:w="1014" w:type="dxa"/>
            <w:tcBorders>
              <w:top w:val="nil"/>
              <w:left w:val="nil"/>
              <w:bottom w:val="nil"/>
              <w:right w:val="nil"/>
            </w:tcBorders>
            <w:shd w:val="clear" w:color="auto" w:fill="D0CECE" w:themeFill="background2" w:themeFillShade="E6"/>
            <w:noWrap/>
            <w:vAlign w:val="bottom"/>
            <w:hideMark/>
          </w:tcPr>
          <w:p w14:paraId="727B4817"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19</w:t>
            </w:r>
          </w:p>
        </w:tc>
        <w:tc>
          <w:tcPr>
            <w:tcW w:w="1134" w:type="dxa"/>
            <w:tcBorders>
              <w:top w:val="nil"/>
              <w:left w:val="nil"/>
              <w:bottom w:val="nil"/>
              <w:right w:val="nil"/>
            </w:tcBorders>
            <w:shd w:val="clear" w:color="auto" w:fill="auto"/>
            <w:noWrap/>
            <w:vAlign w:val="bottom"/>
            <w:hideMark/>
          </w:tcPr>
          <w:p w14:paraId="7E899C21" w14:textId="778EA4BD" w:rsidR="0025189D" w:rsidRPr="0025189D" w:rsidRDefault="0025189D" w:rsidP="0025189D">
            <w:pPr>
              <w:suppressAutoHyphens w:val="0"/>
              <w:jc w:val="right"/>
              <w:rPr>
                <w:rFonts w:ascii="Calibri" w:hAnsi="Calibri" w:cs="Calibri"/>
                <w:i/>
                <w:iCs/>
                <w:color w:val="000000"/>
                <w:sz w:val="22"/>
                <w:szCs w:val="22"/>
                <w:lang w:val="en-AU" w:eastAsia="en-AU"/>
              </w:rPr>
            </w:pPr>
            <w:r w:rsidRPr="0025189D">
              <w:rPr>
                <w:rFonts w:ascii="Calibri" w:hAnsi="Calibri" w:cs="Calibri"/>
                <w:i/>
                <w:iCs/>
                <w:color w:val="000000"/>
                <w:sz w:val="22"/>
                <w:szCs w:val="22"/>
                <w:lang w:val="en-AU" w:eastAsia="en-AU"/>
              </w:rPr>
              <w:t>(</w:t>
            </w:r>
            <w:r w:rsidRPr="0025189D">
              <w:rPr>
                <w:rFonts w:ascii="Calibri" w:hAnsi="Calibri" w:cs="Calibri"/>
                <w:i/>
                <w:iCs/>
                <w:color w:val="000000"/>
                <w:sz w:val="22"/>
                <w:szCs w:val="22"/>
                <w:lang w:val="en-AU" w:eastAsia="en-AU"/>
              </w:rPr>
              <w:t>0.52</w:t>
            </w:r>
            <w:r w:rsidRPr="0025189D">
              <w:rPr>
                <w:rFonts w:ascii="Calibri" w:hAnsi="Calibri" w:cs="Calibri"/>
                <w:i/>
                <w:iCs/>
                <w:color w:val="000000"/>
                <w:sz w:val="22"/>
                <w:szCs w:val="22"/>
                <w:lang w:val="en-AU" w:eastAsia="en-AU"/>
              </w:rPr>
              <w:t>)</w:t>
            </w:r>
          </w:p>
        </w:tc>
        <w:tc>
          <w:tcPr>
            <w:tcW w:w="1134" w:type="dxa"/>
            <w:tcBorders>
              <w:top w:val="nil"/>
              <w:left w:val="nil"/>
              <w:bottom w:val="nil"/>
              <w:right w:val="nil"/>
            </w:tcBorders>
            <w:shd w:val="clear" w:color="auto" w:fill="auto"/>
            <w:noWrap/>
            <w:vAlign w:val="bottom"/>
            <w:hideMark/>
          </w:tcPr>
          <w:p w14:paraId="00378EE9"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0.82</w:t>
            </w:r>
          </w:p>
        </w:tc>
        <w:tc>
          <w:tcPr>
            <w:tcW w:w="1417" w:type="dxa"/>
            <w:tcBorders>
              <w:top w:val="nil"/>
              <w:left w:val="nil"/>
              <w:bottom w:val="nil"/>
              <w:right w:val="nil"/>
            </w:tcBorders>
            <w:shd w:val="clear" w:color="auto" w:fill="auto"/>
            <w:noWrap/>
            <w:vAlign w:val="bottom"/>
            <w:hideMark/>
          </w:tcPr>
          <w:p w14:paraId="6E7229ED"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0.69</w:t>
            </w:r>
          </w:p>
        </w:tc>
      </w:tr>
      <w:tr w:rsidR="0025189D" w:rsidRPr="0025189D" w14:paraId="7DD4BD11" w14:textId="77777777" w:rsidTr="0025189D">
        <w:trPr>
          <w:trHeight w:val="290"/>
        </w:trPr>
        <w:tc>
          <w:tcPr>
            <w:tcW w:w="1418" w:type="dxa"/>
            <w:tcBorders>
              <w:top w:val="nil"/>
              <w:left w:val="nil"/>
              <w:bottom w:val="nil"/>
              <w:right w:val="nil"/>
            </w:tcBorders>
            <w:shd w:val="clear" w:color="auto" w:fill="auto"/>
            <w:noWrap/>
            <w:vAlign w:val="bottom"/>
            <w:hideMark/>
          </w:tcPr>
          <w:p w14:paraId="46B32978" w14:textId="77777777"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nil"/>
              <w:bottom w:val="nil"/>
              <w:right w:val="nil"/>
            </w:tcBorders>
            <w:shd w:val="clear" w:color="auto" w:fill="auto"/>
            <w:noWrap/>
            <w:vAlign w:val="bottom"/>
            <w:hideMark/>
          </w:tcPr>
          <w:p w14:paraId="624AC3CC"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0.77</w:t>
            </w:r>
          </w:p>
        </w:tc>
        <w:tc>
          <w:tcPr>
            <w:tcW w:w="1014" w:type="dxa"/>
            <w:tcBorders>
              <w:top w:val="nil"/>
              <w:left w:val="nil"/>
              <w:bottom w:val="nil"/>
              <w:right w:val="nil"/>
            </w:tcBorders>
            <w:shd w:val="clear" w:color="auto" w:fill="auto"/>
            <w:noWrap/>
            <w:vAlign w:val="bottom"/>
            <w:hideMark/>
          </w:tcPr>
          <w:p w14:paraId="694655D4"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0.7</w:t>
            </w:r>
          </w:p>
        </w:tc>
        <w:tc>
          <w:tcPr>
            <w:tcW w:w="1134" w:type="dxa"/>
            <w:tcBorders>
              <w:top w:val="nil"/>
              <w:left w:val="nil"/>
              <w:bottom w:val="nil"/>
              <w:right w:val="nil"/>
            </w:tcBorders>
            <w:shd w:val="clear" w:color="auto" w:fill="D0CECE" w:themeFill="background2" w:themeFillShade="E6"/>
            <w:noWrap/>
            <w:vAlign w:val="bottom"/>
            <w:hideMark/>
          </w:tcPr>
          <w:p w14:paraId="4A57955C"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32</w:t>
            </w:r>
          </w:p>
        </w:tc>
        <w:tc>
          <w:tcPr>
            <w:tcW w:w="1134" w:type="dxa"/>
            <w:tcBorders>
              <w:top w:val="nil"/>
              <w:left w:val="nil"/>
              <w:bottom w:val="nil"/>
              <w:right w:val="nil"/>
            </w:tcBorders>
            <w:shd w:val="clear" w:color="auto" w:fill="auto"/>
            <w:noWrap/>
            <w:vAlign w:val="bottom"/>
            <w:hideMark/>
          </w:tcPr>
          <w:p w14:paraId="1D09C11E"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0.76</w:t>
            </w:r>
          </w:p>
        </w:tc>
        <w:tc>
          <w:tcPr>
            <w:tcW w:w="1417" w:type="dxa"/>
            <w:tcBorders>
              <w:top w:val="nil"/>
              <w:left w:val="nil"/>
              <w:bottom w:val="nil"/>
              <w:right w:val="nil"/>
            </w:tcBorders>
            <w:shd w:val="clear" w:color="auto" w:fill="auto"/>
            <w:noWrap/>
            <w:vAlign w:val="bottom"/>
            <w:hideMark/>
          </w:tcPr>
          <w:p w14:paraId="1A425572"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0.85</w:t>
            </w:r>
          </w:p>
        </w:tc>
      </w:tr>
      <w:tr w:rsidR="0025189D" w:rsidRPr="0025189D" w14:paraId="519234FF" w14:textId="77777777" w:rsidTr="0025189D">
        <w:trPr>
          <w:trHeight w:val="290"/>
        </w:trPr>
        <w:tc>
          <w:tcPr>
            <w:tcW w:w="1418" w:type="dxa"/>
            <w:tcBorders>
              <w:top w:val="nil"/>
              <w:left w:val="nil"/>
              <w:bottom w:val="nil"/>
              <w:right w:val="nil"/>
            </w:tcBorders>
            <w:shd w:val="clear" w:color="auto" w:fill="auto"/>
            <w:noWrap/>
            <w:vAlign w:val="bottom"/>
            <w:hideMark/>
          </w:tcPr>
          <w:p w14:paraId="65664064" w14:textId="77777777"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nil"/>
              <w:bottom w:val="nil"/>
              <w:right w:val="nil"/>
            </w:tcBorders>
            <w:shd w:val="clear" w:color="auto" w:fill="auto"/>
            <w:noWrap/>
            <w:vAlign w:val="bottom"/>
            <w:hideMark/>
          </w:tcPr>
          <w:p w14:paraId="1EC1290D"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0.89</w:t>
            </w:r>
          </w:p>
        </w:tc>
        <w:tc>
          <w:tcPr>
            <w:tcW w:w="1014" w:type="dxa"/>
            <w:tcBorders>
              <w:top w:val="nil"/>
              <w:left w:val="nil"/>
              <w:bottom w:val="nil"/>
              <w:right w:val="nil"/>
            </w:tcBorders>
            <w:shd w:val="clear" w:color="auto" w:fill="auto"/>
            <w:noWrap/>
            <w:vAlign w:val="bottom"/>
            <w:hideMark/>
          </w:tcPr>
          <w:p w14:paraId="7350A0B3"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0.77</w:t>
            </w:r>
          </w:p>
        </w:tc>
        <w:tc>
          <w:tcPr>
            <w:tcW w:w="1134" w:type="dxa"/>
            <w:tcBorders>
              <w:top w:val="nil"/>
              <w:left w:val="nil"/>
              <w:bottom w:val="nil"/>
              <w:right w:val="nil"/>
            </w:tcBorders>
            <w:shd w:val="clear" w:color="auto" w:fill="auto"/>
            <w:noWrap/>
            <w:vAlign w:val="bottom"/>
            <w:hideMark/>
          </w:tcPr>
          <w:p w14:paraId="7731F014"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0.86</w:t>
            </w:r>
          </w:p>
        </w:tc>
        <w:tc>
          <w:tcPr>
            <w:tcW w:w="1134" w:type="dxa"/>
            <w:tcBorders>
              <w:top w:val="nil"/>
              <w:left w:val="nil"/>
              <w:bottom w:val="nil"/>
              <w:right w:val="nil"/>
            </w:tcBorders>
            <w:shd w:val="clear" w:color="auto" w:fill="D0CECE" w:themeFill="background2" w:themeFillShade="E6"/>
            <w:noWrap/>
            <w:vAlign w:val="bottom"/>
            <w:hideMark/>
          </w:tcPr>
          <w:p w14:paraId="51D4359C"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86</w:t>
            </w:r>
          </w:p>
        </w:tc>
        <w:tc>
          <w:tcPr>
            <w:tcW w:w="1417" w:type="dxa"/>
            <w:tcBorders>
              <w:top w:val="nil"/>
              <w:left w:val="nil"/>
              <w:bottom w:val="nil"/>
              <w:right w:val="nil"/>
            </w:tcBorders>
            <w:shd w:val="clear" w:color="auto" w:fill="auto"/>
            <w:noWrap/>
            <w:vAlign w:val="bottom"/>
            <w:hideMark/>
          </w:tcPr>
          <w:p w14:paraId="551995BC"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0.79</w:t>
            </w:r>
          </w:p>
        </w:tc>
      </w:tr>
      <w:tr w:rsidR="0025189D" w:rsidRPr="0025189D" w14:paraId="1D16D5CB" w14:textId="77777777" w:rsidTr="0025189D">
        <w:trPr>
          <w:trHeight w:val="290"/>
        </w:trPr>
        <w:tc>
          <w:tcPr>
            <w:tcW w:w="1418" w:type="dxa"/>
            <w:tcBorders>
              <w:top w:val="nil"/>
              <w:left w:val="nil"/>
              <w:bottom w:val="nil"/>
              <w:right w:val="nil"/>
            </w:tcBorders>
            <w:shd w:val="clear" w:color="auto" w:fill="auto"/>
            <w:noWrap/>
            <w:vAlign w:val="bottom"/>
            <w:hideMark/>
          </w:tcPr>
          <w:p w14:paraId="71080375" w14:textId="77777777" w:rsidR="0025189D" w:rsidRPr="0025189D" w:rsidRDefault="0025189D" w:rsidP="0025189D">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nil"/>
              <w:bottom w:val="nil"/>
              <w:right w:val="nil"/>
            </w:tcBorders>
            <w:shd w:val="clear" w:color="auto" w:fill="auto"/>
            <w:noWrap/>
            <w:vAlign w:val="bottom"/>
            <w:hideMark/>
          </w:tcPr>
          <w:p w14:paraId="5B79A420"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0.85</w:t>
            </w:r>
          </w:p>
        </w:tc>
        <w:tc>
          <w:tcPr>
            <w:tcW w:w="1014" w:type="dxa"/>
            <w:tcBorders>
              <w:top w:val="nil"/>
              <w:left w:val="nil"/>
              <w:bottom w:val="nil"/>
              <w:right w:val="nil"/>
            </w:tcBorders>
            <w:shd w:val="clear" w:color="auto" w:fill="auto"/>
            <w:noWrap/>
            <w:vAlign w:val="bottom"/>
            <w:hideMark/>
          </w:tcPr>
          <w:p w14:paraId="649A4CF2"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0.77</w:t>
            </w:r>
          </w:p>
        </w:tc>
        <w:tc>
          <w:tcPr>
            <w:tcW w:w="1134" w:type="dxa"/>
            <w:tcBorders>
              <w:top w:val="nil"/>
              <w:left w:val="nil"/>
              <w:bottom w:val="nil"/>
              <w:right w:val="nil"/>
            </w:tcBorders>
            <w:shd w:val="clear" w:color="auto" w:fill="auto"/>
            <w:noWrap/>
            <w:vAlign w:val="bottom"/>
            <w:hideMark/>
          </w:tcPr>
          <w:p w14:paraId="0E86BA48"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0.88</w:t>
            </w:r>
          </w:p>
        </w:tc>
        <w:tc>
          <w:tcPr>
            <w:tcW w:w="1134" w:type="dxa"/>
            <w:tcBorders>
              <w:top w:val="nil"/>
              <w:left w:val="nil"/>
              <w:bottom w:val="nil"/>
              <w:right w:val="nil"/>
            </w:tcBorders>
            <w:shd w:val="clear" w:color="auto" w:fill="auto"/>
            <w:noWrap/>
            <w:vAlign w:val="bottom"/>
            <w:hideMark/>
          </w:tcPr>
          <w:p w14:paraId="61A511E1"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0.94</w:t>
            </w:r>
          </w:p>
        </w:tc>
        <w:tc>
          <w:tcPr>
            <w:tcW w:w="1417" w:type="dxa"/>
            <w:tcBorders>
              <w:top w:val="nil"/>
              <w:left w:val="nil"/>
              <w:bottom w:val="nil"/>
              <w:right w:val="nil"/>
            </w:tcBorders>
            <w:shd w:val="clear" w:color="auto" w:fill="D0CECE" w:themeFill="background2" w:themeFillShade="E6"/>
            <w:noWrap/>
            <w:vAlign w:val="bottom"/>
            <w:hideMark/>
          </w:tcPr>
          <w:p w14:paraId="14ABC7A6" w14:textId="77777777" w:rsidR="0025189D" w:rsidRPr="0025189D" w:rsidRDefault="0025189D" w:rsidP="0025189D">
            <w:pPr>
              <w:suppressAutoHyphens w:val="0"/>
              <w:jc w:val="right"/>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124</w:t>
            </w:r>
          </w:p>
        </w:tc>
      </w:tr>
    </w:tbl>
    <w:p w14:paraId="584FE209" w14:textId="77777777" w:rsidR="00D678AA" w:rsidRDefault="00D678AA" w:rsidP="00D678AA">
      <w:pPr>
        <w:rPr>
          <w:b/>
          <w:bCs/>
        </w:rPr>
      </w:pPr>
    </w:p>
    <w:p w14:paraId="184AAB1A" w14:textId="127BF84E" w:rsidR="00263DD3" w:rsidRPr="00D678AA" w:rsidRDefault="00D678AA" w:rsidP="00D678AA">
      <w:r>
        <w:rPr>
          <w:b/>
          <w:bCs/>
        </w:rPr>
        <w:t xml:space="preserve">Table X: </w:t>
      </w:r>
      <w:r>
        <w:t xml:space="preserve">phylogenetically informed integration between the full shape (upper triangles) and residual shape (lower triangles) of modules. All r-PLS values were significant at </w:t>
      </w:r>
      <w:r>
        <w:rPr>
          <w:i/>
          <w:iCs/>
        </w:rPr>
        <w:t xml:space="preserve">p </w:t>
      </w:r>
      <w:r>
        <w:t xml:space="preserve">&lt; 0.05 except for the integration between residuals of orbital and molar modules. </w:t>
      </w:r>
      <w:r w:rsidR="009942D1">
        <w:t>For P-value tables, see Supplementary Table X.</w:t>
      </w:r>
    </w:p>
    <w:p w14:paraId="11CB85A6" w14:textId="77777777" w:rsidR="00263DD3" w:rsidRDefault="00263DD3">
      <w:pPr>
        <w:spacing w:line="480" w:lineRule="auto"/>
      </w:pPr>
    </w:p>
    <w:p w14:paraId="1809E441" w14:textId="2EB9324D" w:rsidR="008922AE" w:rsidRDefault="00000000">
      <w:pPr>
        <w:spacing w:line="480" w:lineRule="auto"/>
      </w:pPr>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w:t>
      </w:r>
      <w:r>
        <w:lastRenderedPageBreak/>
        <w:t xml:space="preserve">between the rostrum and the adjacent orbital region (0.81). </w:t>
      </w:r>
      <w:bookmarkEnd w:id="14"/>
      <w:r>
        <w:t xml:space="preserve">The r statistics for the full shape dataset were all above 0.51 (Table 1, upper triangle), indicating medium-to-strong positive shape variation relationships between all modules. The molar module consistently had the lowest r 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However, none of the difference in integration were clear in terms of significance, and may just exist because the molar</w:t>
      </w:r>
      <w:r w:rsidRPr="002173E8">
        <w:rPr>
          <w:b/>
          <w:bCs/>
        </w:rPr>
        <w:t xml:space="preserve"> module has the fewest landmarks (n = 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5" w:name="_heading=h.35nkun2"/>
      <w:bookmarkEnd w:id="15"/>
      <w:r>
        <w:rPr>
          <w:b/>
          <w:color w:val="000000"/>
        </w:rPr>
        <w:t xml:space="preserve">Figure 3: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(b,d)</w:t>
      </w:r>
      <w:r>
        <w:t xml:space="preserve"> and shape residual </w:t>
      </w:r>
      <w:r w:rsidR="00564AD8">
        <w:t xml:space="preserve">(c,e)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6" w:name="_heading=h.1ksv4uv"/>
      <w:bookmarkEnd w:id="16"/>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7" w:name="_heading=h.44sinio"/>
      <w:bookmarkEnd w:id="17"/>
      <w:r>
        <w:t>Phylo-morphological distance</w:t>
      </w:r>
    </w:p>
    <w:p w14:paraId="65CC6035" w14:textId="00016EA4" w:rsidR="008922AE" w:rsidRDefault="00000000">
      <w:pPr>
        <w:spacing w:line="480" w:lineRule="auto"/>
      </w:pPr>
      <w:r>
        <w:t xml:space="preserve">Our phylo-morphological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4550BE">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4550BE">
        <w:rPr>
          <w:noProof/>
        </w:rPr>
        <w:t>(Voje</w:t>
      </w:r>
      <w:r w:rsidR="004550BE" w:rsidRPr="004550BE">
        <w:rPr>
          <w:i/>
          <w:noProof/>
        </w:rPr>
        <w:t xml:space="preserve"> et al.</w:t>
      </w:r>
      <w:r w:rsidR="004550BE">
        <w:rPr>
          <w:noProof/>
        </w:rPr>
        <w:t>, 2014)</w:t>
      </w:r>
      <w:r>
        <w:fldChar w:fldCharType="end"/>
      </w:r>
      <w:r>
        <w:t xml:space="preserve">. As expected, all of the points closest to the origin (i.e. low phylogenetic </w:t>
      </w:r>
      <w:r>
        <w:rPr>
          <w:i/>
        </w:rPr>
        <w:t xml:space="preserve">and </w:t>
      </w:r>
      <w:r>
        <w:t xml:space="preserve">low morphological distances) are </w:t>
      </w:r>
      <w:r>
        <w:lastRenderedPageBreak/>
        <w:t xml:space="preserve">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semiaquatic species are ignored, the remaining dataset’s maximum distances appear around 3.1 </w:t>
      </w:r>
      <w:r>
        <w:lastRenderedPageBreak/>
        <w:t xml:space="preserve">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8" w:name="_heading=h.2jxsxqh"/>
      <w:bookmarkEnd w:id="18"/>
      <w:r>
        <w:rPr>
          <w:b/>
          <w:color w:val="000000"/>
        </w:rPr>
        <w:t xml:space="preserve">Figure 5: </w:t>
      </w:r>
      <w:r>
        <w:rPr>
          <w:bCs/>
          <w:color w:val="000000"/>
        </w:rPr>
        <w:t>Phylo-morphological distance plots.</w:t>
      </w:r>
      <w:bookmarkStart w:id="19" w:name="_heading=h.z337ya"/>
      <w:bookmarkEnd w:id="19"/>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t>Discussion</w:t>
      </w:r>
    </w:p>
    <w:p w14:paraId="375E3967" w14:textId="77777777" w:rsidR="008922AE" w:rsidRDefault="008922AE">
      <w:pPr>
        <w:spacing w:line="480" w:lineRule="auto"/>
      </w:pPr>
    </w:p>
    <w:p w14:paraId="34CCF86A" w14:textId="11082818" w:rsidR="008922AE" w:rsidRDefault="00000000">
      <w:pPr>
        <w:spacing w:line="480" w:lineRule="auto"/>
      </w:pPr>
      <w:r>
        <w:t xml:space="preserve">In this study, we characterised the evolution of cranial shape beyond allometric patterns in a highly allometric clade of Australian murine rodents to understand the degree to which the facial gracilization that is part of the CREA pattern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4550BE">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4550BE">
        <w:rPr>
          <w:noProof/>
        </w:rPr>
        <w:t>(Smaers</w:t>
      </w:r>
      <w:r w:rsidR="004550BE" w:rsidRPr="004550BE">
        <w:rPr>
          <w:i/>
          <w:noProof/>
        </w:rPr>
        <w:t xml:space="preserve"> et al.</w:t>
      </w:r>
      <w:r w:rsidR="004550BE">
        <w:rPr>
          <w:noProof/>
        </w:rPr>
        <w:t>, 2021)</w:t>
      </w:r>
      <w:r>
        <w:fldChar w:fldCharType="end"/>
      </w:r>
      <w:r>
        <w:t xml:space="preserve"> – or have a different distribution of the brain tissue within the braincase </w:t>
      </w:r>
      <w:r>
        <w:fldChar w:fldCharType="begin"/>
      </w:r>
      <w:r w:rsidR="004550BE">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4550BE">
        <w:rPr>
          <w:noProof/>
        </w:rPr>
        <w:t>(Weisbecker</w:t>
      </w:r>
      <w:r w:rsidR="004550BE" w:rsidRPr="004550BE">
        <w:rPr>
          <w:i/>
          <w:noProof/>
        </w:rPr>
        <w:t xml:space="preserve"> et al.</w:t>
      </w:r>
      <w:r w:rsidR="004550BE">
        <w:rPr>
          <w:noProof/>
        </w:rPr>
        <w:t>,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05B60BED"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rsidR="004550BE">
        <w:instrText xml:space="preserve"> ADDIN EN.CITE </w:instrText>
      </w:r>
      <w:r w:rsidR="004550BE">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rsidR="004550BE">
        <w:instrText xml:space="preserve"> ADDIN EN.CITE.DATA </w:instrText>
      </w:r>
      <w:r w:rsidR="004550BE">
        <w:fldChar w:fldCharType="end"/>
      </w:r>
      <w:r w:rsidR="00245C5E">
        <w:fldChar w:fldCharType="separate"/>
      </w:r>
      <w:r w:rsidR="004550BE">
        <w:rPr>
          <w:noProof/>
        </w:rPr>
        <w:t>(Marroig &amp; Cheverud, 2005; Mitchell</w:t>
      </w:r>
      <w:r w:rsidR="004550BE" w:rsidRPr="004550BE">
        <w:rPr>
          <w:i/>
          <w:noProof/>
        </w:rPr>
        <w:t xml:space="preserve"> et al.</w:t>
      </w:r>
      <w:r w:rsidR="004550BE">
        <w:rPr>
          <w:noProof/>
        </w:rPr>
        <w:t>, 2018; Mitchell</w:t>
      </w:r>
      <w:r w:rsidR="004550BE" w:rsidRPr="004550BE">
        <w:rPr>
          <w:i/>
          <w:noProof/>
        </w:rPr>
        <w:t xml:space="preserve"> et al.</w:t>
      </w:r>
      <w:r w:rsidR="004550BE">
        <w:rPr>
          <w:noProof/>
        </w:rPr>
        <w:t>, 2024; Singleton, 2005; Weisbecker</w:t>
      </w:r>
      <w:r w:rsidR="004550BE" w:rsidRPr="004550BE">
        <w:rPr>
          <w:i/>
          <w:noProof/>
        </w:rPr>
        <w:t xml:space="preserve"> et al.</w:t>
      </w:r>
      <w:r w:rsidR="004550BE">
        <w:rPr>
          <w:noProof/>
        </w:rPr>
        <w:t>, 2019)</w:t>
      </w:r>
      <w:r w:rsidR="00245C5E">
        <w:fldChar w:fldCharType="end"/>
      </w:r>
      <w:r>
        <w:t>. This is probably particularly true for rodents, where high levels 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rsidR="004550BE">
        <w:instrText xml:space="preserve"> ADDIN EN.CITE </w:instrText>
      </w:r>
      <w:r w:rsidR="004550BE">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rsidR="004550BE">
        <w:instrText xml:space="preserve"> ADDIN EN.CITE.DATA </w:instrText>
      </w:r>
      <w:r w:rsidR="004550BE">
        <w:fldChar w:fldCharType="end"/>
      </w:r>
      <w:r w:rsidR="00245C5E">
        <w:fldChar w:fldCharType="separate"/>
      </w:r>
      <w:r w:rsidR="004550BE">
        <w:rPr>
          <w:noProof/>
        </w:rPr>
        <w:t>(Cox</w:t>
      </w:r>
      <w:r w:rsidR="004550BE" w:rsidRPr="004550BE">
        <w:rPr>
          <w:i/>
          <w:noProof/>
        </w:rPr>
        <w:t xml:space="preserve"> et al.</w:t>
      </w:r>
      <w:r w:rsidR="004550BE">
        <w:rPr>
          <w:noProof/>
        </w:rPr>
        <w:t xml:space="preserve">, 2012; Druzinsky, </w:t>
      </w:r>
      <w:r w:rsidR="004550BE">
        <w:rPr>
          <w:noProof/>
        </w:rPr>
        <w:lastRenderedPageBreak/>
        <w:t>2015; Ginot</w:t>
      </w:r>
      <w:r w:rsidR="004550BE" w:rsidRPr="004550BE">
        <w:rPr>
          <w:i/>
          <w:noProof/>
        </w:rPr>
        <w:t xml:space="preserve"> et al.</w:t>
      </w:r>
      <w:r w:rsidR="004550BE">
        <w:rPr>
          <w:noProof/>
        </w:rPr>
        <w:t>, 2018; Lessa &amp; Patton, 1989; Marcy</w:t>
      </w:r>
      <w:r w:rsidR="004550BE" w:rsidRPr="004550BE">
        <w:rPr>
          <w:i/>
          <w:noProof/>
        </w:rPr>
        <w:t xml:space="preserve"> et al.</w:t>
      </w:r>
      <w:r w:rsidR="004550BE">
        <w:rPr>
          <w:noProof/>
        </w:rPr>
        <w:t>, 2020; Marcy</w:t>
      </w:r>
      <w:r w:rsidR="004550BE" w:rsidRPr="004550BE">
        <w:rPr>
          <w:i/>
          <w:noProof/>
        </w:rPr>
        <w:t xml:space="preserve"> et al.</w:t>
      </w:r>
      <w:r w:rsidR="004550BE">
        <w:rPr>
          <w:noProof/>
        </w:rPr>
        <w:t>,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specialised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056383EE" w:rsidR="008922AE" w:rsidRDefault="00000000">
      <w:pPr>
        <w:spacing w:line="480" w:lineRule="auto"/>
      </w:pPr>
      <w:r>
        <w:tab/>
        <w:t>Under the assumptions of</w:t>
      </w:r>
      <w:r w:rsidR="00245C5E">
        <w:t xml:space="preserve"> Mitchell et al’s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4550BE">
        <w:instrText xml:space="preserve"> ADDIN EN.CITE </w:instrText>
      </w:r>
      <w:r w:rsidR="004550BE">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4550BE">
        <w:instrText xml:space="preserve"> ADDIN EN.CITE.DATA </w:instrText>
      </w:r>
      <w:r w:rsidR="004550BE">
        <w:fldChar w:fldCharType="end"/>
      </w:r>
      <w:r w:rsidR="00245C5E">
        <w:fldChar w:fldCharType="separate"/>
      </w:r>
      <w:r w:rsidR="004550BE">
        <w:rPr>
          <w:noProof/>
        </w:rPr>
        <w:t>(Hennekam</w:t>
      </w:r>
      <w:r w:rsidR="004550BE" w:rsidRPr="004550BE">
        <w:rPr>
          <w:i/>
          <w:noProof/>
        </w:rPr>
        <w:t xml:space="preserve"> et al.</w:t>
      </w:r>
      <w:r w:rsidR="004550BE">
        <w:rPr>
          <w:noProof/>
        </w:rPr>
        <w:t>, 2020; Williams</w:t>
      </w:r>
      <w:r w:rsidR="004550BE" w:rsidRPr="004550BE">
        <w:rPr>
          <w:i/>
          <w:noProof/>
        </w:rPr>
        <w:t xml:space="preserve"> et al.</w:t>
      </w:r>
      <w:r w:rsidR="004550BE">
        <w:rPr>
          <w:noProof/>
        </w:rPr>
        <w:t>,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4550BE">
        <w:instrText xml:space="preserve"> ADDIN EN.CITE </w:instrText>
      </w:r>
      <w:r w:rsidR="004550B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4550BE">
        <w:instrText xml:space="preserve"> ADDIN EN.CITE.DATA </w:instrText>
      </w:r>
      <w:r w:rsidR="004550BE">
        <w:fldChar w:fldCharType="end"/>
      </w:r>
      <w:r w:rsidR="00245C5E">
        <w:fldChar w:fldCharType="separate"/>
      </w:r>
      <w:r w:rsidR="004550BE">
        <w:rPr>
          <w:noProof/>
        </w:rPr>
        <w:t>(Figueirido</w:t>
      </w:r>
      <w:r w:rsidR="004550BE" w:rsidRPr="004550BE">
        <w:rPr>
          <w:i/>
          <w:noProof/>
        </w:rPr>
        <w:t xml:space="preserve"> et al.</w:t>
      </w:r>
      <w:r w:rsidR="004550BE">
        <w:rPr>
          <w:noProof/>
        </w:rPr>
        <w:t>, 2014; Mitchell, 2019; Strait</w:t>
      </w:r>
      <w:r w:rsidR="004550BE" w:rsidRPr="004550BE">
        <w:rPr>
          <w:i/>
          <w:noProof/>
        </w:rPr>
        <w:t xml:space="preserve"> et al.</w:t>
      </w:r>
      <w:r w:rsidR="004550BE">
        <w:rPr>
          <w:noProof/>
        </w:rPr>
        <w:t>,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4550B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4550BE">
        <w:rPr>
          <w:noProof/>
        </w:rPr>
        <w:t>(Murray</w:t>
      </w:r>
      <w:r w:rsidR="004550BE" w:rsidRPr="004550BE">
        <w:rPr>
          <w:i/>
          <w:noProof/>
        </w:rPr>
        <w:t xml:space="preserve"> et al.</w:t>
      </w:r>
      <w:r w:rsidR="004550BE">
        <w:rPr>
          <w:noProof/>
        </w:rPr>
        <w:t>,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t xml:space="preserve">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w:t>
      </w:r>
      <w:r>
        <w:lastRenderedPageBreak/>
        <w:t>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01D0B56B"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folivory for the broad-toothed rat </w:t>
      </w:r>
      <w:r>
        <w:rPr>
          <w:i/>
        </w:rPr>
        <w:t>Mastacomys</w:t>
      </w:r>
      <w:r>
        <w:t>, which lies above the common allometric line</w:t>
      </w:r>
      <w:r w:rsidR="00076B55">
        <w:t xml:space="preserve"> in the full dataset</w:t>
      </w:r>
      <w:r>
        <w:t xml:space="preserve">, and bipedal hopping for </w:t>
      </w:r>
      <w:r>
        <w:rPr>
          <w:i/>
        </w:rPr>
        <w:t>Notomys</w:t>
      </w:r>
      <w:r>
        <w:t xml:space="preserve">, which lies below this line. In terms of shape, </w:t>
      </w:r>
      <w:r>
        <w:rPr>
          <w:i/>
          <w:iCs/>
        </w:rPr>
        <w:t>Mastacomys</w:t>
      </w:r>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region relative to the snout, as would be expected for a smaller murid. Despite this overall difference in multivariate intercept, the allometric slopes within the genera </w:t>
      </w:r>
      <w:r>
        <w:rPr>
          <w:i/>
          <w:iCs/>
        </w:rPr>
        <w:t>Notomys</w:t>
      </w:r>
      <w:r>
        <w:t xml:space="preserve"> and </w:t>
      </w:r>
      <w:r>
        <w:rPr>
          <w:i/>
          <w:iCs/>
        </w:rPr>
        <w:t>Mastacomys</w:t>
      </w:r>
      <w:r>
        <w:t xml:space="preserve"> are not significantly different from the common allometric slope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w:t>
      </w:r>
      <w:r w:rsidR="004550BE">
        <w:rPr>
          <w:noProof/>
        </w:rPr>
        <w:lastRenderedPageBreak/>
        <w:t>(2020)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4550BE">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4550BE">
        <w:rPr>
          <w:noProof/>
        </w:rPr>
        <w:t>((represented by the intercept differences of the allomeric slope; Mitchell</w:t>
      </w:r>
      <w:r w:rsidR="004550BE" w:rsidRPr="004550BE">
        <w:rPr>
          <w:i/>
          <w:noProof/>
        </w:rPr>
        <w:t xml:space="preserve"> et al.</w:t>
      </w:r>
      <w:r w:rsidR="004550BE">
        <w:rPr>
          <w:noProof/>
        </w:rPr>
        <w:t>, 2024)</w:t>
      </w:r>
      <w:r w:rsidR="00245C5E">
        <w:fldChar w:fldCharType="end"/>
      </w:r>
    </w:p>
    <w:p w14:paraId="4D9B1B6D" w14:textId="77777777" w:rsidR="008922AE" w:rsidRDefault="008922AE">
      <w:pPr>
        <w:spacing w:line="480" w:lineRule="auto"/>
      </w:pPr>
    </w:p>
    <w:p w14:paraId="52781224" w14:textId="437B6B66"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4550BE">
        <w:rPr>
          <w:noProof/>
        </w:rPr>
        <w:t>(Mitchell</w:t>
      </w:r>
      <w:r w:rsidR="004550BE" w:rsidRPr="004550BE">
        <w:rPr>
          <w:i/>
          <w:noProof/>
        </w:rPr>
        <w:t xml:space="preserve"> et al.</w:t>
      </w:r>
      <w:r w:rsidR="004550BE">
        <w:rPr>
          <w:noProof/>
        </w:rPr>
        <w:t>, 2024)</w:t>
      </w:r>
      <w:r w:rsidR="00422522">
        <w:fldChar w:fldCharType="end"/>
      </w:r>
      <w:r>
        <w:t>.</w:t>
      </w:r>
    </w:p>
    <w:p w14:paraId="635CDE58" w14:textId="77777777" w:rsidR="008922AE" w:rsidRDefault="008922AE">
      <w:pPr>
        <w:spacing w:line="480" w:lineRule="auto"/>
      </w:pPr>
    </w:p>
    <w:p w14:paraId="7CCACC0D" w14:textId="32B97E15" w:rsidR="008922AE" w:rsidRDefault="00000000">
      <w:pPr>
        <w:spacing w:line="480" w:lineRule="auto"/>
      </w:pPr>
      <w:r>
        <w:t xml:space="preserve">Counter to our expectations, morphological distances between species did not correspond with increases in phylogenetic distances. Instead, the asymptotic divergence pattern of shape </w:t>
      </w:r>
      <w:r>
        <w:lastRenderedPageBreak/>
        <w:t>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4550B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4550BE">
        <w:rPr>
          <w:noProof/>
        </w:rPr>
        <w:t>(sensu Schluter; Marcy</w:t>
      </w:r>
      <w:r w:rsidR="004550BE" w:rsidRPr="004550BE">
        <w:rPr>
          <w:i/>
          <w:noProof/>
        </w:rPr>
        <w:t xml:space="preserve"> et al.</w:t>
      </w:r>
      <w:r w:rsidR="004550BE">
        <w:rPr>
          <w:noProof/>
        </w:rPr>
        <w:t>,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 </w:t>
      </w:r>
      <w:r>
        <w:fldChar w:fldCharType="begin"/>
      </w:r>
      <w:r w:rsidR="004550BE">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4550BE">
        <w:rPr>
          <w:noProof/>
        </w:rPr>
        <w:t>(Harmon</w:t>
      </w:r>
      <w:r w:rsidR="004550BE" w:rsidRPr="004550BE">
        <w:rPr>
          <w:i/>
          <w:noProof/>
        </w:rPr>
        <w:t xml:space="preserve"> et al.</w:t>
      </w:r>
      <w:r w:rsidR="004550BE">
        <w:rPr>
          <w:noProof/>
        </w:rPr>
        <w:t>,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4D894E2A"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t>
      </w:r>
      <w:r>
        <w:rPr>
          <w:bCs/>
        </w:rPr>
        <w:lastRenderedPageBreak/>
        <w:t>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72BF2B53" w14:textId="3A201A0E" w:rsidR="00B27788" w:rsidRPr="00B27788" w:rsidRDefault="00751EC7" w:rsidP="00B27788">
      <w:pPr>
        <w:pStyle w:val="EndNoteBibliography"/>
        <w:ind w:left="720" w:hanging="720"/>
        <w:rPr>
          <w:noProof/>
        </w:rPr>
      </w:pPr>
      <w:r>
        <w:fldChar w:fldCharType="begin"/>
      </w:r>
      <w:r>
        <w:instrText xml:space="preserve"> ADDIN EN.REFLIST </w:instrText>
      </w:r>
      <w:r>
        <w:fldChar w:fldCharType="separate"/>
      </w:r>
      <w:r w:rsidR="00B27788" w:rsidRPr="00B27788">
        <w:rPr>
          <w:noProof/>
        </w:rPr>
        <w:t xml:space="preserve">Adams, D. C. (2016). Evaluating modularity in morphometric data: challenges with the RV coefficient and a new test measure. </w:t>
      </w:r>
      <w:r w:rsidR="00B27788" w:rsidRPr="00B27788">
        <w:rPr>
          <w:i/>
          <w:noProof/>
        </w:rPr>
        <w:t>Methods in Ecology and Evolution, 7</w:t>
      </w:r>
      <w:r w:rsidR="00B27788" w:rsidRPr="00B27788">
        <w:rPr>
          <w:noProof/>
        </w:rPr>
        <w:t>(5), 565-572. doi:</w:t>
      </w:r>
      <w:hyperlink r:id="rId14" w:history="1">
        <w:r w:rsidR="00B27788" w:rsidRPr="00B27788">
          <w:rPr>
            <w:rStyle w:val="Hyperlink"/>
            <w:noProof/>
          </w:rPr>
          <w:t>https://doi.org/10.1111/2041-210X.12511</w:t>
        </w:r>
      </w:hyperlink>
    </w:p>
    <w:p w14:paraId="1FC843D1" w14:textId="77777777" w:rsidR="00B27788" w:rsidRPr="00B27788" w:rsidRDefault="00B27788" w:rsidP="00B27788">
      <w:pPr>
        <w:pStyle w:val="EndNoteBibliography"/>
        <w:ind w:left="720" w:hanging="720"/>
        <w:rPr>
          <w:noProof/>
        </w:rPr>
      </w:pPr>
      <w:r w:rsidRPr="00B27788">
        <w:rPr>
          <w:noProof/>
        </w:rPr>
        <w:t xml:space="preserve">Adams, D. C., &amp; Collyer, M. L. (2016). On the comparison of the strength of morphological integration across morphometric datasets. </w:t>
      </w:r>
      <w:r w:rsidRPr="00B27788">
        <w:rPr>
          <w:i/>
          <w:noProof/>
        </w:rPr>
        <w:t>Evolution, 70</w:t>
      </w:r>
      <w:r w:rsidRPr="00B27788">
        <w:rPr>
          <w:noProof/>
        </w:rPr>
        <w:t xml:space="preserve">(11), 2623-2631. </w:t>
      </w:r>
    </w:p>
    <w:p w14:paraId="1D5AD7DB" w14:textId="225FB881" w:rsidR="00B27788" w:rsidRPr="00B27788" w:rsidRDefault="00B27788" w:rsidP="00B27788">
      <w:pPr>
        <w:pStyle w:val="EndNoteBibliography"/>
        <w:ind w:left="720" w:hanging="720"/>
        <w:rPr>
          <w:noProof/>
        </w:rPr>
      </w:pPr>
      <w:r w:rsidRPr="00B27788">
        <w:rPr>
          <w:noProof/>
        </w:rPr>
        <w:t xml:space="preserve">Adams, D. C., &amp; Collyer, M. L. (2019). Comparing the strength of modular signal, and evaluating alternative modular hypotheses, using covariance ratio effect sizes with morphometric data. </w:t>
      </w:r>
      <w:r w:rsidRPr="00B27788">
        <w:rPr>
          <w:i/>
          <w:noProof/>
        </w:rPr>
        <w:t>Evolution, 73</w:t>
      </w:r>
      <w:r w:rsidRPr="00B27788">
        <w:rPr>
          <w:noProof/>
        </w:rPr>
        <w:t>(12), 2352-2367. doi:</w:t>
      </w:r>
      <w:hyperlink r:id="rId15" w:history="1">
        <w:r w:rsidRPr="00B27788">
          <w:rPr>
            <w:rStyle w:val="Hyperlink"/>
            <w:noProof/>
          </w:rPr>
          <w:t>https://doi.org/10.1111/evo.13867</w:t>
        </w:r>
      </w:hyperlink>
    </w:p>
    <w:p w14:paraId="117AE35F" w14:textId="098EE34F" w:rsidR="00B27788" w:rsidRPr="00B27788" w:rsidRDefault="00B27788" w:rsidP="00B27788">
      <w:pPr>
        <w:pStyle w:val="EndNoteBibliography"/>
        <w:ind w:left="720" w:hanging="720"/>
        <w:rPr>
          <w:noProof/>
        </w:rPr>
      </w:pPr>
      <w:r w:rsidRPr="00B27788">
        <w:rPr>
          <w:noProof/>
        </w:rPr>
        <w:t xml:space="preserve">Adams, D. C., Collyer, M. L., Kaliontzopoulou, A., &amp; Baken, E. K. (2022). Geomorph: Software for geometric morphometric analyses. </w:t>
      </w:r>
      <w:r w:rsidRPr="00B27788">
        <w:rPr>
          <w:i/>
          <w:noProof/>
        </w:rPr>
        <w:t xml:space="preserve">R package version 4.0.4. </w:t>
      </w:r>
      <w:hyperlink r:id="rId16" w:history="1">
        <w:r w:rsidRPr="00B27788">
          <w:rPr>
            <w:rStyle w:val="Hyperlink"/>
            <w:i/>
            <w:noProof/>
          </w:rPr>
          <w:t>https://cran.r-project.org/package=geomorph</w:t>
        </w:r>
      </w:hyperlink>
      <w:r w:rsidRPr="00B27788">
        <w:rPr>
          <w:noProof/>
        </w:rPr>
        <w:t xml:space="preserve">. </w:t>
      </w:r>
    </w:p>
    <w:p w14:paraId="28608197" w14:textId="7EFB8EBB" w:rsidR="00B27788" w:rsidRPr="00B27788" w:rsidRDefault="00B27788" w:rsidP="00B27788">
      <w:pPr>
        <w:pStyle w:val="EndNoteBibliography"/>
        <w:ind w:left="720" w:hanging="720"/>
        <w:rPr>
          <w:noProof/>
        </w:rPr>
      </w:pPr>
      <w:r w:rsidRPr="00B27788">
        <w:rPr>
          <w:noProof/>
        </w:rPr>
        <w:t xml:space="preserve">Adams, D. C., &amp; Felice, R. N. (2014). Assessing trait covariation and morphological integration on phylogenies using evolutionary covariance matrices. </w:t>
      </w:r>
      <w:r w:rsidRPr="00B27788">
        <w:rPr>
          <w:i/>
          <w:noProof/>
        </w:rPr>
        <w:t>PLOS ONE, 9</w:t>
      </w:r>
      <w:r w:rsidRPr="00B27788">
        <w:rPr>
          <w:noProof/>
        </w:rPr>
        <w:t>(4), e94335. doi:</w:t>
      </w:r>
      <w:hyperlink r:id="rId17" w:history="1">
        <w:r w:rsidRPr="00B27788">
          <w:rPr>
            <w:rStyle w:val="Hyperlink"/>
            <w:noProof/>
          </w:rPr>
          <w:t>https://doi.org/10.1371/journal.pone.0094335</w:t>
        </w:r>
      </w:hyperlink>
    </w:p>
    <w:p w14:paraId="1003AFE6" w14:textId="77777777" w:rsidR="00B27788" w:rsidRPr="00B27788" w:rsidRDefault="00B27788" w:rsidP="00B27788">
      <w:pPr>
        <w:pStyle w:val="EndNoteBibliography"/>
        <w:ind w:left="720" w:hanging="720"/>
        <w:rPr>
          <w:noProof/>
        </w:rPr>
      </w:pPr>
      <w:r w:rsidRPr="00B27788">
        <w:rPr>
          <w:noProof/>
        </w:rPr>
        <w:t xml:space="preserve">Aplin, K. P., &amp; Ford, F. (2014). Murine rodents: late but highly successful invaders. In H. H. T. Prins &amp; I. J. Gordon (Eds.), </w:t>
      </w:r>
      <w:r w:rsidRPr="00B27788">
        <w:rPr>
          <w:i/>
          <w:noProof/>
        </w:rPr>
        <w:t>Invasion Biology and Ecological Theory: Insights from a Continent in Transformation</w:t>
      </w:r>
      <w:r w:rsidRPr="00B27788">
        <w:rPr>
          <w:noProof/>
        </w:rPr>
        <w:t xml:space="preserve"> (pp. 196-240). Cambridge: Cambridge University Press.</w:t>
      </w:r>
    </w:p>
    <w:p w14:paraId="56807F5F" w14:textId="3794B2BE" w:rsidR="00B27788" w:rsidRPr="00B27788" w:rsidRDefault="00B27788" w:rsidP="00B27788">
      <w:pPr>
        <w:pStyle w:val="EndNoteBibliography"/>
        <w:ind w:left="720" w:hanging="720"/>
        <w:rPr>
          <w:noProof/>
        </w:rPr>
      </w:pPr>
      <w:r w:rsidRPr="00B27788">
        <w:rPr>
          <w:noProof/>
        </w:rPr>
        <w:t xml:space="preserve">Baken, E. K., Collyer, M. L., Kaliontzopoulou, A., &amp; Adams, D. C. (2021). geomorph v4.0 and gmShiny: enhanced analytics and a new graphical interface for a comprehensive morphometric experience. </w:t>
      </w:r>
      <w:r w:rsidRPr="00B27788">
        <w:rPr>
          <w:i/>
          <w:noProof/>
        </w:rPr>
        <w:t>Methods in Ecology and Evolution, 12</w:t>
      </w:r>
      <w:r w:rsidRPr="00B27788">
        <w:rPr>
          <w:noProof/>
        </w:rPr>
        <w:t>, 2355-2363. doi:</w:t>
      </w:r>
      <w:hyperlink r:id="rId18" w:history="1">
        <w:r w:rsidRPr="00B27788">
          <w:rPr>
            <w:rStyle w:val="Hyperlink"/>
            <w:noProof/>
          </w:rPr>
          <w:t>https://doi.org/10.1111/2041-210X.13723</w:t>
        </w:r>
      </w:hyperlink>
    </w:p>
    <w:p w14:paraId="54B83F79" w14:textId="77777777" w:rsidR="00B27788" w:rsidRPr="00B27788" w:rsidRDefault="00B27788" w:rsidP="00B27788">
      <w:pPr>
        <w:pStyle w:val="EndNoteBibliography"/>
        <w:ind w:left="720" w:hanging="720"/>
        <w:rPr>
          <w:noProof/>
        </w:rPr>
      </w:pPr>
      <w:r w:rsidRPr="00B27788">
        <w:rPr>
          <w:noProof/>
        </w:rPr>
        <w:t xml:space="preserve">Bonferroni, C. (1936). Teoria statistica delle classi e calcolo delle probabilita. </w:t>
      </w:r>
      <w:r w:rsidRPr="00B27788">
        <w:rPr>
          <w:i/>
          <w:noProof/>
        </w:rPr>
        <w:t>Pubblicazioni del R Istituto Superiore di Scienze Economiche e Commericiali di Firenze, 8</w:t>
      </w:r>
      <w:r w:rsidRPr="00B27788">
        <w:rPr>
          <w:noProof/>
        </w:rPr>
        <w:t xml:space="preserve">, 3-62. </w:t>
      </w:r>
    </w:p>
    <w:p w14:paraId="1AE68944" w14:textId="2DD04064" w:rsidR="00B27788" w:rsidRPr="00B27788" w:rsidRDefault="00B27788" w:rsidP="00B27788">
      <w:pPr>
        <w:pStyle w:val="EndNoteBibliography"/>
        <w:ind w:left="720" w:hanging="720"/>
        <w:rPr>
          <w:noProof/>
        </w:rPr>
      </w:pPr>
      <w:r w:rsidRPr="00B27788">
        <w:rPr>
          <w:noProof/>
        </w:rPr>
        <w:t xml:space="preserve">Bookstein, F. L. (2015). Integration, disintegration, and self-similarity: characterizing the scales of shape variation in landmark data. </w:t>
      </w:r>
      <w:r w:rsidRPr="00B27788">
        <w:rPr>
          <w:i/>
          <w:noProof/>
        </w:rPr>
        <w:t>Evolutionary Biology, 42</w:t>
      </w:r>
      <w:r w:rsidRPr="00B27788">
        <w:rPr>
          <w:noProof/>
        </w:rPr>
        <w:t>(4), 395-426. doi:</w:t>
      </w:r>
      <w:hyperlink r:id="rId19" w:history="1">
        <w:r w:rsidRPr="00B27788">
          <w:rPr>
            <w:rStyle w:val="Hyperlink"/>
            <w:noProof/>
          </w:rPr>
          <w:t>https://doi.org/10.1007/s11692-015-9317-8</w:t>
        </w:r>
      </w:hyperlink>
    </w:p>
    <w:p w14:paraId="64C8A4B8" w14:textId="77777777" w:rsidR="00B27788" w:rsidRPr="00B27788" w:rsidRDefault="00B27788" w:rsidP="00B27788">
      <w:pPr>
        <w:pStyle w:val="EndNoteBibliography"/>
        <w:ind w:left="720" w:hanging="720"/>
        <w:rPr>
          <w:noProof/>
        </w:rPr>
      </w:pPr>
      <w:r w:rsidRPr="00B27788">
        <w:rPr>
          <w:noProof/>
        </w:rPr>
        <w:t xml:space="preserve">Breed, B., &amp; Ford, F. (2007). </w:t>
      </w:r>
      <w:r w:rsidRPr="00B27788">
        <w:rPr>
          <w:i/>
          <w:noProof/>
        </w:rPr>
        <w:t>Native Mice and Rats</w:t>
      </w:r>
      <w:r w:rsidRPr="00B27788">
        <w:rPr>
          <w:noProof/>
        </w:rPr>
        <w:t>.</w:t>
      </w:r>
    </w:p>
    <w:p w14:paraId="05751BD7" w14:textId="08AE31CD" w:rsidR="00B27788" w:rsidRPr="00B27788" w:rsidRDefault="00B27788" w:rsidP="00B27788">
      <w:pPr>
        <w:pStyle w:val="EndNoteBibliography"/>
        <w:ind w:left="720" w:hanging="720"/>
        <w:rPr>
          <w:noProof/>
        </w:rPr>
      </w:pPr>
      <w:r w:rsidRPr="00B27788">
        <w:rPr>
          <w:noProof/>
        </w:rPr>
        <w:t xml:space="preserve">Bright, J. A., Marugán-Lobón, J., Cobb, S. N., &amp; Rayfield, E. J. (2016). The shapes of bird beaks are highly controlled by nondietary factors. </w:t>
      </w:r>
      <w:r w:rsidRPr="00B27788">
        <w:rPr>
          <w:i/>
          <w:noProof/>
        </w:rPr>
        <w:t>Proceedings of the National Academy of Sciences, 113</w:t>
      </w:r>
      <w:r w:rsidRPr="00B27788">
        <w:rPr>
          <w:noProof/>
        </w:rPr>
        <w:t>(19), 5352-5357. doi:</w:t>
      </w:r>
      <w:hyperlink r:id="rId20" w:history="1">
        <w:r w:rsidRPr="00B27788">
          <w:rPr>
            <w:rStyle w:val="Hyperlink"/>
            <w:noProof/>
          </w:rPr>
          <w:t>https://doi.org/10.1073/pnas.1602683113</w:t>
        </w:r>
      </w:hyperlink>
    </w:p>
    <w:p w14:paraId="05799F64" w14:textId="77777777" w:rsidR="00B27788" w:rsidRPr="00B27788" w:rsidRDefault="00B27788" w:rsidP="00B27788">
      <w:pPr>
        <w:pStyle w:val="EndNoteBibliography"/>
        <w:ind w:left="720" w:hanging="720"/>
        <w:rPr>
          <w:noProof/>
        </w:rPr>
      </w:pPr>
      <w:r w:rsidRPr="00B27788">
        <w:rPr>
          <w:noProof/>
        </w:rPr>
        <w:t xml:space="preserve">Burnham, K. P., &amp; Anderson, D. R. (2002). </w:t>
      </w:r>
      <w:r w:rsidRPr="00B27788">
        <w:rPr>
          <w:i/>
          <w:noProof/>
        </w:rPr>
        <w:t>Model Selection and Multi-Model Inference</w:t>
      </w:r>
      <w:r w:rsidRPr="00B27788">
        <w:rPr>
          <w:noProof/>
        </w:rPr>
        <w:t>. New York: Springer.</w:t>
      </w:r>
    </w:p>
    <w:p w14:paraId="07C3B3F1" w14:textId="651D94E8" w:rsidR="00B27788" w:rsidRPr="00B27788" w:rsidRDefault="00B27788" w:rsidP="00B27788">
      <w:pPr>
        <w:pStyle w:val="EndNoteBibliography"/>
        <w:ind w:left="720" w:hanging="720"/>
        <w:rPr>
          <w:noProof/>
        </w:rPr>
      </w:pPr>
      <w:r w:rsidRPr="00B27788">
        <w:rPr>
          <w:noProof/>
        </w:rPr>
        <w:t xml:space="preserve">Cardini, A. (2019). Craniofacial allometry is a rule in evolutionary radiations of placentals. </w:t>
      </w:r>
      <w:r w:rsidRPr="00B27788">
        <w:rPr>
          <w:i/>
          <w:noProof/>
        </w:rPr>
        <w:t>Evolutionary Biology, 46</w:t>
      </w:r>
      <w:r w:rsidRPr="00B27788">
        <w:rPr>
          <w:noProof/>
        </w:rPr>
        <w:t>(3), 239-248. doi:</w:t>
      </w:r>
      <w:hyperlink r:id="rId21" w:history="1">
        <w:r w:rsidRPr="00B27788">
          <w:rPr>
            <w:rStyle w:val="Hyperlink"/>
            <w:noProof/>
          </w:rPr>
          <w:t>https://doi.org/10.1007/s11692-019-09477-7</w:t>
        </w:r>
      </w:hyperlink>
    </w:p>
    <w:p w14:paraId="0DA54AF7" w14:textId="00518951" w:rsidR="00B27788" w:rsidRPr="00B27788" w:rsidRDefault="00B27788" w:rsidP="00B27788">
      <w:pPr>
        <w:pStyle w:val="EndNoteBibliography"/>
        <w:ind w:left="720" w:hanging="720"/>
        <w:rPr>
          <w:noProof/>
        </w:rPr>
      </w:pPr>
      <w:r w:rsidRPr="00B27788">
        <w:rPr>
          <w:noProof/>
        </w:rPr>
        <w:t xml:space="preserve">Cardini, A., Polly, D., Dawson, R., &amp; Milne, N. (2015). Why the long face? Kangaroos and wallabies follow the same ‘rule’ of cranial evolutionary allometry (CREA) as placentals. </w:t>
      </w:r>
      <w:r w:rsidRPr="00B27788">
        <w:rPr>
          <w:i/>
          <w:noProof/>
        </w:rPr>
        <w:t>Evolutionary Biology, 42</w:t>
      </w:r>
      <w:r w:rsidRPr="00B27788">
        <w:rPr>
          <w:noProof/>
        </w:rPr>
        <w:t>(2), 169-176. doi:</w:t>
      </w:r>
      <w:hyperlink r:id="rId22" w:history="1">
        <w:r w:rsidRPr="00B27788">
          <w:rPr>
            <w:rStyle w:val="Hyperlink"/>
            <w:noProof/>
          </w:rPr>
          <w:t>https://doi.org/10.1007/s11692-015-9308-9</w:t>
        </w:r>
      </w:hyperlink>
    </w:p>
    <w:p w14:paraId="1B0A1EDB" w14:textId="7C8030F8" w:rsidR="00B27788" w:rsidRPr="00B27788" w:rsidRDefault="00B27788" w:rsidP="00B27788">
      <w:pPr>
        <w:pStyle w:val="EndNoteBibliography"/>
        <w:ind w:left="720" w:hanging="720"/>
        <w:rPr>
          <w:noProof/>
        </w:rPr>
      </w:pPr>
      <w:r w:rsidRPr="00B27788">
        <w:rPr>
          <w:noProof/>
        </w:rPr>
        <w:t xml:space="preserve">Cavanaugh, J. E., &amp; Neath, A. A. (2019). The Akaike information criterion: Background, derivation, properties, application, interpretation, and refinements. </w:t>
      </w:r>
      <w:r w:rsidRPr="00B27788">
        <w:rPr>
          <w:i/>
          <w:noProof/>
        </w:rPr>
        <w:t>WIREs Computational Statistics, 11</w:t>
      </w:r>
      <w:r w:rsidRPr="00B27788">
        <w:rPr>
          <w:noProof/>
        </w:rPr>
        <w:t>(3), e1460. doi:</w:t>
      </w:r>
      <w:hyperlink r:id="rId23" w:history="1">
        <w:r w:rsidRPr="00B27788">
          <w:rPr>
            <w:rStyle w:val="Hyperlink"/>
            <w:noProof/>
          </w:rPr>
          <w:t>https://doi.org/10.1002/wics.1460</w:t>
        </w:r>
      </w:hyperlink>
    </w:p>
    <w:p w14:paraId="51F703BC" w14:textId="77777777" w:rsidR="00B27788" w:rsidRPr="00B27788" w:rsidRDefault="00B27788" w:rsidP="00B27788">
      <w:pPr>
        <w:pStyle w:val="EndNoteBibliography"/>
        <w:ind w:left="720" w:hanging="720"/>
        <w:rPr>
          <w:noProof/>
        </w:rPr>
      </w:pPr>
      <w:r w:rsidRPr="00B27788">
        <w:rPr>
          <w:noProof/>
        </w:rPr>
        <w:t xml:space="preserve">Clavel, J., Escarguel, G., &amp; Merceron, G. (2015). mvMORPH: an R package for fitting multivariate evolutionary models to morphometric data. </w:t>
      </w:r>
      <w:r w:rsidRPr="00B27788">
        <w:rPr>
          <w:i/>
          <w:noProof/>
        </w:rPr>
        <w:t>Methods in Ecology and Evolution, 6</w:t>
      </w:r>
      <w:r w:rsidRPr="00B27788">
        <w:rPr>
          <w:noProof/>
        </w:rPr>
        <w:t xml:space="preserve">(11), 1311-1319. </w:t>
      </w:r>
    </w:p>
    <w:p w14:paraId="13BF858B" w14:textId="46772E67" w:rsidR="00B27788" w:rsidRPr="00B27788" w:rsidRDefault="00B27788" w:rsidP="00B27788">
      <w:pPr>
        <w:pStyle w:val="EndNoteBibliography"/>
        <w:ind w:left="720" w:hanging="720"/>
        <w:rPr>
          <w:noProof/>
        </w:rPr>
      </w:pPr>
      <w:r w:rsidRPr="00B27788">
        <w:rPr>
          <w:noProof/>
        </w:rPr>
        <w:lastRenderedPageBreak/>
        <w:t xml:space="preserve">Collyer, M. L., &amp; Adams, D. C. (2018). RRPP: An R package for fitting linear models to high‐dimensional data using residual randomization. </w:t>
      </w:r>
      <w:r w:rsidRPr="00B27788">
        <w:rPr>
          <w:i/>
          <w:noProof/>
        </w:rPr>
        <w:t>Methods in Ecology and Evolution, 9</w:t>
      </w:r>
      <w:r w:rsidRPr="00B27788">
        <w:rPr>
          <w:noProof/>
        </w:rPr>
        <w:t>, 1772-1779. doi:</w:t>
      </w:r>
      <w:hyperlink r:id="rId24" w:history="1">
        <w:r w:rsidRPr="00B27788">
          <w:rPr>
            <w:rStyle w:val="Hyperlink"/>
            <w:noProof/>
          </w:rPr>
          <w:t>https://doi.org/10.1111/2041-210X.13029</w:t>
        </w:r>
      </w:hyperlink>
    </w:p>
    <w:p w14:paraId="32A3AE44" w14:textId="33B9BE0D" w:rsidR="00B27788" w:rsidRPr="00B27788" w:rsidRDefault="00B27788" w:rsidP="00B27788">
      <w:pPr>
        <w:pStyle w:val="EndNoteBibliography"/>
        <w:ind w:left="720" w:hanging="720"/>
        <w:rPr>
          <w:noProof/>
        </w:rPr>
      </w:pPr>
      <w:r w:rsidRPr="00B27788">
        <w:rPr>
          <w:noProof/>
        </w:rPr>
        <w:t xml:space="preserve">Collyer, M. L., &amp; Adams, D. C. (2019). RRPP: Linear Model Evaluation with Randomized Residuals in a Permutation Procedure. </w:t>
      </w:r>
      <w:hyperlink r:id="rId25" w:history="1">
        <w:r w:rsidRPr="00B27788">
          <w:rPr>
            <w:rStyle w:val="Hyperlink"/>
            <w:i/>
            <w:noProof/>
          </w:rPr>
          <w:t>https://CRAN.R-project.org/package=RRPP</w:t>
        </w:r>
      </w:hyperlink>
      <w:r w:rsidRPr="00B27788">
        <w:rPr>
          <w:noProof/>
        </w:rPr>
        <w:t xml:space="preserve">. </w:t>
      </w:r>
    </w:p>
    <w:p w14:paraId="1119386C" w14:textId="77777777" w:rsidR="00B27788" w:rsidRPr="00B27788" w:rsidRDefault="00B27788" w:rsidP="00B27788">
      <w:pPr>
        <w:pStyle w:val="EndNoteBibliography"/>
        <w:ind w:left="720" w:hanging="720"/>
        <w:rPr>
          <w:noProof/>
        </w:rPr>
      </w:pPr>
      <w:r w:rsidRPr="00B27788">
        <w:rPr>
          <w:noProof/>
        </w:rPr>
        <w:t xml:space="preserve">Cooper, N., Thomas, G. H., Venditti, C., Meade, A., &amp; Freckleton, R. P. (2016). A cautionary note on the use of Ornstein Uhlenbeck models in macroevolutionary studies. </w:t>
      </w:r>
      <w:r w:rsidRPr="00B27788">
        <w:rPr>
          <w:i/>
          <w:noProof/>
        </w:rPr>
        <w:t>Biological Journal of the Linnean Society, 118</w:t>
      </w:r>
      <w:r w:rsidRPr="00B27788">
        <w:rPr>
          <w:noProof/>
        </w:rPr>
        <w:t xml:space="preserve">(1), 64-77. </w:t>
      </w:r>
    </w:p>
    <w:p w14:paraId="090BC3C3" w14:textId="45DE466E" w:rsidR="00B27788" w:rsidRPr="00B27788" w:rsidRDefault="00B27788" w:rsidP="00B27788">
      <w:pPr>
        <w:pStyle w:val="EndNoteBibliography"/>
        <w:ind w:left="720" w:hanging="720"/>
        <w:rPr>
          <w:noProof/>
        </w:rPr>
      </w:pPr>
      <w:r w:rsidRPr="00B27788">
        <w:rPr>
          <w:noProof/>
        </w:rPr>
        <w:t xml:space="preserve">Cox, P. G., Rayfield, E. J., Fagan, M. J., Herrel, A., Pataky, T. C., &amp; Jeffery, N. (2012). Functional evolution of the feeding system in rodents. </w:t>
      </w:r>
      <w:r w:rsidRPr="00B27788">
        <w:rPr>
          <w:i/>
          <w:noProof/>
        </w:rPr>
        <w:t>PLOS ONE, 7</w:t>
      </w:r>
      <w:r w:rsidRPr="00B27788">
        <w:rPr>
          <w:noProof/>
        </w:rPr>
        <w:t>(4), e36299. doi:</w:t>
      </w:r>
      <w:hyperlink r:id="rId26" w:history="1">
        <w:r w:rsidRPr="00B27788">
          <w:rPr>
            <w:rStyle w:val="Hyperlink"/>
            <w:noProof/>
          </w:rPr>
          <w:t>https://doi.org/10.1371/journal.pone.0036299</w:t>
        </w:r>
      </w:hyperlink>
    </w:p>
    <w:p w14:paraId="4A3A575A" w14:textId="77777777" w:rsidR="00B27788" w:rsidRPr="00B27788" w:rsidRDefault="00B27788" w:rsidP="00B27788">
      <w:pPr>
        <w:pStyle w:val="EndNoteBibliography"/>
        <w:ind w:left="720" w:hanging="720"/>
        <w:rPr>
          <w:noProof/>
        </w:rPr>
      </w:pPr>
      <w:r w:rsidRPr="00B27788">
        <w:rPr>
          <w:noProof/>
        </w:rPr>
        <w:t xml:space="preserve">Druzinsky, R. E. (2015). The oral apparatus of rodents: variations on the theme of a gnawing machine. In L. Hautier &amp; P. G. Cox (Eds.), </w:t>
      </w:r>
      <w:r w:rsidRPr="00B27788">
        <w:rPr>
          <w:i/>
          <w:noProof/>
        </w:rPr>
        <w:t>Evolution of the Rodents: Advances in Phylogeny, Functional Morphology and Development</w:t>
      </w:r>
      <w:r w:rsidRPr="00B27788">
        <w:rPr>
          <w:noProof/>
        </w:rPr>
        <w:t xml:space="preserve"> (Vol. 5, pp. 323-349). Cambridge: Cambridge University Press.</w:t>
      </w:r>
    </w:p>
    <w:p w14:paraId="1A9109A9" w14:textId="31DB34BE" w:rsidR="00B27788" w:rsidRPr="00B27788" w:rsidRDefault="00B27788" w:rsidP="00B27788">
      <w:pPr>
        <w:pStyle w:val="EndNoteBibliography"/>
        <w:ind w:left="720" w:hanging="720"/>
        <w:rPr>
          <w:noProof/>
        </w:rPr>
      </w:pPr>
      <w:r w:rsidRPr="00B27788">
        <w:rPr>
          <w:noProof/>
        </w:rPr>
        <w:t xml:space="preserve">Esselstyn, J. A., Achmadi, A. S., &amp; Rowe, K. C. (2012). Evolutionary novelty in a rat with no molars. </w:t>
      </w:r>
      <w:r w:rsidRPr="00B27788">
        <w:rPr>
          <w:i/>
          <w:noProof/>
        </w:rPr>
        <w:t>Biology Letters, 8</w:t>
      </w:r>
      <w:r w:rsidRPr="00B27788">
        <w:rPr>
          <w:noProof/>
        </w:rPr>
        <w:t>(6), 990-993. doi:</w:t>
      </w:r>
      <w:hyperlink r:id="rId27" w:history="1">
        <w:r w:rsidRPr="00B27788">
          <w:rPr>
            <w:rStyle w:val="Hyperlink"/>
            <w:noProof/>
          </w:rPr>
          <w:t>https://doi.org/10.1098/rsbl.2012.0574</w:t>
        </w:r>
      </w:hyperlink>
    </w:p>
    <w:p w14:paraId="156DED04" w14:textId="748DABA6" w:rsidR="00B27788" w:rsidRPr="00B27788" w:rsidRDefault="00B27788" w:rsidP="00B27788">
      <w:pPr>
        <w:pStyle w:val="EndNoteBibliography"/>
        <w:ind w:left="720" w:hanging="720"/>
        <w:rPr>
          <w:noProof/>
        </w:rPr>
      </w:pPr>
      <w:r w:rsidRPr="00B27788">
        <w:rPr>
          <w:noProof/>
        </w:rPr>
        <w:t xml:space="preserve">Evans, K. M., Waltz, B., Tagliacollo, V., Chakrabarty, P., &amp; Albert, J. S. (2017). Why the short face? Developmental disintegration of the neurocranium drives convergent evolution in neotropical electric fishes. </w:t>
      </w:r>
      <w:r w:rsidRPr="00B27788">
        <w:rPr>
          <w:i/>
          <w:noProof/>
        </w:rPr>
        <w:t>Ecology and Evolution, 7</w:t>
      </w:r>
      <w:r w:rsidRPr="00B27788">
        <w:rPr>
          <w:noProof/>
        </w:rPr>
        <w:t>(6), 1783-1801. doi:</w:t>
      </w:r>
      <w:hyperlink r:id="rId28" w:history="1">
        <w:r w:rsidRPr="00B27788">
          <w:rPr>
            <w:rStyle w:val="Hyperlink"/>
            <w:noProof/>
          </w:rPr>
          <w:t>https://doi.org/10.1002/ece3.2704</w:t>
        </w:r>
      </w:hyperlink>
    </w:p>
    <w:p w14:paraId="767104ED" w14:textId="3349B42F" w:rsidR="00B27788" w:rsidRPr="00B27788" w:rsidRDefault="00B27788" w:rsidP="00B27788">
      <w:pPr>
        <w:pStyle w:val="EndNoteBibliography"/>
        <w:ind w:left="720" w:hanging="720"/>
        <w:rPr>
          <w:noProof/>
        </w:rPr>
      </w:pPr>
      <w:r w:rsidRPr="00B27788">
        <w:rPr>
          <w:noProof/>
        </w:rPr>
        <w:t xml:space="preserve">Figueirido, B., Tseng, Z. J., Serrano-Alarcón, F. J., Martín-Serra, A., &amp; Pastor, J. F. (2014). Three-dimensional computer simulations of feeding behaviour in red and giant pandas relate skull biomechanics with dietary niche partitioning. </w:t>
      </w:r>
      <w:r w:rsidRPr="00B27788">
        <w:rPr>
          <w:i/>
          <w:noProof/>
        </w:rPr>
        <w:t>Biology Letters, 10</w:t>
      </w:r>
      <w:r w:rsidRPr="00B27788">
        <w:rPr>
          <w:noProof/>
        </w:rPr>
        <w:t>(4), 20140196. doi:</w:t>
      </w:r>
      <w:hyperlink r:id="rId29" w:history="1">
        <w:r w:rsidRPr="00B27788">
          <w:rPr>
            <w:rStyle w:val="Hyperlink"/>
            <w:noProof/>
          </w:rPr>
          <w:t>https://doi.org/10.1098/rsbl.2014.0196</w:t>
        </w:r>
      </w:hyperlink>
    </w:p>
    <w:p w14:paraId="463DE036" w14:textId="7323E19D" w:rsidR="00B27788" w:rsidRPr="00B27788" w:rsidRDefault="00B27788" w:rsidP="00B27788">
      <w:pPr>
        <w:pStyle w:val="EndNoteBibliography"/>
        <w:ind w:left="720" w:hanging="720"/>
        <w:rPr>
          <w:noProof/>
        </w:rPr>
      </w:pPr>
      <w:r w:rsidRPr="00B27788">
        <w:rPr>
          <w:noProof/>
        </w:rPr>
        <w:t xml:space="preserve">Ginot, S., Claude, J., &amp; Hautier, L. (2018). One skull to rule them all? Descriptive and comparative anatomy of the masticatory apparatus in five mouse species. </w:t>
      </w:r>
      <w:r w:rsidRPr="00B27788">
        <w:rPr>
          <w:i/>
          <w:noProof/>
        </w:rPr>
        <w:t>Journal of Morphology, 279</w:t>
      </w:r>
      <w:r w:rsidRPr="00B27788">
        <w:rPr>
          <w:noProof/>
        </w:rPr>
        <w:t>(9), 1234-1255. doi:</w:t>
      </w:r>
      <w:hyperlink r:id="rId30" w:history="1">
        <w:r w:rsidRPr="00B27788">
          <w:rPr>
            <w:rStyle w:val="Hyperlink"/>
            <w:noProof/>
          </w:rPr>
          <w:t>https://doi.org/10.1002/jmor.20845</w:t>
        </w:r>
      </w:hyperlink>
    </w:p>
    <w:p w14:paraId="03A57979" w14:textId="3A27D71F" w:rsidR="00B27788" w:rsidRPr="00B27788" w:rsidRDefault="00B27788" w:rsidP="00B27788">
      <w:pPr>
        <w:pStyle w:val="EndNoteBibliography"/>
        <w:ind w:left="720" w:hanging="720"/>
        <w:rPr>
          <w:noProof/>
        </w:rPr>
      </w:pPr>
      <w:r w:rsidRPr="00B27788">
        <w:rPr>
          <w:noProof/>
        </w:rPr>
        <w:t xml:space="preserve">Goswami, A. (2006). Cranial modularity shifts during mammalian evolution. </w:t>
      </w:r>
      <w:r w:rsidRPr="00B27788">
        <w:rPr>
          <w:i/>
          <w:noProof/>
        </w:rPr>
        <w:t>The American Naturalist, 168</w:t>
      </w:r>
      <w:r w:rsidRPr="00B27788">
        <w:rPr>
          <w:noProof/>
        </w:rPr>
        <w:t>(2), 270-280. doi:</w:t>
      </w:r>
      <w:hyperlink r:id="rId31" w:history="1">
        <w:r w:rsidRPr="00B27788">
          <w:rPr>
            <w:rStyle w:val="Hyperlink"/>
            <w:noProof/>
          </w:rPr>
          <w:t>https://doi.org/10.1086/505758</w:t>
        </w:r>
      </w:hyperlink>
    </w:p>
    <w:p w14:paraId="1FFFBE26" w14:textId="3CD3BFAC" w:rsidR="00B27788" w:rsidRPr="00B27788" w:rsidRDefault="00B27788" w:rsidP="00B27788">
      <w:pPr>
        <w:pStyle w:val="EndNoteBibliography"/>
        <w:ind w:left="720" w:hanging="720"/>
        <w:rPr>
          <w:noProof/>
        </w:rPr>
      </w:pPr>
      <w:r w:rsidRPr="00B27788">
        <w:rPr>
          <w:noProof/>
        </w:rPr>
        <w:t xml:space="preserve">Goswami, A., Noirault, E., Coombs, E. J., Clavel, J., Fabre, A.-C., Halliday, T. J. D., Churchill, M., Curtis, A., Watanabe, A., Simmons, N. B., Beatty, B. L., Geisler, J. H., Fox, D. L., &amp; Felice, R. N. (2022). Attenuated evolution of mammals through the Cenozoic. </w:t>
      </w:r>
      <w:r w:rsidRPr="00B27788">
        <w:rPr>
          <w:i/>
          <w:noProof/>
        </w:rPr>
        <w:t>Science, 378</w:t>
      </w:r>
      <w:r w:rsidRPr="00B27788">
        <w:rPr>
          <w:noProof/>
        </w:rPr>
        <w:t>(6618), 377-383. doi:</w:t>
      </w:r>
      <w:hyperlink r:id="rId32" w:history="1">
        <w:r w:rsidRPr="00B27788">
          <w:rPr>
            <w:rStyle w:val="Hyperlink"/>
            <w:noProof/>
          </w:rPr>
          <w:t>https://doi.org/10.1126/science.abm7525</w:t>
        </w:r>
      </w:hyperlink>
    </w:p>
    <w:p w14:paraId="5DAB3CC2" w14:textId="242BE3D0" w:rsidR="00B27788" w:rsidRPr="00B27788" w:rsidRDefault="00B27788" w:rsidP="00B27788">
      <w:pPr>
        <w:pStyle w:val="EndNoteBibliography"/>
        <w:ind w:left="720" w:hanging="720"/>
        <w:rPr>
          <w:noProof/>
        </w:rPr>
      </w:pPr>
      <w:r w:rsidRPr="00B27788">
        <w:rPr>
          <w:noProof/>
        </w:rPr>
        <w:t xml:space="preserve">Guillerme, T., &amp; Weisbecker, V. (2019). LandvR: Tools for measuring landmark position variation. </w:t>
      </w:r>
      <w:r w:rsidRPr="00B27788">
        <w:rPr>
          <w:i/>
          <w:noProof/>
        </w:rPr>
        <w:t>Zenodo</w:t>
      </w:r>
      <w:r w:rsidRPr="00B27788">
        <w:rPr>
          <w:noProof/>
        </w:rPr>
        <w:t>. doi:</w:t>
      </w:r>
      <w:hyperlink r:id="rId33" w:history="1">
        <w:r w:rsidRPr="00B27788">
          <w:rPr>
            <w:rStyle w:val="Hyperlink"/>
            <w:noProof/>
          </w:rPr>
          <w:t>https://doi.org/10.5281/zenodo.2620785</w:t>
        </w:r>
      </w:hyperlink>
    </w:p>
    <w:p w14:paraId="4D31D5E6" w14:textId="08C5BEB6" w:rsidR="00B27788" w:rsidRPr="00B27788" w:rsidRDefault="00B27788" w:rsidP="00B27788">
      <w:pPr>
        <w:pStyle w:val="EndNoteBibliography"/>
        <w:ind w:left="720" w:hanging="720"/>
        <w:rPr>
          <w:noProof/>
        </w:rPr>
      </w:pPr>
      <w:r w:rsidRPr="00B27788">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B27788">
        <w:rPr>
          <w:i/>
          <w:noProof/>
        </w:rPr>
        <w:t>Evolution, 64</w:t>
      </w:r>
      <w:r w:rsidRPr="00B27788">
        <w:rPr>
          <w:noProof/>
        </w:rPr>
        <w:t>(8), 2385-2396. doi:</w:t>
      </w:r>
      <w:hyperlink r:id="rId34" w:history="1">
        <w:r w:rsidRPr="00B27788">
          <w:rPr>
            <w:rStyle w:val="Hyperlink"/>
            <w:noProof/>
          </w:rPr>
          <w:t>https://doi.org/10.1111/j.1558-5646.2010.01025.x</w:t>
        </w:r>
      </w:hyperlink>
    </w:p>
    <w:p w14:paraId="7F090B18" w14:textId="3958BDF1" w:rsidR="00B27788" w:rsidRPr="00B27788" w:rsidRDefault="00B27788" w:rsidP="00B27788">
      <w:pPr>
        <w:pStyle w:val="EndNoteBibliography"/>
        <w:ind w:left="720" w:hanging="720"/>
        <w:rPr>
          <w:noProof/>
        </w:rPr>
      </w:pPr>
      <w:r w:rsidRPr="00B27788">
        <w:rPr>
          <w:noProof/>
        </w:rPr>
        <w:t xml:space="preserve">Hennekam, J. J., Benson, R. B. J., Herridge, V. L., Jeffery, N., Torres-Roig, E., Alcover, J. A., &amp; Cox, P. G. (2020). Morphological divergence in giant fossil dormice. </w:t>
      </w:r>
      <w:r w:rsidRPr="00B27788">
        <w:rPr>
          <w:i/>
          <w:noProof/>
        </w:rPr>
        <w:t>Proceedings of the Royal Society B: Biological Sciences, 287</w:t>
      </w:r>
      <w:r w:rsidRPr="00B27788">
        <w:rPr>
          <w:noProof/>
        </w:rPr>
        <w:t>(1938), 20202085. doi:</w:t>
      </w:r>
      <w:hyperlink r:id="rId35" w:history="1">
        <w:r w:rsidRPr="00B27788">
          <w:rPr>
            <w:rStyle w:val="Hyperlink"/>
            <w:noProof/>
          </w:rPr>
          <w:t>https://doi.org/10.1098/rspb.2020.2085</w:t>
        </w:r>
      </w:hyperlink>
    </w:p>
    <w:p w14:paraId="4F1E1F9A" w14:textId="5B29FA32" w:rsidR="00B27788" w:rsidRPr="00B27788" w:rsidRDefault="00B27788" w:rsidP="00B27788">
      <w:pPr>
        <w:pStyle w:val="EndNoteBibliography"/>
        <w:ind w:left="720" w:hanging="720"/>
        <w:rPr>
          <w:noProof/>
        </w:rPr>
      </w:pPr>
      <w:r w:rsidRPr="00B27788">
        <w:rPr>
          <w:noProof/>
        </w:rPr>
        <w:lastRenderedPageBreak/>
        <w:t xml:space="preserve">Hetherington, A. J., Sherratt, E., Ruta, M., Wilkinson, M., Deline, B., &amp; Donoghue, P. C. J. (2015). Do cladistic and morphometric data capture common patterns of morphological disparity? </w:t>
      </w:r>
      <w:r w:rsidRPr="00B27788">
        <w:rPr>
          <w:i/>
          <w:noProof/>
        </w:rPr>
        <w:t>Palaeontology, 58</w:t>
      </w:r>
      <w:r w:rsidRPr="00B27788">
        <w:rPr>
          <w:noProof/>
        </w:rPr>
        <w:t>(3), 393-399. doi:</w:t>
      </w:r>
      <w:hyperlink r:id="rId36" w:history="1">
        <w:r w:rsidRPr="00B27788">
          <w:rPr>
            <w:rStyle w:val="Hyperlink"/>
            <w:noProof/>
          </w:rPr>
          <w:t>https://doi.org/10.1111/pala.12159</w:t>
        </w:r>
      </w:hyperlink>
    </w:p>
    <w:p w14:paraId="7EEA1378" w14:textId="2BA945F4" w:rsidR="00B27788" w:rsidRPr="00B27788" w:rsidRDefault="00B27788" w:rsidP="00B27788">
      <w:pPr>
        <w:pStyle w:val="EndNoteBibliography"/>
        <w:ind w:left="720" w:hanging="720"/>
        <w:rPr>
          <w:noProof/>
        </w:rPr>
      </w:pPr>
      <w:r w:rsidRPr="00B27788">
        <w:rPr>
          <w:noProof/>
        </w:rPr>
        <w:t xml:space="preserve">Kembel, S. W., Cowan, P. D., Helmus, M. R., Cornwell, W. K., Morlon, H., Ackerly, D. D., Blomberg, S. P., &amp; Webb, C. O. (2010). </w:t>
      </w:r>
      <w:r w:rsidRPr="00B27788">
        <w:rPr>
          <w:i/>
          <w:noProof/>
        </w:rPr>
        <w:t>Picante</w:t>
      </w:r>
      <w:r w:rsidRPr="00B27788">
        <w:rPr>
          <w:noProof/>
        </w:rPr>
        <w:t xml:space="preserve">: R tools for integrating phylogenies and ecology. </w:t>
      </w:r>
      <w:r w:rsidRPr="00B27788">
        <w:rPr>
          <w:i/>
          <w:noProof/>
        </w:rPr>
        <w:t>Bioinformatics, 26</w:t>
      </w:r>
      <w:r w:rsidRPr="00B27788">
        <w:rPr>
          <w:noProof/>
        </w:rPr>
        <w:t>(11), 1463-1464. doi:</w:t>
      </w:r>
      <w:hyperlink r:id="rId37" w:history="1">
        <w:r w:rsidRPr="00B27788">
          <w:rPr>
            <w:rStyle w:val="Hyperlink"/>
            <w:noProof/>
          </w:rPr>
          <w:t>https://doi.org/10.1093/bioinformatics/btq166</w:t>
        </w:r>
      </w:hyperlink>
    </w:p>
    <w:p w14:paraId="66D000B7" w14:textId="67F20C4C" w:rsidR="00B27788" w:rsidRPr="00B27788" w:rsidRDefault="00B27788" w:rsidP="00B27788">
      <w:pPr>
        <w:pStyle w:val="EndNoteBibliography"/>
        <w:ind w:left="720" w:hanging="720"/>
        <w:rPr>
          <w:noProof/>
        </w:rPr>
      </w:pPr>
      <w:r w:rsidRPr="00B27788">
        <w:rPr>
          <w:noProof/>
        </w:rPr>
        <w:t xml:space="preserve">Klingenberg, C. P. (2009). Morphometric integration and modularity in configurations of landmarks: tools for evaluating a priori hypotheses. </w:t>
      </w:r>
      <w:r w:rsidRPr="00B27788">
        <w:rPr>
          <w:i/>
          <w:noProof/>
        </w:rPr>
        <w:t>Evolution &amp; Development, 11</w:t>
      </w:r>
      <w:r w:rsidRPr="00B27788">
        <w:rPr>
          <w:noProof/>
        </w:rPr>
        <w:t>(4), 405-421. doi:</w:t>
      </w:r>
      <w:hyperlink r:id="rId38" w:history="1">
        <w:r w:rsidRPr="00B27788">
          <w:rPr>
            <w:rStyle w:val="Hyperlink"/>
            <w:noProof/>
          </w:rPr>
          <w:t>https://doi.org/10.1111/j.1525-142X.2009.00347.x</w:t>
        </w:r>
      </w:hyperlink>
    </w:p>
    <w:p w14:paraId="2C8AD55F" w14:textId="6045BB53" w:rsidR="00B27788" w:rsidRPr="00B27788" w:rsidRDefault="00B27788" w:rsidP="00B27788">
      <w:pPr>
        <w:pStyle w:val="EndNoteBibliography"/>
        <w:ind w:left="720" w:hanging="720"/>
        <w:rPr>
          <w:noProof/>
        </w:rPr>
      </w:pPr>
      <w:r w:rsidRPr="00B27788">
        <w:rPr>
          <w:noProof/>
        </w:rPr>
        <w:t xml:space="preserve">Klingenberg, C. P., &amp; Marugán-Lobón, J. (2013). Evolutionary covariation in geometric morphometric data: analyzing integration, modularity, and allometry in a phylogenetic context. </w:t>
      </w:r>
      <w:r w:rsidRPr="00B27788">
        <w:rPr>
          <w:i/>
          <w:noProof/>
        </w:rPr>
        <w:t>Systematic Biology, 62</w:t>
      </w:r>
      <w:r w:rsidRPr="00B27788">
        <w:rPr>
          <w:noProof/>
        </w:rPr>
        <w:t>(4), 591-610. doi:</w:t>
      </w:r>
      <w:hyperlink r:id="rId39" w:history="1">
        <w:r w:rsidRPr="00B27788">
          <w:rPr>
            <w:rStyle w:val="Hyperlink"/>
            <w:noProof/>
          </w:rPr>
          <w:t>https://doi.org/10.1093/sysbio/syt025</w:t>
        </w:r>
      </w:hyperlink>
    </w:p>
    <w:p w14:paraId="2810780A" w14:textId="2DB1ED56" w:rsidR="00B27788" w:rsidRPr="00B27788" w:rsidRDefault="00B27788" w:rsidP="00B27788">
      <w:pPr>
        <w:pStyle w:val="EndNoteBibliography"/>
        <w:ind w:left="720" w:hanging="720"/>
        <w:rPr>
          <w:noProof/>
        </w:rPr>
      </w:pPr>
      <w:r w:rsidRPr="00B27788">
        <w:rPr>
          <w:noProof/>
        </w:rPr>
        <w:t xml:space="preserve">Kraatz, B., &amp; Sherratt, E. (2016). Evolutionary morphology of the rabbit skull. </w:t>
      </w:r>
      <w:r w:rsidRPr="00B27788">
        <w:rPr>
          <w:i/>
          <w:noProof/>
        </w:rPr>
        <w:t>PeerJ, 4</w:t>
      </w:r>
      <w:r w:rsidRPr="00B27788">
        <w:rPr>
          <w:noProof/>
        </w:rPr>
        <w:t>, e2453. doi:</w:t>
      </w:r>
      <w:hyperlink r:id="rId40" w:history="1">
        <w:r w:rsidRPr="00B27788">
          <w:rPr>
            <w:rStyle w:val="Hyperlink"/>
            <w:noProof/>
          </w:rPr>
          <w:t>https://doi.org/10.7717/peerj.2453</w:t>
        </w:r>
      </w:hyperlink>
    </w:p>
    <w:p w14:paraId="3288095E" w14:textId="77777777" w:rsidR="00B27788" w:rsidRPr="00B27788" w:rsidRDefault="00B27788" w:rsidP="00B27788">
      <w:pPr>
        <w:pStyle w:val="EndNoteBibliography"/>
        <w:ind w:left="720" w:hanging="720"/>
        <w:rPr>
          <w:noProof/>
        </w:rPr>
      </w:pPr>
      <w:r w:rsidRPr="00B27788">
        <w:rPr>
          <w:noProof/>
        </w:rPr>
        <w:t xml:space="preserve">Legendre, P., &amp; Legendre, L. (2012). </w:t>
      </w:r>
      <w:r w:rsidRPr="00B27788">
        <w:rPr>
          <w:i/>
          <w:noProof/>
        </w:rPr>
        <w:t>Numerical ecology</w:t>
      </w:r>
      <w:r w:rsidRPr="00B27788">
        <w:rPr>
          <w:noProof/>
        </w:rPr>
        <w:t xml:space="preserve"> (3rd English Edition ed.): Elsevier.</w:t>
      </w:r>
    </w:p>
    <w:p w14:paraId="58212040" w14:textId="2ADA5040" w:rsidR="00B27788" w:rsidRPr="00B27788" w:rsidRDefault="00B27788" w:rsidP="00B27788">
      <w:pPr>
        <w:pStyle w:val="EndNoteBibliography"/>
        <w:ind w:left="720" w:hanging="720"/>
        <w:rPr>
          <w:noProof/>
        </w:rPr>
      </w:pPr>
      <w:r w:rsidRPr="00B27788">
        <w:rPr>
          <w:noProof/>
        </w:rPr>
        <w:t xml:space="preserve">Lessa, E. P., &amp; Patton, J. L. (1989). Structural constraints, recurrent shapes, and allometry in pocket gophers (genus Thomomys). </w:t>
      </w:r>
      <w:r w:rsidRPr="00B27788">
        <w:rPr>
          <w:i/>
          <w:noProof/>
        </w:rPr>
        <w:t>Biological Journal of the Linnean Society, 36</w:t>
      </w:r>
      <w:r w:rsidRPr="00B27788">
        <w:rPr>
          <w:noProof/>
        </w:rPr>
        <w:t>(4), 349-363. doi:</w:t>
      </w:r>
      <w:hyperlink r:id="rId41" w:history="1">
        <w:r w:rsidRPr="00B27788">
          <w:rPr>
            <w:rStyle w:val="Hyperlink"/>
            <w:noProof/>
          </w:rPr>
          <w:t>https://doi.org/10.1111/j.1095-8312.1989.tb00500.x</w:t>
        </w:r>
      </w:hyperlink>
    </w:p>
    <w:p w14:paraId="108B8C8F" w14:textId="5B010774" w:rsidR="00B27788" w:rsidRPr="00B27788" w:rsidRDefault="00B27788" w:rsidP="00B27788">
      <w:pPr>
        <w:pStyle w:val="EndNoteBibliography"/>
        <w:ind w:left="720" w:hanging="720"/>
        <w:rPr>
          <w:noProof/>
        </w:rPr>
      </w:pPr>
      <w:r w:rsidRPr="00B27788">
        <w:rPr>
          <w:noProof/>
        </w:rPr>
        <w:t xml:space="preserve">Marcy, A. E., Fruciano, C., Phillips, M. J., Mardon, K., &amp; Weisbecker, V. (2018). Low resolution scans can provide a sufficiently accurate, cost- and time-effective alternative to high resolution scans for 3D shape analyses. </w:t>
      </w:r>
      <w:r w:rsidRPr="00B27788">
        <w:rPr>
          <w:i/>
          <w:noProof/>
        </w:rPr>
        <w:t>PeerJ, 6</w:t>
      </w:r>
      <w:r w:rsidRPr="00B27788">
        <w:rPr>
          <w:noProof/>
        </w:rPr>
        <w:t>, e5032. doi:</w:t>
      </w:r>
      <w:hyperlink r:id="rId42" w:history="1">
        <w:r w:rsidRPr="00B27788">
          <w:rPr>
            <w:rStyle w:val="Hyperlink"/>
            <w:noProof/>
          </w:rPr>
          <w:t>https://doi.org/10.7717/peerj.5032</w:t>
        </w:r>
      </w:hyperlink>
    </w:p>
    <w:p w14:paraId="62E6AB87" w14:textId="7ED17F27" w:rsidR="00B27788" w:rsidRPr="00B27788" w:rsidRDefault="00B27788" w:rsidP="00B27788">
      <w:pPr>
        <w:pStyle w:val="EndNoteBibliography"/>
        <w:ind w:left="720" w:hanging="720"/>
        <w:rPr>
          <w:noProof/>
        </w:rPr>
      </w:pPr>
      <w:r w:rsidRPr="00B27788">
        <w:rPr>
          <w:noProof/>
        </w:rPr>
        <w:t xml:space="preserve">Marcy, A. E., Guillerme, T., Sherratt, E., Rowe, K. C., Phillips, M. J., &amp; Weisbecker, V. (2020). Australian rodents reveal conserved cranial evolutionary allometry across 10 million years of Murid evolution. </w:t>
      </w:r>
      <w:r w:rsidRPr="00B27788">
        <w:rPr>
          <w:i/>
          <w:noProof/>
        </w:rPr>
        <w:t>The American Naturalist, 196</w:t>
      </w:r>
      <w:r w:rsidRPr="00B27788">
        <w:rPr>
          <w:noProof/>
        </w:rPr>
        <w:t>(6), 755-768. doi:</w:t>
      </w:r>
      <w:hyperlink r:id="rId43" w:history="1">
        <w:r w:rsidRPr="00B27788">
          <w:rPr>
            <w:rStyle w:val="Hyperlink"/>
            <w:noProof/>
          </w:rPr>
          <w:t>https://doi.org/10.1086/711398</w:t>
        </w:r>
      </w:hyperlink>
    </w:p>
    <w:p w14:paraId="5176AB8D" w14:textId="61DFE5CB" w:rsidR="00B27788" w:rsidRPr="00B27788" w:rsidRDefault="00B27788" w:rsidP="00B27788">
      <w:pPr>
        <w:pStyle w:val="EndNoteBibliography"/>
        <w:ind w:left="720" w:hanging="720"/>
        <w:rPr>
          <w:noProof/>
        </w:rPr>
      </w:pPr>
      <w:r w:rsidRPr="00B27788">
        <w:rPr>
          <w:noProof/>
        </w:rPr>
        <w:t>Marcy, A. E., Hadly, E. A., Sherratt, E., Garland, K., &amp; Weisbecker, V. (2016). Getting a head in hard soils: Convergent skull evolution and divergent allometric patterns explain shape variation in a highly diverse genus of pocket gophers (</w:t>
      </w:r>
      <w:r w:rsidRPr="00B27788">
        <w:rPr>
          <w:i/>
          <w:noProof/>
        </w:rPr>
        <w:t>Thomomys</w:t>
      </w:r>
      <w:r w:rsidRPr="00B27788">
        <w:rPr>
          <w:noProof/>
        </w:rPr>
        <w:t xml:space="preserve">). </w:t>
      </w:r>
      <w:r w:rsidRPr="00B27788">
        <w:rPr>
          <w:i/>
          <w:noProof/>
        </w:rPr>
        <w:t>BMC Evolutionary Biology, 16</w:t>
      </w:r>
      <w:r w:rsidRPr="00B27788">
        <w:rPr>
          <w:noProof/>
        </w:rPr>
        <w:t>(1), 207. doi:</w:t>
      </w:r>
      <w:hyperlink r:id="rId44" w:history="1">
        <w:r w:rsidRPr="00B27788">
          <w:rPr>
            <w:rStyle w:val="Hyperlink"/>
            <w:noProof/>
          </w:rPr>
          <w:t>https://doi.org/10.1186/s12862-016-0782-1</w:t>
        </w:r>
      </w:hyperlink>
    </w:p>
    <w:p w14:paraId="30634FF4" w14:textId="69CB8FA8" w:rsidR="00B27788" w:rsidRPr="00B27788" w:rsidRDefault="00B27788" w:rsidP="00B27788">
      <w:pPr>
        <w:pStyle w:val="EndNoteBibliography"/>
        <w:ind w:left="720" w:hanging="720"/>
        <w:rPr>
          <w:noProof/>
        </w:rPr>
      </w:pPr>
      <w:r w:rsidRPr="00B27788">
        <w:rPr>
          <w:noProof/>
        </w:rPr>
        <w:t xml:space="preserve">Marroig, G., &amp; Cheverud, J. M. (2005). Size as a line of least evolutionary resistance: diet and adaptive morphological radiation in new world monkeys. </w:t>
      </w:r>
      <w:r w:rsidRPr="00B27788">
        <w:rPr>
          <w:i/>
          <w:noProof/>
        </w:rPr>
        <w:t>Evolution, 59</w:t>
      </w:r>
      <w:r w:rsidRPr="00B27788">
        <w:rPr>
          <w:noProof/>
        </w:rPr>
        <w:t>(5), 1128-1142. doi:</w:t>
      </w:r>
      <w:hyperlink r:id="rId45" w:history="1">
        <w:r w:rsidRPr="00B27788">
          <w:rPr>
            <w:rStyle w:val="Hyperlink"/>
            <w:noProof/>
          </w:rPr>
          <w:t>https://doi.org/10.1111/j.0014-3820.2005.tb01049.x</w:t>
        </w:r>
      </w:hyperlink>
    </w:p>
    <w:p w14:paraId="0F12AC47" w14:textId="62294E07" w:rsidR="00B27788" w:rsidRPr="00B27788" w:rsidRDefault="00B27788" w:rsidP="00B27788">
      <w:pPr>
        <w:pStyle w:val="EndNoteBibliography"/>
        <w:ind w:left="720" w:hanging="720"/>
        <w:rPr>
          <w:noProof/>
        </w:rPr>
      </w:pPr>
      <w:r w:rsidRPr="00B27788">
        <w:rPr>
          <w:noProof/>
        </w:rPr>
        <w:t xml:space="preserve">Mitchell, D. R. (2019). The anatomy of a crushing bite: The specialised cranial mechanics of a giant extinct kangaroo. </w:t>
      </w:r>
      <w:r w:rsidRPr="00B27788">
        <w:rPr>
          <w:i/>
          <w:noProof/>
        </w:rPr>
        <w:t>PLOS ONE, 14</w:t>
      </w:r>
      <w:r w:rsidRPr="00B27788">
        <w:rPr>
          <w:noProof/>
        </w:rPr>
        <w:t>(9), e0221287. doi:</w:t>
      </w:r>
      <w:hyperlink r:id="rId46" w:history="1">
        <w:r w:rsidRPr="00B27788">
          <w:rPr>
            <w:rStyle w:val="Hyperlink"/>
            <w:noProof/>
          </w:rPr>
          <w:t>https://doi.org/10.1371/journal.pone.0221287</w:t>
        </w:r>
      </w:hyperlink>
    </w:p>
    <w:p w14:paraId="07F00324" w14:textId="7475C3B5" w:rsidR="00B27788" w:rsidRPr="00B27788" w:rsidRDefault="00B27788" w:rsidP="00B27788">
      <w:pPr>
        <w:pStyle w:val="EndNoteBibliography"/>
        <w:ind w:left="720" w:hanging="720"/>
        <w:rPr>
          <w:noProof/>
        </w:rPr>
      </w:pPr>
      <w:r w:rsidRPr="00B27788">
        <w:rPr>
          <w:noProof/>
        </w:rPr>
        <w:t xml:space="preserve">Mitchell, D. R., Sherratt, E., Ledogar, J. A., &amp; Wroe, S. (2018). The biomechanics of foraging determines face length among kangaroos and their relatives. </w:t>
      </w:r>
      <w:r w:rsidRPr="00B27788">
        <w:rPr>
          <w:i/>
          <w:noProof/>
        </w:rPr>
        <w:t>Proceedings of the Royal Society B: Biological Sciences, 285</w:t>
      </w:r>
      <w:r w:rsidRPr="00B27788">
        <w:rPr>
          <w:noProof/>
        </w:rPr>
        <w:t>(1881), 20180845. doi:</w:t>
      </w:r>
      <w:hyperlink r:id="rId47" w:history="1">
        <w:r w:rsidRPr="00B27788">
          <w:rPr>
            <w:rStyle w:val="Hyperlink"/>
            <w:noProof/>
          </w:rPr>
          <w:t>https://doi.org/10.1098/rspb.2018.0845</w:t>
        </w:r>
      </w:hyperlink>
    </w:p>
    <w:p w14:paraId="4AEE2C42" w14:textId="77777777" w:rsidR="00B27788" w:rsidRPr="00B27788" w:rsidRDefault="00B27788" w:rsidP="00B27788">
      <w:pPr>
        <w:pStyle w:val="EndNoteBibliography"/>
        <w:ind w:left="720" w:hanging="720"/>
        <w:rPr>
          <w:noProof/>
        </w:rPr>
      </w:pPr>
      <w:r w:rsidRPr="00B27788">
        <w:rPr>
          <w:noProof/>
        </w:rPr>
        <w:t xml:space="preserve">Mitchell, D. R., Sherratt, E., &amp; Weisbecker, V. (2024). Facing the facts: Adaptive trade-offs along body size ranges determine mammalian craniofacial scaling </w:t>
      </w:r>
      <w:r w:rsidRPr="00B27788">
        <w:rPr>
          <w:i/>
          <w:noProof/>
        </w:rPr>
        <w:t>Biological Reviews, 99</w:t>
      </w:r>
      <w:r w:rsidRPr="00B27788">
        <w:rPr>
          <w:noProof/>
        </w:rPr>
        <w:t>(2), 496-524. doi:10.1111/brv.13032</w:t>
      </w:r>
    </w:p>
    <w:p w14:paraId="502243A0" w14:textId="0CDDDAD6" w:rsidR="00B27788" w:rsidRPr="00B27788" w:rsidRDefault="00B27788" w:rsidP="00B27788">
      <w:pPr>
        <w:pStyle w:val="EndNoteBibliography"/>
        <w:ind w:left="720" w:hanging="720"/>
        <w:rPr>
          <w:noProof/>
        </w:rPr>
      </w:pPr>
      <w:r w:rsidRPr="00B27788">
        <w:rPr>
          <w:noProof/>
        </w:rPr>
        <w:lastRenderedPageBreak/>
        <w:t xml:space="preserve">Murray, B. R., Dickman, C. R., Watts, C. H. S., &amp; Morton, S. R. (1999). The dietary ecology of Australian rodents. </w:t>
      </w:r>
      <w:r w:rsidRPr="00B27788">
        <w:rPr>
          <w:i/>
          <w:noProof/>
        </w:rPr>
        <w:t>Wildlife Research, 26</w:t>
      </w:r>
      <w:r w:rsidRPr="00B27788">
        <w:rPr>
          <w:noProof/>
        </w:rPr>
        <w:t>(6), 857-858. doi:</w:t>
      </w:r>
      <w:hyperlink r:id="rId48" w:history="1">
        <w:r w:rsidRPr="00B27788">
          <w:rPr>
            <w:rStyle w:val="Hyperlink"/>
            <w:noProof/>
          </w:rPr>
          <w:t>https://doi.org/10.1071/WR97046_CO</w:t>
        </w:r>
      </w:hyperlink>
    </w:p>
    <w:p w14:paraId="377B7CBB" w14:textId="14396A5E" w:rsidR="00B27788" w:rsidRPr="00B27788" w:rsidRDefault="00B27788" w:rsidP="00B27788">
      <w:pPr>
        <w:pStyle w:val="EndNoteBibliography"/>
        <w:ind w:left="720" w:hanging="720"/>
        <w:rPr>
          <w:noProof/>
        </w:rPr>
      </w:pPr>
      <w:r w:rsidRPr="00B27788">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B27788">
        <w:rPr>
          <w:i/>
          <w:noProof/>
        </w:rPr>
        <w:t xml:space="preserve">R package version 2.6-4 </w:t>
      </w:r>
      <w:hyperlink r:id="rId49" w:history="1">
        <w:r w:rsidRPr="00B27788">
          <w:rPr>
            <w:rStyle w:val="Hyperlink"/>
            <w:i/>
            <w:noProof/>
          </w:rPr>
          <w:t>https://CRAN.R-project.org/package=vegan</w:t>
        </w:r>
      </w:hyperlink>
      <w:r w:rsidRPr="00B27788">
        <w:rPr>
          <w:noProof/>
        </w:rPr>
        <w:t xml:space="preserve">. </w:t>
      </w:r>
    </w:p>
    <w:p w14:paraId="0EF55CE1" w14:textId="1C48E198" w:rsidR="00B27788" w:rsidRPr="00B27788" w:rsidRDefault="00B27788" w:rsidP="00B27788">
      <w:pPr>
        <w:pStyle w:val="EndNoteBibliography"/>
        <w:ind w:left="720" w:hanging="720"/>
        <w:rPr>
          <w:noProof/>
        </w:rPr>
      </w:pPr>
      <w:r w:rsidRPr="00B27788">
        <w:rPr>
          <w:noProof/>
        </w:rPr>
        <w:t xml:space="preserve">R Core Team. (2023). R: A Language and Environment for Statistical Computing_. . </w:t>
      </w:r>
      <w:r w:rsidRPr="00B27788">
        <w:rPr>
          <w:i/>
          <w:noProof/>
        </w:rPr>
        <w:t xml:space="preserve">R Foundation for Statistical Computing, Vienna, Austria. </w:t>
      </w:r>
      <w:hyperlink r:id="rId50" w:history="1">
        <w:r w:rsidRPr="00B27788">
          <w:rPr>
            <w:rStyle w:val="Hyperlink"/>
            <w:i/>
            <w:noProof/>
          </w:rPr>
          <w:t>https://www.R-project.org/</w:t>
        </w:r>
      </w:hyperlink>
      <w:r w:rsidRPr="00B27788">
        <w:rPr>
          <w:noProof/>
        </w:rPr>
        <w:t xml:space="preserve">. </w:t>
      </w:r>
    </w:p>
    <w:p w14:paraId="5A3A26E4" w14:textId="1BACC87F" w:rsidR="00B27788" w:rsidRPr="00B27788" w:rsidRDefault="00B27788" w:rsidP="00B27788">
      <w:pPr>
        <w:pStyle w:val="EndNoteBibliography"/>
        <w:ind w:left="720" w:hanging="720"/>
        <w:rPr>
          <w:noProof/>
        </w:rPr>
      </w:pPr>
      <w:r w:rsidRPr="00B27788">
        <w:rPr>
          <w:noProof/>
        </w:rPr>
        <w:t xml:space="preserve">Samuels, J. X. (2009). Cranial morphology and dietary habits of rodents. </w:t>
      </w:r>
      <w:r w:rsidRPr="00B27788">
        <w:rPr>
          <w:i/>
          <w:noProof/>
        </w:rPr>
        <w:t>Zoological Journal of the Linnean Society, 156</w:t>
      </w:r>
      <w:r w:rsidRPr="00B27788">
        <w:rPr>
          <w:noProof/>
        </w:rPr>
        <w:t>(4), 864-888. doi:</w:t>
      </w:r>
      <w:hyperlink r:id="rId51" w:history="1">
        <w:r w:rsidRPr="00B27788">
          <w:rPr>
            <w:rStyle w:val="Hyperlink"/>
            <w:noProof/>
          </w:rPr>
          <w:t>https://doi.org/10.1111/j.1096-3642.2009.00502.x</w:t>
        </w:r>
      </w:hyperlink>
    </w:p>
    <w:p w14:paraId="496BE62E" w14:textId="4C98518F" w:rsidR="00B27788" w:rsidRPr="00B27788" w:rsidRDefault="00B27788" w:rsidP="00B27788">
      <w:pPr>
        <w:pStyle w:val="EndNoteBibliography"/>
        <w:ind w:left="720" w:hanging="720"/>
        <w:rPr>
          <w:noProof/>
        </w:rPr>
      </w:pPr>
      <w:r w:rsidRPr="00B27788">
        <w:rPr>
          <w:noProof/>
        </w:rPr>
        <w:t xml:space="preserve">Sansalone, G., Colangelo, P., Loy, A., Raia, P., Wroe, S., &amp; Piras, P. (2019). Impact of transition to a subterranean lifestyle on morphological disparity and integration in talpid moles (Mammalia, Talpidae). </w:t>
      </w:r>
      <w:r w:rsidRPr="00B27788">
        <w:rPr>
          <w:i/>
          <w:noProof/>
        </w:rPr>
        <w:t>BMC Evolutionary Biology, 19</w:t>
      </w:r>
      <w:r w:rsidRPr="00B27788">
        <w:rPr>
          <w:noProof/>
        </w:rPr>
        <w:t>(1), 179. doi:</w:t>
      </w:r>
      <w:hyperlink r:id="rId52" w:history="1">
        <w:r w:rsidRPr="00B27788">
          <w:rPr>
            <w:rStyle w:val="Hyperlink"/>
            <w:noProof/>
          </w:rPr>
          <w:t>https://doi.org/10.1186/s12862-019-1506-0</w:t>
        </w:r>
      </w:hyperlink>
    </w:p>
    <w:p w14:paraId="7C50E5C6" w14:textId="77777777" w:rsidR="00B27788" w:rsidRPr="00B27788" w:rsidRDefault="00B27788" w:rsidP="00B27788">
      <w:pPr>
        <w:pStyle w:val="EndNoteBibliography"/>
        <w:ind w:left="720" w:hanging="720"/>
        <w:rPr>
          <w:noProof/>
        </w:rPr>
      </w:pPr>
      <w:r w:rsidRPr="00B27788">
        <w:rPr>
          <w:noProof/>
        </w:rPr>
        <w:t xml:space="preserve">Segura, V., Flores, D., &amp; Deferrari, G. (2023). Comparison of skull growth in two ecosystem modifiers: beavers Castor canadensis (Rodentia: Castoridae) and muskrats Ondatra zibethicus (Rodentia: Cricetidae). </w:t>
      </w:r>
      <w:r w:rsidRPr="00B27788">
        <w:rPr>
          <w:i/>
          <w:noProof/>
        </w:rPr>
        <w:t>Zoologischer Anzeiger, 304</w:t>
      </w:r>
      <w:r w:rsidRPr="00B27788">
        <w:rPr>
          <w:noProof/>
        </w:rPr>
        <w:t xml:space="preserve">, 61-72. </w:t>
      </w:r>
    </w:p>
    <w:p w14:paraId="38875373" w14:textId="77777777" w:rsidR="00B27788" w:rsidRPr="00B27788" w:rsidRDefault="00B27788" w:rsidP="00B27788">
      <w:pPr>
        <w:pStyle w:val="EndNoteBibliography"/>
        <w:ind w:left="720" w:hanging="720"/>
        <w:rPr>
          <w:noProof/>
        </w:rPr>
      </w:pPr>
      <w:r w:rsidRPr="00B27788">
        <w:rPr>
          <w:noProof/>
        </w:rPr>
        <w:t xml:space="preserve">Singleton, M. (2005). Functional shape variation in the Cercopithecine masticatory complex. In D. E. Slice (Ed.), </w:t>
      </w:r>
      <w:r w:rsidRPr="00B27788">
        <w:rPr>
          <w:i/>
          <w:noProof/>
        </w:rPr>
        <w:t>Modern Morphometrics in Physical Anthropology</w:t>
      </w:r>
      <w:r w:rsidRPr="00B27788">
        <w:rPr>
          <w:noProof/>
        </w:rPr>
        <w:t xml:space="preserve"> (pp. 319-348). Boston, MA: Springer US.</w:t>
      </w:r>
    </w:p>
    <w:p w14:paraId="77781A1B" w14:textId="2144988E" w:rsidR="00B27788" w:rsidRPr="00B27788" w:rsidRDefault="00B27788" w:rsidP="00B27788">
      <w:pPr>
        <w:pStyle w:val="EndNoteBibliography"/>
        <w:ind w:left="720" w:hanging="720"/>
        <w:rPr>
          <w:noProof/>
        </w:rPr>
      </w:pPr>
      <w:r w:rsidRPr="00B27788">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B27788">
        <w:rPr>
          <w:i/>
          <w:noProof/>
        </w:rPr>
        <w:t>Science Advances, 7</w:t>
      </w:r>
      <w:r w:rsidRPr="00B27788">
        <w:rPr>
          <w:noProof/>
        </w:rPr>
        <w:t>(18), eabe2101. doi:</w:t>
      </w:r>
      <w:hyperlink r:id="rId53" w:history="1">
        <w:r w:rsidRPr="00B27788">
          <w:rPr>
            <w:rStyle w:val="Hyperlink"/>
            <w:noProof/>
          </w:rPr>
          <w:t>https://doi.org/10.1126/sciadv.abe2101</w:t>
        </w:r>
      </w:hyperlink>
    </w:p>
    <w:p w14:paraId="0271B31E" w14:textId="175B0843" w:rsidR="00B27788" w:rsidRPr="00B27788" w:rsidRDefault="00B27788" w:rsidP="00B27788">
      <w:pPr>
        <w:pStyle w:val="EndNoteBibliography"/>
        <w:ind w:left="720" w:hanging="720"/>
        <w:rPr>
          <w:noProof/>
        </w:rPr>
      </w:pPr>
      <w:r w:rsidRPr="00263DD3">
        <w:rPr>
          <w:noProof/>
          <w:lang w:val="de-DE"/>
        </w:rPr>
        <w:t xml:space="preserve">Smissen, P. J., &amp; Rowe, K. C. (2018). </w:t>
      </w:r>
      <w:r w:rsidRPr="00B27788">
        <w:rPr>
          <w:noProof/>
        </w:rPr>
        <w:t xml:space="preserve">Repeated biome transitions in the evolution of Australian rodents. </w:t>
      </w:r>
      <w:r w:rsidRPr="00B27788">
        <w:rPr>
          <w:i/>
          <w:noProof/>
        </w:rPr>
        <w:t>Molecular Phylogenetics and Evolution, 128</w:t>
      </w:r>
      <w:r w:rsidRPr="00B27788">
        <w:rPr>
          <w:noProof/>
        </w:rPr>
        <w:t>, 182-191. doi:</w:t>
      </w:r>
      <w:hyperlink r:id="rId54" w:history="1">
        <w:r w:rsidRPr="00B27788">
          <w:rPr>
            <w:rStyle w:val="Hyperlink"/>
            <w:noProof/>
          </w:rPr>
          <w:t>https://doi.org/10.1016/j.ympev.2018.07.015</w:t>
        </w:r>
      </w:hyperlink>
    </w:p>
    <w:p w14:paraId="57A5E155" w14:textId="470CC3FE" w:rsidR="00B27788" w:rsidRPr="00B27788" w:rsidRDefault="00B27788" w:rsidP="00B27788">
      <w:pPr>
        <w:pStyle w:val="EndNoteBibliography"/>
        <w:ind w:left="720" w:hanging="720"/>
        <w:rPr>
          <w:noProof/>
        </w:rPr>
      </w:pPr>
      <w:r w:rsidRPr="00B27788">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B27788">
        <w:rPr>
          <w:i/>
          <w:noProof/>
        </w:rPr>
        <w:t>Australopithecus africanus</w:t>
      </w:r>
      <w:r w:rsidRPr="00B27788">
        <w:rPr>
          <w:noProof/>
        </w:rPr>
        <w:t xml:space="preserve">. </w:t>
      </w:r>
      <w:r w:rsidRPr="00B27788">
        <w:rPr>
          <w:i/>
          <w:noProof/>
        </w:rPr>
        <w:t>Proceedings of the National Academy of Sciences, 106</w:t>
      </w:r>
      <w:r w:rsidRPr="00B27788">
        <w:rPr>
          <w:noProof/>
        </w:rPr>
        <w:t>(7), 2124-2129. doi:</w:t>
      </w:r>
      <w:hyperlink r:id="rId55" w:history="1">
        <w:r w:rsidRPr="00B27788">
          <w:rPr>
            <w:rStyle w:val="Hyperlink"/>
            <w:noProof/>
          </w:rPr>
          <w:t>https://doi.org/10.1073/pnas.0808730106</w:t>
        </w:r>
      </w:hyperlink>
    </w:p>
    <w:p w14:paraId="58C95B9E" w14:textId="77777777" w:rsidR="00B27788" w:rsidRPr="00B27788" w:rsidRDefault="00B27788" w:rsidP="00B27788">
      <w:pPr>
        <w:pStyle w:val="EndNoteBibliography"/>
        <w:ind w:left="720" w:hanging="720"/>
        <w:rPr>
          <w:noProof/>
        </w:rPr>
      </w:pPr>
      <w:r w:rsidRPr="00B27788">
        <w:rPr>
          <w:noProof/>
        </w:rPr>
        <w:t xml:space="preserve">Van Valkenburgh, B. (1989). Carnivore dental adaptations and diet: A study of trophic diversity within Guilds. In J. L. Gittleman (Ed.), </w:t>
      </w:r>
      <w:r w:rsidRPr="00B27788">
        <w:rPr>
          <w:i/>
          <w:noProof/>
        </w:rPr>
        <w:t>Carnivore Behavior, Ecology, and Evolution</w:t>
      </w:r>
      <w:r w:rsidRPr="00B27788">
        <w:rPr>
          <w:noProof/>
        </w:rPr>
        <w:t xml:space="preserve"> (pp. 410-436). Boston, MA: Springer US.</w:t>
      </w:r>
    </w:p>
    <w:p w14:paraId="1B0E0710" w14:textId="0EF23D7D" w:rsidR="00B27788" w:rsidRPr="00B27788" w:rsidRDefault="00B27788" w:rsidP="00B27788">
      <w:pPr>
        <w:pStyle w:val="EndNoteBibliography"/>
        <w:ind w:left="720" w:hanging="720"/>
        <w:rPr>
          <w:noProof/>
        </w:rPr>
      </w:pPr>
      <w:r w:rsidRPr="00B27788">
        <w:rPr>
          <w:noProof/>
        </w:rPr>
        <w:t xml:space="preserve">Voje, K. L., Hansen, T. F., Egset, C. K., Bolstad, G. H., &amp; Pélabon, C. (2014). Allometric constraints and the evolution of allometry. </w:t>
      </w:r>
      <w:r w:rsidRPr="00B27788">
        <w:rPr>
          <w:i/>
          <w:noProof/>
        </w:rPr>
        <w:t>Evolution, 68</w:t>
      </w:r>
      <w:r w:rsidRPr="00B27788">
        <w:rPr>
          <w:noProof/>
        </w:rPr>
        <w:t>(3), 866-885. doi:</w:t>
      </w:r>
      <w:hyperlink r:id="rId56" w:history="1">
        <w:r w:rsidRPr="00B27788">
          <w:rPr>
            <w:rStyle w:val="Hyperlink"/>
            <w:noProof/>
          </w:rPr>
          <w:t>https://doi.org/10.1111/evo.12312</w:t>
        </w:r>
      </w:hyperlink>
    </w:p>
    <w:p w14:paraId="30D4E856" w14:textId="57C9B0D4" w:rsidR="00B27788" w:rsidRPr="00B27788" w:rsidRDefault="00B27788" w:rsidP="00B27788">
      <w:pPr>
        <w:pStyle w:val="EndNoteBibliography"/>
        <w:ind w:left="720" w:hanging="720"/>
        <w:rPr>
          <w:noProof/>
        </w:rPr>
      </w:pPr>
      <w:r w:rsidRPr="00B27788">
        <w:rPr>
          <w:noProof/>
        </w:rPr>
        <w:lastRenderedPageBreak/>
        <w:t xml:space="preserve">Weisbecker, V., Guillerme, T., Speck, C., Sherratt, E., Abraha, H. M., Sharp, A. C., Terhune, C. E., Collins, S., Johnston, S., &amp; Panagiotopoulou, O. (2019). Individual variation of the masticatory system dominates 3D skull shape in the herbivory-adapted marsupial wombats. </w:t>
      </w:r>
      <w:r w:rsidRPr="00B27788">
        <w:rPr>
          <w:i/>
          <w:noProof/>
        </w:rPr>
        <w:t>Frontiers in Zoology, 16</w:t>
      </w:r>
      <w:r w:rsidRPr="00B27788">
        <w:rPr>
          <w:noProof/>
        </w:rPr>
        <w:t>(1), 41. doi:</w:t>
      </w:r>
      <w:hyperlink r:id="rId57" w:history="1">
        <w:r w:rsidRPr="00B27788">
          <w:rPr>
            <w:rStyle w:val="Hyperlink"/>
            <w:noProof/>
          </w:rPr>
          <w:t>https://doi.org/10.1186/s12983-019-0338-5</w:t>
        </w:r>
      </w:hyperlink>
    </w:p>
    <w:p w14:paraId="2DA72BA6" w14:textId="6137A722" w:rsidR="00B27788" w:rsidRPr="00B27788" w:rsidRDefault="00B27788" w:rsidP="00B27788">
      <w:pPr>
        <w:pStyle w:val="EndNoteBibliography"/>
        <w:ind w:left="720" w:hanging="720"/>
        <w:rPr>
          <w:noProof/>
        </w:rPr>
      </w:pPr>
      <w:r w:rsidRPr="00B27788">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B27788">
        <w:rPr>
          <w:i/>
          <w:noProof/>
        </w:rPr>
        <w:t>Evolution, 75</w:t>
      </w:r>
      <w:r w:rsidRPr="00B27788">
        <w:rPr>
          <w:noProof/>
        </w:rPr>
        <w:t>(3), 625-640. doi:</w:t>
      </w:r>
      <w:hyperlink r:id="rId58" w:history="1">
        <w:r w:rsidRPr="00B27788">
          <w:rPr>
            <w:rStyle w:val="Hyperlink"/>
            <w:noProof/>
          </w:rPr>
          <w:t>https://doi.org/10.1111/evo.14163</w:t>
        </w:r>
      </w:hyperlink>
    </w:p>
    <w:p w14:paraId="24C50841" w14:textId="7C68C0D4" w:rsidR="00B27788" w:rsidRPr="00B27788" w:rsidRDefault="00B27788" w:rsidP="00B27788">
      <w:pPr>
        <w:pStyle w:val="EndNoteBibliography"/>
        <w:ind w:left="720" w:hanging="720"/>
        <w:rPr>
          <w:noProof/>
        </w:rPr>
      </w:pPr>
      <w:r w:rsidRPr="00B27788">
        <w:rPr>
          <w:noProof/>
        </w:rPr>
        <w:t xml:space="preserve">Williams, S. H., Peiffer, E., &amp; Ford, S. (2009). Gape and bite force in the rodents </w:t>
      </w:r>
      <w:r w:rsidRPr="00B27788">
        <w:rPr>
          <w:i/>
          <w:noProof/>
        </w:rPr>
        <w:t>Onychomys leucogaster</w:t>
      </w:r>
      <w:r w:rsidRPr="00B27788">
        <w:rPr>
          <w:noProof/>
        </w:rPr>
        <w:t xml:space="preserve"> and </w:t>
      </w:r>
      <w:r w:rsidRPr="00B27788">
        <w:rPr>
          <w:i/>
          <w:noProof/>
        </w:rPr>
        <w:t>Peromyscus maniculatus</w:t>
      </w:r>
      <w:r w:rsidRPr="00B27788">
        <w:rPr>
          <w:noProof/>
        </w:rPr>
        <w:t xml:space="preserve">: Does jaw-muscle anatomy predict performance? </w:t>
      </w:r>
      <w:r w:rsidRPr="00B27788">
        <w:rPr>
          <w:i/>
          <w:noProof/>
        </w:rPr>
        <w:t>Journal of Morphology, 270</w:t>
      </w:r>
      <w:r w:rsidRPr="00B27788">
        <w:rPr>
          <w:noProof/>
        </w:rPr>
        <w:t>(11), 1338-1347. doi:</w:t>
      </w:r>
      <w:hyperlink r:id="rId59" w:history="1">
        <w:r w:rsidRPr="00B27788">
          <w:rPr>
            <w:rStyle w:val="Hyperlink"/>
            <w:noProof/>
          </w:rPr>
          <w:t>https://doi.org/10.1002/jmor.10761</w:t>
        </w:r>
      </w:hyperlink>
    </w:p>
    <w:p w14:paraId="1880EC06" w14:textId="7BE7B669" w:rsidR="00B27788" w:rsidRPr="00B27788" w:rsidRDefault="00B27788" w:rsidP="00B27788">
      <w:pPr>
        <w:pStyle w:val="EndNoteBibliography"/>
        <w:ind w:left="720" w:hanging="720"/>
        <w:rPr>
          <w:noProof/>
        </w:rPr>
      </w:pPr>
      <w:r w:rsidRPr="00B27788">
        <w:rPr>
          <w:noProof/>
        </w:rPr>
        <w:t xml:space="preserve">Wilson, L. A. B. (2013). Allometric disparity in rodent evolution. </w:t>
      </w:r>
      <w:r w:rsidRPr="00B27788">
        <w:rPr>
          <w:i/>
          <w:noProof/>
        </w:rPr>
        <w:t>Ecology and Evolution, 3</w:t>
      </w:r>
      <w:r w:rsidRPr="00B27788">
        <w:rPr>
          <w:noProof/>
        </w:rPr>
        <w:t>(4), 971-984. doi:</w:t>
      </w:r>
      <w:hyperlink r:id="rId60" w:history="1">
        <w:r w:rsidRPr="00B27788">
          <w:rPr>
            <w:rStyle w:val="Hyperlink"/>
            <w:noProof/>
          </w:rPr>
          <w:t>https://doi.org/10.1002/ece3.521</w:t>
        </w:r>
      </w:hyperlink>
    </w:p>
    <w:p w14:paraId="4A740FE3" w14:textId="1EB9C583" w:rsidR="00B27788" w:rsidRPr="00B27788" w:rsidRDefault="00B27788" w:rsidP="00B27788">
      <w:pPr>
        <w:pStyle w:val="EndNoteBibliography"/>
        <w:ind w:left="720" w:hanging="720"/>
        <w:rPr>
          <w:noProof/>
        </w:rPr>
      </w:pPr>
      <w:r w:rsidRPr="00B27788">
        <w:rPr>
          <w:noProof/>
        </w:rPr>
        <w:t xml:space="preserve">Young, N. M., Linde-Medina, M., Fondon, J. W., Hallgrímsson, B., &amp; Marcucio, R. S. (2017). Craniofacial diversification in the domestic pigeon and the evolution of the avian skull. </w:t>
      </w:r>
      <w:r w:rsidRPr="00B27788">
        <w:rPr>
          <w:i/>
          <w:noProof/>
        </w:rPr>
        <w:t>Nature Ecology &amp; Evolution, 1</w:t>
      </w:r>
      <w:r w:rsidRPr="00B27788">
        <w:rPr>
          <w:noProof/>
        </w:rPr>
        <w:t>(4), 0095. doi:</w:t>
      </w:r>
      <w:hyperlink r:id="rId61" w:history="1">
        <w:r w:rsidRPr="00B27788">
          <w:rPr>
            <w:rStyle w:val="Hyperlink"/>
            <w:noProof/>
          </w:rPr>
          <w:t>https://doi.org/10.1038/s41559-017-0095</w:t>
        </w:r>
      </w:hyperlink>
    </w:p>
    <w:p w14:paraId="586D106C" w14:textId="77777777" w:rsidR="00B27788" w:rsidRPr="00B27788" w:rsidRDefault="00B27788" w:rsidP="00B27788">
      <w:pPr>
        <w:pStyle w:val="EndNoteBibliography"/>
        <w:ind w:left="720" w:hanging="720"/>
        <w:rPr>
          <w:noProof/>
        </w:rPr>
      </w:pPr>
      <w:r w:rsidRPr="00B27788">
        <w:rPr>
          <w:noProof/>
        </w:rPr>
        <w:t xml:space="preserve">Zelditch, M. L., &amp; Swiderski, D. L. (2023). The predictable complexity of evolutionary allometry. </w:t>
      </w:r>
      <w:r w:rsidRPr="00B27788">
        <w:rPr>
          <w:i/>
          <w:noProof/>
        </w:rPr>
        <w:t>Evolutionary Biology, 50</w:t>
      </w:r>
      <w:r w:rsidRPr="00B27788">
        <w:rPr>
          <w:noProof/>
        </w:rPr>
        <w:t xml:space="preserve">(1), 56-77. </w:t>
      </w:r>
    </w:p>
    <w:p w14:paraId="30972CFF" w14:textId="43B3811D"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2"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3"/>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4"/>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A42C86">
      <w:footerReference w:type="default" r:id="rId65"/>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AD73F" w14:textId="77777777" w:rsidR="00A42C86" w:rsidRDefault="00A42C86">
      <w:r>
        <w:separator/>
      </w:r>
    </w:p>
  </w:endnote>
  <w:endnote w:type="continuationSeparator" w:id="0">
    <w:p w14:paraId="14B4BEA0" w14:textId="77777777" w:rsidR="00A42C86" w:rsidRDefault="00A42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9EC7E" w14:textId="77777777" w:rsidR="00A42C86" w:rsidRDefault="00A42C86">
      <w:r>
        <w:separator/>
      </w:r>
    </w:p>
  </w:footnote>
  <w:footnote w:type="continuationSeparator" w:id="0">
    <w:p w14:paraId="0192CBA1" w14:textId="77777777" w:rsidR="00A42C86" w:rsidRDefault="00A42C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record-ids&gt;&lt;/item&gt;&lt;/Libraries&gt;"/>
  </w:docVars>
  <w:rsids>
    <w:rsidRoot w:val="008922AE"/>
    <w:rsid w:val="00002B33"/>
    <w:rsid w:val="0006003B"/>
    <w:rsid w:val="000640A4"/>
    <w:rsid w:val="000650EE"/>
    <w:rsid w:val="00076B55"/>
    <w:rsid w:val="00092FE1"/>
    <w:rsid w:val="000D500A"/>
    <w:rsid w:val="000E694B"/>
    <w:rsid w:val="001035B6"/>
    <w:rsid w:val="001040E1"/>
    <w:rsid w:val="00112A41"/>
    <w:rsid w:val="00122978"/>
    <w:rsid w:val="0013479C"/>
    <w:rsid w:val="00174EF9"/>
    <w:rsid w:val="0019349F"/>
    <w:rsid w:val="001A1C0F"/>
    <w:rsid w:val="001B3685"/>
    <w:rsid w:val="001D2733"/>
    <w:rsid w:val="001D4B99"/>
    <w:rsid w:val="001D5FD2"/>
    <w:rsid w:val="001D7B39"/>
    <w:rsid w:val="00216AC5"/>
    <w:rsid w:val="002173E8"/>
    <w:rsid w:val="00226921"/>
    <w:rsid w:val="002453A9"/>
    <w:rsid w:val="00245C5E"/>
    <w:rsid w:val="0025189D"/>
    <w:rsid w:val="00261883"/>
    <w:rsid w:val="00261ED6"/>
    <w:rsid w:val="00263DD3"/>
    <w:rsid w:val="00264F04"/>
    <w:rsid w:val="00272C92"/>
    <w:rsid w:val="00297793"/>
    <w:rsid w:val="002A34C7"/>
    <w:rsid w:val="002B000F"/>
    <w:rsid w:val="002E7775"/>
    <w:rsid w:val="002F2D31"/>
    <w:rsid w:val="00305153"/>
    <w:rsid w:val="00323E39"/>
    <w:rsid w:val="003266F8"/>
    <w:rsid w:val="003408C3"/>
    <w:rsid w:val="003455E2"/>
    <w:rsid w:val="00381040"/>
    <w:rsid w:val="003A188B"/>
    <w:rsid w:val="003A5829"/>
    <w:rsid w:val="003B0500"/>
    <w:rsid w:val="003B7E1E"/>
    <w:rsid w:val="003C14C3"/>
    <w:rsid w:val="003C7F90"/>
    <w:rsid w:val="00422522"/>
    <w:rsid w:val="0043398A"/>
    <w:rsid w:val="004550BE"/>
    <w:rsid w:val="00480F1D"/>
    <w:rsid w:val="00481B35"/>
    <w:rsid w:val="00492FE4"/>
    <w:rsid w:val="00493544"/>
    <w:rsid w:val="004C3067"/>
    <w:rsid w:val="004C7554"/>
    <w:rsid w:val="004D0A02"/>
    <w:rsid w:val="004D38FD"/>
    <w:rsid w:val="004E1AAB"/>
    <w:rsid w:val="004F4B48"/>
    <w:rsid w:val="004F5580"/>
    <w:rsid w:val="00533639"/>
    <w:rsid w:val="00564AD8"/>
    <w:rsid w:val="00566919"/>
    <w:rsid w:val="00573D24"/>
    <w:rsid w:val="00581044"/>
    <w:rsid w:val="00582E1F"/>
    <w:rsid w:val="005D14AF"/>
    <w:rsid w:val="005D274C"/>
    <w:rsid w:val="005F5AFC"/>
    <w:rsid w:val="005F6396"/>
    <w:rsid w:val="00601799"/>
    <w:rsid w:val="00602F16"/>
    <w:rsid w:val="00633951"/>
    <w:rsid w:val="00637A4A"/>
    <w:rsid w:val="00640B71"/>
    <w:rsid w:val="006550EF"/>
    <w:rsid w:val="00657980"/>
    <w:rsid w:val="0066115D"/>
    <w:rsid w:val="00680FC6"/>
    <w:rsid w:val="006A14F8"/>
    <w:rsid w:val="006B7490"/>
    <w:rsid w:val="006E4A5B"/>
    <w:rsid w:val="00721492"/>
    <w:rsid w:val="007215C9"/>
    <w:rsid w:val="00743F31"/>
    <w:rsid w:val="00751EC7"/>
    <w:rsid w:val="0075246D"/>
    <w:rsid w:val="00775EF2"/>
    <w:rsid w:val="0079408D"/>
    <w:rsid w:val="007B38FA"/>
    <w:rsid w:val="007D2A7D"/>
    <w:rsid w:val="007F4F9A"/>
    <w:rsid w:val="007F54EC"/>
    <w:rsid w:val="0080015A"/>
    <w:rsid w:val="00805130"/>
    <w:rsid w:val="00837FC7"/>
    <w:rsid w:val="0087042B"/>
    <w:rsid w:val="008922AE"/>
    <w:rsid w:val="0089641F"/>
    <w:rsid w:val="008B1B35"/>
    <w:rsid w:val="008D0A12"/>
    <w:rsid w:val="008E0A28"/>
    <w:rsid w:val="008F58D9"/>
    <w:rsid w:val="009063D8"/>
    <w:rsid w:val="0090753B"/>
    <w:rsid w:val="009145B2"/>
    <w:rsid w:val="00916840"/>
    <w:rsid w:val="00924ECB"/>
    <w:rsid w:val="00932518"/>
    <w:rsid w:val="00935EFD"/>
    <w:rsid w:val="009502DF"/>
    <w:rsid w:val="00956157"/>
    <w:rsid w:val="00960507"/>
    <w:rsid w:val="0098026F"/>
    <w:rsid w:val="00994273"/>
    <w:rsid w:val="009942D1"/>
    <w:rsid w:val="009A4266"/>
    <w:rsid w:val="009A5291"/>
    <w:rsid w:val="009A7581"/>
    <w:rsid w:val="009E41FE"/>
    <w:rsid w:val="009E4BDB"/>
    <w:rsid w:val="00A15124"/>
    <w:rsid w:val="00A24879"/>
    <w:rsid w:val="00A30C95"/>
    <w:rsid w:val="00A40202"/>
    <w:rsid w:val="00A42C86"/>
    <w:rsid w:val="00A44BA0"/>
    <w:rsid w:val="00A65F2F"/>
    <w:rsid w:val="00A81B39"/>
    <w:rsid w:val="00A859F5"/>
    <w:rsid w:val="00A861D3"/>
    <w:rsid w:val="00A959CF"/>
    <w:rsid w:val="00AA6F15"/>
    <w:rsid w:val="00AB10B4"/>
    <w:rsid w:val="00AE0DCE"/>
    <w:rsid w:val="00AF74E7"/>
    <w:rsid w:val="00B02AC1"/>
    <w:rsid w:val="00B0609F"/>
    <w:rsid w:val="00B1097F"/>
    <w:rsid w:val="00B27788"/>
    <w:rsid w:val="00B4001F"/>
    <w:rsid w:val="00B508B1"/>
    <w:rsid w:val="00BA753C"/>
    <w:rsid w:val="00BD54DD"/>
    <w:rsid w:val="00BE4905"/>
    <w:rsid w:val="00BF36EE"/>
    <w:rsid w:val="00BF6875"/>
    <w:rsid w:val="00C014AE"/>
    <w:rsid w:val="00C20C4B"/>
    <w:rsid w:val="00C248A2"/>
    <w:rsid w:val="00C41EB0"/>
    <w:rsid w:val="00C46768"/>
    <w:rsid w:val="00C62D76"/>
    <w:rsid w:val="00C75404"/>
    <w:rsid w:val="00C77C9D"/>
    <w:rsid w:val="00CA15B6"/>
    <w:rsid w:val="00CD6888"/>
    <w:rsid w:val="00CF662F"/>
    <w:rsid w:val="00D40434"/>
    <w:rsid w:val="00D54F21"/>
    <w:rsid w:val="00D63252"/>
    <w:rsid w:val="00D678AA"/>
    <w:rsid w:val="00D70DF0"/>
    <w:rsid w:val="00D769D6"/>
    <w:rsid w:val="00D95117"/>
    <w:rsid w:val="00DB09F3"/>
    <w:rsid w:val="00DB1D12"/>
    <w:rsid w:val="00DB4D1C"/>
    <w:rsid w:val="00DB7BF9"/>
    <w:rsid w:val="00DC75D6"/>
    <w:rsid w:val="00DF3B52"/>
    <w:rsid w:val="00E00B56"/>
    <w:rsid w:val="00E00FF4"/>
    <w:rsid w:val="00E2097B"/>
    <w:rsid w:val="00E91143"/>
    <w:rsid w:val="00EC6815"/>
    <w:rsid w:val="00ED28C2"/>
    <w:rsid w:val="00EE6B7A"/>
    <w:rsid w:val="00F02BB5"/>
    <w:rsid w:val="00F1272E"/>
    <w:rsid w:val="00F17323"/>
    <w:rsid w:val="00F372B1"/>
    <w:rsid w:val="00F43948"/>
    <w:rsid w:val="00F54CA6"/>
    <w:rsid w:val="00F560B0"/>
    <w:rsid w:val="00F723FD"/>
    <w:rsid w:val="00F96C91"/>
    <w:rsid w:val="00FB409C"/>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371/journal.pone.0036299" TargetMode="External"/><Relationship Id="rId39" Type="http://schemas.openxmlformats.org/officeDocument/2006/relationships/hyperlink" Target="https://doi.org/10.1093/sysbio/syt025"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111/j.1558-5646.2010.01025.x" TargetMode="External"/><Relationship Id="rId42" Type="http://schemas.openxmlformats.org/officeDocument/2006/relationships/hyperlink" Target="https://doi.org/10.7717/peerj.5032" TargetMode="External"/><Relationship Id="rId47" Type="http://schemas.openxmlformats.org/officeDocument/2006/relationships/hyperlink" Target="https://doi.org/10.1098/rspb.2018.0845" TargetMode="External"/><Relationship Id="rId50" Type="http://schemas.openxmlformats.org/officeDocument/2006/relationships/hyperlink" Target="https://www.R-project.org/" TargetMode="External"/><Relationship Id="rId55" Type="http://schemas.openxmlformats.org/officeDocument/2006/relationships/hyperlink" Target="https://doi.org/10.1073/pnas.0808730106" TargetMode="External"/><Relationship Id="rId63" Type="http://schemas.openxmlformats.org/officeDocument/2006/relationships/image" Target="media/image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98/rsbl.2014.01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111/2041-210X.13029" TargetMode="External"/><Relationship Id="rId32" Type="http://schemas.openxmlformats.org/officeDocument/2006/relationships/hyperlink" Target="https://doi.org/10.1126/science.abm7525" TargetMode="External"/><Relationship Id="rId37" Type="http://schemas.openxmlformats.org/officeDocument/2006/relationships/hyperlink" Target="https://doi.org/10.1093/bioinformatics/btq166" TargetMode="External"/><Relationship Id="rId40" Type="http://schemas.openxmlformats.org/officeDocument/2006/relationships/hyperlink" Target="https://doi.org/10.7717/peerj.2453" TargetMode="External"/><Relationship Id="rId45" Type="http://schemas.openxmlformats.org/officeDocument/2006/relationships/hyperlink" Target="https://doi.org/10.1111/j.0014-3820.2005.tb01049.x" TargetMode="External"/><Relationship Id="rId53" Type="http://schemas.openxmlformats.org/officeDocument/2006/relationships/hyperlink" Target="https://doi.org/10.1126/sciadv.abe2101" TargetMode="External"/><Relationship Id="rId58" Type="http://schemas.openxmlformats.org/officeDocument/2006/relationships/hyperlink" Target="https://doi.org/10.1111/evo.14163"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2/wics.1460" TargetMode="External"/><Relationship Id="rId28" Type="http://schemas.openxmlformats.org/officeDocument/2006/relationships/hyperlink" Target="https://doi.org/10.1002/ece3.2704" TargetMode="External"/><Relationship Id="rId36" Type="http://schemas.openxmlformats.org/officeDocument/2006/relationships/hyperlink" Target="https://doi.org/10.1111/pala.12159" TargetMode="External"/><Relationship Id="rId49" Type="http://schemas.openxmlformats.org/officeDocument/2006/relationships/hyperlink" Target="https://CRAN.R-project.org/package=vegan" TargetMode="External"/><Relationship Id="rId57" Type="http://schemas.openxmlformats.org/officeDocument/2006/relationships/hyperlink" Target="https://doi.org/10.1186/s12983-019-0338-5" TargetMode="External"/><Relationship Id="rId61" Type="http://schemas.openxmlformats.org/officeDocument/2006/relationships/hyperlink" Target="https://doi.org/10.1038/s41559-017-00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086/505758" TargetMode="External"/><Relationship Id="rId44" Type="http://schemas.openxmlformats.org/officeDocument/2006/relationships/hyperlink" Target="https://doi.org/10.1186/s12862-016-0782-1" TargetMode="External"/><Relationship Id="rId52" Type="http://schemas.openxmlformats.org/officeDocument/2006/relationships/hyperlink" Target="https://doi.org/10.1186/s12862-019-1506-0" TargetMode="External"/><Relationship Id="rId60" Type="http://schemas.openxmlformats.org/officeDocument/2006/relationships/hyperlink" Target="https://doi.org/10.1002/ece3.521"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98/rsbl.2012.0574" TargetMode="External"/><Relationship Id="rId30" Type="http://schemas.openxmlformats.org/officeDocument/2006/relationships/hyperlink" Target="https://doi.org/10.1002/jmor.20845" TargetMode="External"/><Relationship Id="rId35" Type="http://schemas.openxmlformats.org/officeDocument/2006/relationships/hyperlink" Target="https://doi.org/10.1098/rspb.2020.2085" TargetMode="External"/><Relationship Id="rId43" Type="http://schemas.openxmlformats.org/officeDocument/2006/relationships/hyperlink" Target="https://doi.org/10.1086/711398" TargetMode="External"/><Relationship Id="rId48" Type="http://schemas.openxmlformats.org/officeDocument/2006/relationships/hyperlink" Target="https://doi.org/10.1071/WR97046_CO" TargetMode="External"/><Relationship Id="rId56" Type="http://schemas.openxmlformats.org/officeDocument/2006/relationships/hyperlink" Target="https://doi.org/10.1111/evo.12312" TargetMode="External"/><Relationship Id="rId64" Type="http://schemas.openxmlformats.org/officeDocument/2006/relationships/image" Target="media/image6.png"/><Relationship Id="rId8" Type="http://schemas.openxmlformats.org/officeDocument/2006/relationships/endnotes" Target="endnotes.xml"/><Relationship Id="rId51" Type="http://schemas.openxmlformats.org/officeDocument/2006/relationships/hyperlink" Target="https://doi.org/10.1111/j.1096-3642.2009.00502.x"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CRAN.R-project.org/package=RRPP" TargetMode="External"/><Relationship Id="rId33" Type="http://schemas.openxmlformats.org/officeDocument/2006/relationships/hyperlink" Target="https://doi.org/10.5281/zenodo.2620785" TargetMode="External"/><Relationship Id="rId38" Type="http://schemas.openxmlformats.org/officeDocument/2006/relationships/hyperlink" Target="https://doi.org/10.1111/j.1525-142X.2009.00347.x" TargetMode="External"/><Relationship Id="rId46" Type="http://schemas.openxmlformats.org/officeDocument/2006/relationships/hyperlink" Target="https://doi.org/10.1371/journal.pone.0221287" TargetMode="External"/><Relationship Id="rId59" Type="http://schemas.openxmlformats.org/officeDocument/2006/relationships/hyperlink" Target="https://doi.org/10.1002/jmor.10761" TargetMode="External"/><Relationship Id="rId67" Type="http://schemas.openxmlformats.org/officeDocument/2006/relationships/theme" Target="theme/theme1.xml"/><Relationship Id="rId20" Type="http://schemas.openxmlformats.org/officeDocument/2006/relationships/hyperlink" Target="https://doi.org/10.1073/pnas.1602683113" TargetMode="External"/><Relationship Id="rId41" Type="http://schemas.openxmlformats.org/officeDocument/2006/relationships/hyperlink" Target="https://doi.org/10.1111/j.1095-8312.1989.tb00500.x" TargetMode="External"/><Relationship Id="rId54" Type="http://schemas.openxmlformats.org/officeDocument/2006/relationships/hyperlink" Target="https://doi.org/10.1016/j.ympev.2018.07.015" TargetMode="External"/><Relationship Id="rId62" Type="http://schemas.openxmlformats.org/officeDocument/2006/relationships/hyperlink" Target="https://doi.org/10.5281/zenodo.10211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39</Pages>
  <Words>23464</Words>
  <Characters>133751</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90</cp:revision>
  <cp:lastPrinted>2023-10-06T04:59:00Z</cp:lastPrinted>
  <dcterms:created xsi:type="dcterms:W3CDTF">2023-11-21T06:21:00Z</dcterms:created>
  <dcterms:modified xsi:type="dcterms:W3CDTF">2024-03-28T00:40:00Z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