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7EE7" w14:textId="77777777" w:rsidR="00FA281B" w:rsidRDefault="00FA281B" w:rsidP="00FA281B">
      <w:pPr>
        <w:spacing w:after="200"/>
      </w:pPr>
      <w:bookmarkStart w:id="0" w:name="_heading=h.1ksv4uv"/>
      <w:bookmarkEnd w:id="0"/>
      <w:r>
        <w:rPr>
          <w:b/>
          <w:color w:val="000000"/>
        </w:rPr>
        <w:t xml:space="preserve">Table 6: </w:t>
      </w:r>
      <w:r>
        <w:rPr>
          <w:bCs/>
          <w:color w:val="000000"/>
        </w:rPr>
        <w:t>Modularity tests using pairwise Mantel comparisons of PCA-based distance matrices of all modules, and Mantel r statistic.</w:t>
      </w:r>
      <w:r>
        <w:t xml:space="preserve"> An r statistic of 1 indicates a strong correlation and 0 indicates no correlation. The upper triangle reports statistics for pairwise comparisons between cranial modules of the full dataset, the lower triangle reports r statistics for the residual dataset. The values in brackets are</w:t>
      </w:r>
      <w:r>
        <w:rPr>
          <w:i/>
        </w:rPr>
        <w:t xml:space="preserve"> p</w:t>
      </w:r>
      <w:r>
        <w:t xml:space="preserve"> values, adjusted by </w:t>
      </w:r>
      <w:r>
        <w:fldChar w:fldCharType="begin"/>
      </w:r>
      <w:r>
        <w:instrText>ADDIN EN.CITE &lt;EndNote&gt;&lt;Cite AuthorYear="1"&gt;&lt;Author&gt;Bonferroni&lt;/Author&gt;&lt;Year&gt;1936&lt;/Year&gt;&lt;RecNum&gt;31&lt;/RecNum&gt;&lt;DisplayText&gt;Bonferroni (1936)&lt;/DisplayText&gt;&lt;record&gt;&lt;rec-number&gt;31&lt;/rec-number&gt;&lt;foreign-keys&gt;&lt;key app="EN" db-id="x99veed5wrp02read9c5awr0x2v9vvapx290" timestamp="1697174965"&gt;31&lt;/key&gt;&lt;/foreign-keys&gt;&lt;ref-type name="Journal Article"&gt;17&lt;/ref-type&gt;&lt;contributors&gt;&lt;authors&gt;&lt;author&gt;Bonferroni, C.&lt;/author&gt;&lt;/authors&gt;&lt;/contributors&gt;&lt;titles&gt;&lt;title&gt;Teoria statistica delle classi e calcolo delle probabilita&lt;/title&gt;&lt;secondary-title&gt;Pubblicazioni del R Istituto Superiore di Scienze Economiche e Commericiali di Firenze&lt;/secondary-title&gt;&lt;/titles&gt;&lt;periodical&gt;&lt;full-title&gt;Pubblicazioni del R Istituto Superiore di Scienze Economiche e Commericiali di Firenze&lt;/full-title&gt;&lt;/periodical&gt;&lt;pages&gt;3-62&lt;/pages&gt;&lt;volume&gt;8&lt;/volume&gt;&lt;dates&gt;&lt;year&gt;1936&lt;/year&gt;&lt;/dates&gt;&lt;urls&gt;&lt;/urls&gt;&lt;/record&gt;&lt;/Cite&gt;&lt;/EndNote&gt;</w:instrText>
      </w:r>
      <w:r>
        <w:fldChar w:fldCharType="separate"/>
      </w:r>
      <w:r>
        <w:t>Bonferroni (1936)</w:t>
      </w:r>
      <w:r>
        <w:fldChar w:fldCharType="end"/>
      </w:r>
      <w:r>
        <w:t xml:space="preserve"> corrections for multiple comparisons.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6"/>
        <w:gridCol w:w="1585"/>
        <w:gridCol w:w="1583"/>
        <w:gridCol w:w="1585"/>
        <w:gridCol w:w="1585"/>
        <w:gridCol w:w="1585"/>
      </w:tblGrid>
      <w:tr w:rsidR="00FA281B" w14:paraId="60D19891" w14:textId="77777777" w:rsidTr="00B3028A">
        <w:trPr>
          <w:trHeight w:val="330"/>
          <w:jc w:val="center"/>
        </w:trPr>
        <w:tc>
          <w:tcPr>
            <w:tcW w:w="1186" w:type="dxa"/>
            <w:shd w:val="clear" w:color="auto" w:fill="auto"/>
          </w:tcPr>
          <w:p w14:paraId="02963AD7" w14:textId="77777777" w:rsidR="00FA281B" w:rsidRDefault="00FA281B" w:rsidP="00B3028A">
            <w:pPr>
              <w:widowControl w:val="0"/>
              <w:spacing w:line="480" w:lineRule="auto"/>
              <w:rPr>
                <w:b/>
              </w:rPr>
            </w:pPr>
          </w:p>
        </w:tc>
        <w:tc>
          <w:tcPr>
            <w:tcW w:w="1585" w:type="dxa"/>
            <w:tcBorders>
              <w:bottom w:val="single" w:sz="4" w:space="0" w:color="000000"/>
            </w:tcBorders>
            <w:shd w:val="clear" w:color="auto" w:fill="auto"/>
          </w:tcPr>
          <w:p w14:paraId="585BF231" w14:textId="77777777" w:rsidR="00FA281B" w:rsidRDefault="00FA281B" w:rsidP="00B3028A">
            <w:pPr>
              <w:widowControl w:val="0"/>
              <w:spacing w:line="480" w:lineRule="auto"/>
              <w:jc w:val="right"/>
            </w:pPr>
            <w:proofErr w:type="spellStart"/>
            <w:r>
              <w:rPr>
                <w:b/>
                <w:color w:val="000000"/>
              </w:rPr>
              <w:t>Basicran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1583" w:type="dxa"/>
            <w:tcBorders>
              <w:bottom w:val="single" w:sz="4" w:space="0" w:color="000000"/>
            </w:tcBorders>
            <w:shd w:val="clear" w:color="auto" w:fill="auto"/>
          </w:tcPr>
          <w:p w14:paraId="5A672276" w14:textId="77777777" w:rsidR="00FA281B" w:rsidRDefault="00FA281B" w:rsidP="00B3028A">
            <w:pPr>
              <w:widowControl w:val="0"/>
              <w:spacing w:line="480" w:lineRule="auto"/>
              <w:jc w:val="right"/>
            </w:pPr>
            <w:r>
              <w:rPr>
                <w:b/>
                <w:color w:val="000000"/>
              </w:rPr>
              <w:t>Molar</w:t>
            </w:r>
          </w:p>
        </w:tc>
        <w:tc>
          <w:tcPr>
            <w:tcW w:w="1585" w:type="dxa"/>
            <w:tcBorders>
              <w:bottom w:val="single" w:sz="4" w:space="0" w:color="000000"/>
            </w:tcBorders>
            <w:shd w:val="clear" w:color="auto" w:fill="auto"/>
          </w:tcPr>
          <w:p w14:paraId="41A1DF7C" w14:textId="77777777" w:rsidR="00FA281B" w:rsidRDefault="00FA281B" w:rsidP="00B3028A">
            <w:pPr>
              <w:widowControl w:val="0"/>
              <w:spacing w:line="480" w:lineRule="auto"/>
              <w:jc w:val="right"/>
            </w:pPr>
            <w:r>
              <w:rPr>
                <w:b/>
                <w:color w:val="000000"/>
              </w:rPr>
              <w:t>Orbital</w:t>
            </w:r>
          </w:p>
        </w:tc>
        <w:tc>
          <w:tcPr>
            <w:tcW w:w="1585" w:type="dxa"/>
            <w:tcBorders>
              <w:bottom w:val="single" w:sz="4" w:space="0" w:color="000000"/>
            </w:tcBorders>
            <w:shd w:val="clear" w:color="auto" w:fill="auto"/>
          </w:tcPr>
          <w:p w14:paraId="7A0770FC" w14:textId="77777777" w:rsidR="00FA281B" w:rsidRDefault="00FA281B" w:rsidP="00B3028A">
            <w:pPr>
              <w:widowControl w:val="0"/>
              <w:spacing w:line="480" w:lineRule="auto"/>
              <w:jc w:val="right"/>
            </w:pPr>
            <w:r>
              <w:rPr>
                <w:b/>
                <w:color w:val="000000"/>
              </w:rPr>
              <w:t>Rostrum</w:t>
            </w:r>
          </w:p>
        </w:tc>
        <w:tc>
          <w:tcPr>
            <w:tcW w:w="1585" w:type="dxa"/>
            <w:tcBorders>
              <w:bottom w:val="single" w:sz="4" w:space="0" w:color="000000"/>
            </w:tcBorders>
            <w:shd w:val="clear" w:color="auto" w:fill="auto"/>
          </w:tcPr>
          <w:p w14:paraId="0A8664B1" w14:textId="77777777" w:rsidR="00FA281B" w:rsidRDefault="00FA281B" w:rsidP="00B3028A">
            <w:pPr>
              <w:widowControl w:val="0"/>
              <w:spacing w:line="480" w:lineRule="auto"/>
              <w:jc w:val="right"/>
            </w:pPr>
            <w:r>
              <w:rPr>
                <w:b/>
                <w:color w:val="000000"/>
              </w:rPr>
              <w:t>Vault</w:t>
            </w:r>
          </w:p>
        </w:tc>
      </w:tr>
      <w:tr w:rsidR="00FA281B" w14:paraId="5F7BC66B" w14:textId="77777777" w:rsidTr="00B3028A">
        <w:trPr>
          <w:trHeight w:val="330"/>
          <w:jc w:val="center"/>
        </w:trPr>
        <w:tc>
          <w:tcPr>
            <w:tcW w:w="1186" w:type="dxa"/>
            <w:shd w:val="clear" w:color="auto" w:fill="auto"/>
          </w:tcPr>
          <w:p w14:paraId="63D6CA57" w14:textId="77777777" w:rsidR="00FA281B" w:rsidRDefault="00FA281B" w:rsidP="00B3028A">
            <w:pPr>
              <w:widowControl w:val="0"/>
              <w:spacing w:line="480" w:lineRule="auto"/>
            </w:pPr>
            <w:proofErr w:type="spellStart"/>
            <w:r>
              <w:rPr>
                <w:b/>
                <w:color w:val="000000"/>
              </w:rPr>
              <w:t>Basicran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1585" w:type="dxa"/>
            <w:tcBorders>
              <w:top w:val="single" w:sz="4" w:space="0" w:color="000000"/>
            </w:tcBorders>
            <w:shd w:val="clear" w:color="auto" w:fill="D0CECE"/>
            <w:vAlign w:val="center"/>
          </w:tcPr>
          <w:p w14:paraId="421D5960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5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AFA95AF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0.355 (0.03)</w:t>
            </w:r>
          </w:p>
        </w:tc>
        <w:tc>
          <w:tcPr>
            <w:tcW w:w="158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A4D444B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0.290 (0.07)</w:t>
            </w:r>
          </w:p>
        </w:tc>
        <w:tc>
          <w:tcPr>
            <w:tcW w:w="158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141FCD7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0.508 (0.01)</w:t>
            </w:r>
          </w:p>
        </w:tc>
        <w:tc>
          <w:tcPr>
            <w:tcW w:w="158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B8D86DD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0.674 (0.01)</w:t>
            </w:r>
          </w:p>
        </w:tc>
      </w:tr>
      <w:tr w:rsidR="00FA281B" w14:paraId="7623A798" w14:textId="77777777" w:rsidTr="00B3028A">
        <w:trPr>
          <w:trHeight w:val="330"/>
          <w:jc w:val="center"/>
        </w:trPr>
        <w:tc>
          <w:tcPr>
            <w:tcW w:w="1186" w:type="dxa"/>
            <w:shd w:val="clear" w:color="auto" w:fill="auto"/>
          </w:tcPr>
          <w:p w14:paraId="2A77DF06" w14:textId="77777777" w:rsidR="00FA281B" w:rsidRDefault="00FA281B" w:rsidP="00B3028A">
            <w:pPr>
              <w:widowControl w:val="0"/>
              <w:spacing w:line="480" w:lineRule="auto"/>
            </w:pPr>
            <w:r>
              <w:rPr>
                <w:b/>
                <w:color w:val="000000"/>
              </w:rPr>
              <w:t>Molar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53B3AF16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0.514 (0.01)</w:t>
            </w:r>
          </w:p>
        </w:tc>
        <w:tc>
          <w:tcPr>
            <w:tcW w:w="1583" w:type="dxa"/>
            <w:shd w:val="clear" w:color="auto" w:fill="D0CECE"/>
            <w:vAlign w:val="center"/>
          </w:tcPr>
          <w:p w14:paraId="2F50CAE4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498455E2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0.351 (0.03)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4DF9CC2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0.658 (0.01)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418DC0A1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0.424 (0.02)</w:t>
            </w:r>
          </w:p>
        </w:tc>
      </w:tr>
      <w:tr w:rsidR="00FA281B" w14:paraId="68A823ED" w14:textId="77777777" w:rsidTr="00B3028A">
        <w:trPr>
          <w:trHeight w:val="330"/>
          <w:jc w:val="center"/>
        </w:trPr>
        <w:tc>
          <w:tcPr>
            <w:tcW w:w="1186" w:type="dxa"/>
            <w:shd w:val="clear" w:color="auto" w:fill="auto"/>
          </w:tcPr>
          <w:p w14:paraId="50E15A85" w14:textId="77777777" w:rsidR="00FA281B" w:rsidRDefault="00FA281B" w:rsidP="00B3028A">
            <w:pPr>
              <w:widowControl w:val="0"/>
              <w:spacing w:line="480" w:lineRule="auto"/>
            </w:pPr>
            <w:r>
              <w:rPr>
                <w:b/>
                <w:color w:val="000000"/>
              </w:rPr>
              <w:t>Orbital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05A7429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0.601 (0.01)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9272C8C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0.55 (0.01)</w:t>
            </w:r>
          </w:p>
        </w:tc>
        <w:tc>
          <w:tcPr>
            <w:tcW w:w="1585" w:type="dxa"/>
            <w:shd w:val="clear" w:color="auto" w:fill="D0CECE"/>
            <w:vAlign w:val="center"/>
          </w:tcPr>
          <w:p w14:paraId="4EE4E72D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3E858DE7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0.620 (0.01)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24A1A79E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0.606 (0.01)</w:t>
            </w:r>
          </w:p>
        </w:tc>
      </w:tr>
      <w:tr w:rsidR="00FA281B" w14:paraId="3A0B1B19" w14:textId="77777777" w:rsidTr="00B3028A">
        <w:trPr>
          <w:trHeight w:val="330"/>
          <w:jc w:val="center"/>
        </w:trPr>
        <w:tc>
          <w:tcPr>
            <w:tcW w:w="1186" w:type="dxa"/>
            <w:shd w:val="clear" w:color="auto" w:fill="auto"/>
          </w:tcPr>
          <w:p w14:paraId="15771889" w14:textId="77777777" w:rsidR="00FA281B" w:rsidRDefault="00FA281B" w:rsidP="00B3028A">
            <w:pPr>
              <w:widowControl w:val="0"/>
              <w:spacing w:line="480" w:lineRule="auto"/>
            </w:pPr>
            <w:r>
              <w:rPr>
                <w:b/>
                <w:color w:val="000000"/>
              </w:rPr>
              <w:t>Rostrum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4F506A8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0.719 (0.01)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70D0811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0.625 (0.01)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69FB2E05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0.807 (0.01)</w:t>
            </w:r>
          </w:p>
        </w:tc>
        <w:tc>
          <w:tcPr>
            <w:tcW w:w="1585" w:type="dxa"/>
            <w:shd w:val="clear" w:color="auto" w:fill="D0CECE"/>
            <w:vAlign w:val="center"/>
          </w:tcPr>
          <w:p w14:paraId="64215858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6E4722B3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0.694 (0.01)</w:t>
            </w:r>
          </w:p>
        </w:tc>
      </w:tr>
      <w:tr w:rsidR="00FA281B" w14:paraId="26936103" w14:textId="77777777" w:rsidTr="00B3028A">
        <w:trPr>
          <w:trHeight w:val="337"/>
          <w:jc w:val="center"/>
        </w:trPr>
        <w:tc>
          <w:tcPr>
            <w:tcW w:w="1186" w:type="dxa"/>
            <w:tcBorders>
              <w:bottom w:val="single" w:sz="4" w:space="0" w:color="000000"/>
            </w:tcBorders>
            <w:shd w:val="clear" w:color="auto" w:fill="auto"/>
          </w:tcPr>
          <w:p w14:paraId="571B617A" w14:textId="77777777" w:rsidR="00FA281B" w:rsidRDefault="00FA281B" w:rsidP="00B3028A">
            <w:pPr>
              <w:widowControl w:val="0"/>
              <w:spacing w:line="480" w:lineRule="auto"/>
            </w:pPr>
            <w:r>
              <w:rPr>
                <w:b/>
                <w:color w:val="000000"/>
              </w:rPr>
              <w:t>Vault</w:t>
            </w:r>
          </w:p>
        </w:tc>
        <w:tc>
          <w:tcPr>
            <w:tcW w:w="158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776587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0.753 (0.01)</w:t>
            </w:r>
          </w:p>
        </w:tc>
        <w:tc>
          <w:tcPr>
            <w:tcW w:w="15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7ECE94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0.564 (0.01)</w:t>
            </w:r>
          </w:p>
        </w:tc>
        <w:tc>
          <w:tcPr>
            <w:tcW w:w="158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C7B1C6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0.731 (0.01)</w:t>
            </w:r>
          </w:p>
        </w:tc>
        <w:tc>
          <w:tcPr>
            <w:tcW w:w="158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DFBC0A3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0.762 (0.01)</w:t>
            </w:r>
          </w:p>
        </w:tc>
        <w:tc>
          <w:tcPr>
            <w:tcW w:w="1585" w:type="dxa"/>
            <w:tcBorders>
              <w:bottom w:val="single" w:sz="4" w:space="0" w:color="000000"/>
            </w:tcBorders>
            <w:shd w:val="clear" w:color="auto" w:fill="D0CECE"/>
            <w:vAlign w:val="center"/>
          </w:tcPr>
          <w:p w14:paraId="5E1A0089" w14:textId="77777777" w:rsidR="00FA281B" w:rsidRDefault="00FA281B" w:rsidP="00B3028A">
            <w:pPr>
              <w:widowControl w:val="0"/>
              <w:jc w:val="center"/>
            </w:pPr>
            <w:r>
              <w:rPr>
                <w:color w:val="000000"/>
              </w:rPr>
              <w:t>124</w:t>
            </w:r>
          </w:p>
        </w:tc>
      </w:tr>
    </w:tbl>
    <w:p w14:paraId="7EFD7060" w14:textId="77777777" w:rsidR="00FA281B" w:rsidRDefault="00FA281B" w:rsidP="00FA281B"/>
    <w:p w14:paraId="5F15A32F" w14:textId="77777777" w:rsidR="00FA281B" w:rsidRDefault="00FA281B"/>
    <w:sectPr w:rsidR="003D6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1B"/>
    <w:rsid w:val="00135425"/>
    <w:rsid w:val="009A6EDF"/>
    <w:rsid w:val="00F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2817"/>
  <w15:chartTrackingRefBased/>
  <w15:docId w15:val="{24EA6C9F-5C8C-454C-8E34-B95ED30D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1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Meg Martin</cp:lastModifiedBy>
  <cp:revision>1</cp:revision>
  <dcterms:created xsi:type="dcterms:W3CDTF">2024-04-17T04:56:00Z</dcterms:created>
  <dcterms:modified xsi:type="dcterms:W3CDTF">2024-04-17T04:56:00Z</dcterms:modified>
</cp:coreProperties>
</file>