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35774" w14:textId="0F95B8BE" w:rsidR="00CE6036" w:rsidRPr="00CE6036" w:rsidRDefault="00CE6036">
      <w:pPr>
        <w:rPr>
          <w:b/>
          <w:bCs/>
          <w:sz w:val="28"/>
          <w:szCs w:val="28"/>
          <w:lang w:val="en-AU"/>
        </w:rPr>
      </w:pPr>
      <w:r w:rsidRPr="00CE6036">
        <w:rPr>
          <w:b/>
          <w:bCs/>
          <w:sz w:val="28"/>
          <w:szCs w:val="28"/>
          <w:lang w:val="en-AU"/>
        </w:rPr>
        <w:t>Tables</w:t>
      </w:r>
    </w:p>
    <w:p w14:paraId="72EB9FA7" w14:textId="77777777" w:rsidR="00CE6036" w:rsidRDefault="00CE6036" w:rsidP="00CE6036">
      <w:r>
        <w:rPr>
          <w:b/>
          <w:bCs/>
        </w:rPr>
        <w:t xml:space="preserve">Table 1: </w:t>
      </w:r>
      <w:r>
        <w:t xml:space="preserve">Generalised/Akaike Information criterion scores (GIC/AIC) and W-scores of relative probabilities of modes of evolution for models of shape, log- transformed centroid size, and shape evolution with </w:t>
      </w:r>
      <w:proofErr w:type="gramStart"/>
      <w:r>
        <w:t>log(</w:t>
      </w:r>
      <w:proofErr w:type="gramEnd"/>
      <w:r>
        <w:t xml:space="preserve">centroid size) as predictor variable. The most likely modes are bolded. </w:t>
      </w:r>
    </w:p>
    <w:p w14:paraId="729AF0EF" w14:textId="4FC6CF4F" w:rsidR="00CE6036" w:rsidRDefault="00CE6036" w:rsidP="00CE6036">
      <w:r>
        <w:rPr>
          <w:b/>
          <w:bCs/>
        </w:rPr>
        <w:t xml:space="preserve">Table 2: </w:t>
      </w:r>
      <w:r>
        <w:t xml:space="preserve">Phylogenetically adjusted generalised least squares analysis </w:t>
      </w:r>
      <w:r>
        <w:rPr>
          <w:i/>
          <w:iCs/>
        </w:rPr>
        <w:t xml:space="preserve">(PGLS) </w:t>
      </w:r>
      <w:r>
        <w:t xml:space="preserve">of module shape </w:t>
      </w:r>
      <w:r>
        <w:rPr>
          <w:i/>
          <w:iCs/>
        </w:rPr>
        <w:t>vs</w:t>
      </w:r>
      <w:r>
        <w:t xml:space="preserve"> log-</w:t>
      </w:r>
      <w:proofErr w:type="spellStart"/>
      <w:r>
        <w:t>tranformed</w:t>
      </w:r>
      <w:proofErr w:type="spellEnd"/>
      <w:r>
        <w:t xml:space="preserve"> centroid sizes for joint (top) and separate (bottom) GPAs. SS, sum of squares;</w:t>
      </w:r>
      <w:r>
        <w:t xml:space="preserve"> </w:t>
      </w:r>
      <w:r>
        <w:t>MS, Mean Squares; R</w:t>
      </w:r>
      <w:r>
        <w:rPr>
          <w:vertAlign w:val="superscript"/>
        </w:rPr>
        <w:t>2</w:t>
      </w:r>
      <w:r>
        <w:t xml:space="preserve">, R-squared value; F – F values; Z, Z scores (effect sizes from F values); </w:t>
      </w:r>
      <w:r>
        <w:rPr>
          <w:i/>
          <w:iCs/>
        </w:rPr>
        <w:t>p</w:t>
      </w:r>
      <w:r>
        <w:t xml:space="preserve">, p-value (probability of significant association at </w:t>
      </w:r>
      <w:r>
        <w:rPr>
          <w:i/>
          <w:iCs/>
        </w:rPr>
        <w:t>p</w:t>
      </w:r>
      <w:r>
        <w:t xml:space="preserve"> &lt; 0.05 based on 10,000 permutations).</w:t>
      </w:r>
    </w:p>
    <w:p w14:paraId="29AF9E2B" w14:textId="5153B249" w:rsidR="00CE6036" w:rsidRDefault="00CE6036" w:rsidP="00CE6036">
      <w:r>
        <w:rPr>
          <w:b/>
          <w:bCs/>
        </w:rPr>
        <w:t xml:space="preserve">Table 3: </w:t>
      </w:r>
      <w:r>
        <w:t xml:space="preserve">phylogenetically informed integration, expressed as r-PLS values, between the full shape (lower triangle) and residual shape (upper triangle) of modules. All r-PLS values were significant at </w:t>
      </w:r>
      <w:r>
        <w:rPr>
          <w:i/>
          <w:iCs/>
        </w:rPr>
        <w:t xml:space="preserve">p </w:t>
      </w:r>
      <w:r>
        <w:t>&lt; 0.05 except for the integration between residuals of orbital and molar modules. For P-value tables, see Supplementary Table 1. Arrows in the upper triangle indicate whether the r-PLS values of residual integration analyses are higher (↑) or lower (↓) than the full-shape r-PLS values. Numbers in the diagonal are landmark numbers for each partition.</w:t>
      </w:r>
    </w:p>
    <w:p w14:paraId="4816B671" w14:textId="77777777" w:rsidR="00CE6036" w:rsidRDefault="00CE6036" w:rsidP="00CE6036">
      <w:r>
        <w:rPr>
          <w:b/>
          <w:bCs/>
        </w:rPr>
        <w:t xml:space="preserve">Table 4: </w:t>
      </w:r>
      <w:r>
        <w:t>Integration strength comparisons between pairs of modules, including effect sizes (Z) and significance of strength differences (</w:t>
      </w:r>
      <w:r>
        <w:rPr>
          <w:i/>
          <w:iCs/>
        </w:rPr>
        <w:t>p</w:t>
      </w:r>
      <w:r>
        <w:t>).</w:t>
      </w:r>
    </w:p>
    <w:p w14:paraId="3CC9EB50" w14:textId="0378468A" w:rsidR="00CE6036" w:rsidRDefault="00CE6036" w:rsidP="00CE6036">
      <w:r>
        <w:rPr>
          <w:b/>
          <w:bCs/>
        </w:rPr>
        <w:t xml:space="preserve">Table 5: </w:t>
      </w:r>
      <w:r>
        <w:t>Phylogenetically informed modularity, expressed as CR coefficients, between the full shape (lower triangle) and residual shape (upper triangle) of modules. Numbers on the diagonal are landmark numbers for each partition.</w:t>
      </w:r>
    </w:p>
    <w:p w14:paraId="5348271A" w14:textId="5E4D542B" w:rsidR="00CE6036" w:rsidRPr="00CE6036" w:rsidRDefault="00CE6036" w:rsidP="00CE6036">
      <w:pPr>
        <w:spacing w:after="200"/>
      </w:pPr>
      <w:bookmarkStart w:id="0" w:name="_heading=h.1ksv4uv"/>
      <w:bookmarkEnd w:id="0"/>
      <w:r>
        <w:rPr>
          <w:b/>
          <w:color w:val="000000"/>
        </w:rPr>
        <w:t xml:space="preserve">Table 6: </w:t>
      </w:r>
      <w:r>
        <w:rPr>
          <w:bCs/>
          <w:color w:val="000000"/>
        </w:rPr>
        <w:t>Modularity tests using pairwise Mantel comparisons of PCA-based distance matrices of all modules, and Mantel r statistic.</w:t>
      </w:r>
      <w:r>
        <w:t xml:space="preserve"> An r statistic of 1 indicates a strong correlation and 0 indicates no correlation. The upper triangle reports statistics for pairwise comparisons between cranial modules of the full dataset, the lower triangle reports r statistics for the residual dataset. The values in brackets are</w:t>
      </w:r>
      <w:r>
        <w:rPr>
          <w:i/>
        </w:rPr>
        <w:t xml:space="preserve"> p</w:t>
      </w:r>
      <w:r>
        <w:t xml:space="preserve"> values, adjusted by </w:t>
      </w:r>
      <w:r>
        <w:fldChar w:fldCharType="begin"/>
      </w:r>
      <w:r>
        <w:instrText>ADDIN EN.CITE &lt;EndNote&gt;&lt;Cite AuthorYear="1"&gt;&lt;Author&gt;Bonferroni&lt;/Author&gt;&lt;Year&gt;1936&lt;/Year&gt;&lt;RecNum&gt;31&lt;/RecNum&gt;&lt;DisplayText&gt;Bonferroni (1936)&lt;/DisplayText&gt;&lt;record&gt;&lt;rec-number&gt;31&lt;/rec-number&gt;&lt;foreign-keys&gt;&lt;key app="EN" db-id="x99veed5wrp02read9c5awr0x2v9vvapx290" timestamp="1697174965"&gt;31&lt;/key&gt;&lt;/foreign-keys&gt;&lt;ref-type name="Journal Article"&gt;17&lt;/ref-type&gt;&lt;contributors&gt;&lt;authors&gt;&lt;author&gt;Bonferroni, C.&lt;/author&gt;&lt;/authors&gt;&lt;/contributors&gt;&lt;titles&gt;&lt;title&gt;Teoria statistica delle classi e calcolo delle probabilita&lt;/title&gt;&lt;secondary-title&gt;Pubblicazioni del R Istituto Superiore di Scienze Economiche e Commericiali di Firenze&lt;/secondary-title&gt;&lt;/titles&gt;&lt;periodical&gt;&lt;full-title&gt;Pubblicazioni del R Istituto Superiore di Scienze Economiche e Commericiali di Firenze&lt;/full-title&gt;&lt;/periodical&gt;&lt;pages&gt;3-62&lt;/pages&gt;&lt;volume&gt;8&lt;/volume&gt;&lt;dates&gt;&lt;year&gt;1936&lt;/year&gt;&lt;/dates&gt;&lt;urls&gt;&lt;/urls&gt;&lt;/record&gt;&lt;/Cite&gt;&lt;/EndNote&gt;</w:instrText>
      </w:r>
      <w:r>
        <w:fldChar w:fldCharType="separate"/>
      </w:r>
      <w:r>
        <w:t>Bonferroni (1936)</w:t>
      </w:r>
      <w:r>
        <w:fldChar w:fldCharType="end"/>
      </w:r>
      <w:r>
        <w:t xml:space="preserve"> corrections for multiple comparisons. </w:t>
      </w:r>
    </w:p>
    <w:p w14:paraId="228CA4FA" w14:textId="77777777" w:rsidR="00CE6036" w:rsidRDefault="00CE6036">
      <w:pPr>
        <w:rPr>
          <w:lang w:val="en-AU"/>
        </w:rPr>
      </w:pPr>
    </w:p>
    <w:p w14:paraId="448647CF" w14:textId="10DDCAD1" w:rsidR="00CE6036" w:rsidRPr="00CE6036" w:rsidRDefault="00CE6036">
      <w:pPr>
        <w:rPr>
          <w:b/>
          <w:bCs/>
          <w:sz w:val="28"/>
          <w:szCs w:val="28"/>
          <w:lang w:val="en-AU"/>
        </w:rPr>
      </w:pPr>
      <w:r w:rsidRPr="00CE6036">
        <w:rPr>
          <w:b/>
          <w:bCs/>
          <w:sz w:val="28"/>
          <w:szCs w:val="28"/>
          <w:lang w:val="en-AU"/>
        </w:rPr>
        <w:t xml:space="preserve">Figures </w:t>
      </w:r>
    </w:p>
    <w:p w14:paraId="1786BB80" w14:textId="14619D81" w:rsidR="00CE6036" w:rsidRDefault="00CE6036" w:rsidP="00CE6036">
      <w:pPr>
        <w:spacing w:after="200"/>
      </w:pPr>
      <w:r>
        <w:rPr>
          <w:b/>
          <w:color w:val="000000"/>
        </w:rPr>
        <w:t xml:space="preserve">Figure 1: </w:t>
      </w:r>
      <w:proofErr w:type="spellStart"/>
      <w:r>
        <w:rPr>
          <w:bCs/>
          <w:color w:val="000000"/>
        </w:rPr>
        <w:t>Phylo</w:t>
      </w:r>
      <w:proofErr w:type="spellEnd"/>
      <w:r>
        <w:rPr>
          <w:bCs/>
          <w:color w:val="000000"/>
        </w:rPr>
        <w:t>-morphological pairwise distances plots.</w:t>
      </w:r>
      <w:bookmarkStart w:id="1" w:name="_heading=h.z337ya"/>
      <w:bookmarkEnd w:id="1"/>
      <w:r>
        <w:t xml:space="preserve"> Each point is a pairwise comparison with border and center colors corresponding to the two species’ genera. The x-axis is shared but the y-axes of morphological distances are not equivalent as they rely on different shape datasets: </w:t>
      </w:r>
      <w:r>
        <w:rPr>
          <w:bCs/>
        </w:rPr>
        <w:t>a</w:t>
      </w:r>
      <w:r>
        <w:t xml:space="preserve"> full shape and </w:t>
      </w:r>
      <w:r>
        <w:rPr>
          <w:bCs/>
        </w:rPr>
        <w:t>b</w:t>
      </w:r>
      <w:r>
        <w:t xml:space="preserve"> shape residual.</w:t>
      </w:r>
      <w:bookmarkStart w:id="2" w:name="_heading=h.2s8eyo1"/>
    </w:p>
    <w:bookmarkEnd w:id="2"/>
    <w:p w14:paraId="4B1D7D5E" w14:textId="18BFB89E" w:rsidR="00CE6036" w:rsidRPr="00CE6036" w:rsidRDefault="00CE6036" w:rsidP="00CE6036">
      <w:pPr>
        <w:spacing w:after="200"/>
      </w:pPr>
      <w:r>
        <w:fldChar w:fldCharType="begin">
          <w:ffData>
            <w:name w:val="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fldChar w:fldCharType="end"/>
      </w:r>
      <w:r>
        <w:rPr>
          <w:b/>
          <w:color w:val="000000"/>
        </w:rPr>
        <w:t>Figure 2</w:t>
      </w:r>
      <w:r>
        <w:t>. Shape variation related to size and after size removal.</w:t>
      </w:r>
      <w:r>
        <w:rPr>
          <w:b/>
        </w:rPr>
        <w:t xml:space="preserve"> </w:t>
      </w:r>
      <w:r>
        <w:rPr>
          <w:bCs/>
        </w:rPr>
        <w:t>a,</w:t>
      </w:r>
      <w:r>
        <w:rPr>
          <w:b/>
        </w:rPr>
        <w:t xml:space="preserve"> </w:t>
      </w:r>
      <w:r>
        <w:t xml:space="preserve"> Plot of PC1 and PC2 for the full shape dataset and </w:t>
      </w:r>
      <w:r>
        <w:rPr>
          <w:bCs/>
        </w:rPr>
        <w:t>b</w:t>
      </w:r>
      <w:r>
        <w:rPr>
          <w:b/>
        </w:rPr>
        <w:t xml:space="preserve">, </w:t>
      </w:r>
      <w:r>
        <w:t xml:space="preserve">plot of log centroid size versus the projected regression score with a gray regression line indicating the common evolutionary trajectory as per </w:t>
      </w:r>
      <w:r>
        <w:fldChar w:fldCharType="begin"/>
      </w:r>
      <w:r>
        <w:instrText>ADDIN EN.CITE &lt;EndNote&gt;&lt;Cite AuthorYear="1"&gt;&lt;Author&gt;Marcy&lt;/Author&gt;&lt;Year&gt;2020&lt;/Year&gt;&lt;RecNum&gt;6&lt;/RecNum&gt;&lt;DisplayText&gt;Marcy et al. (2020)&lt;/DisplayText&gt;&lt;record&gt;&lt;rec-number&gt;6&lt;/rec-number&gt;&lt;foreign-keys&gt;&lt;key app="EN" db-id="x99veed5wrp02read9c5awr0x2v9vvapx290" timestamp="1697174965"&gt;6&lt;/key&gt;&lt;/foreign-keys&gt;&lt;ref-type name="Journal Article"&gt;17&lt;/ref-type&gt;&lt;contributors&gt;&lt;authors&gt;&lt;author&gt;Marcy, A. E.&lt;/author&gt;&lt;author&gt;Guillerme, T.&lt;/author&gt;&lt;author&gt;Sherratt, E.&lt;/author&gt;&lt;author&gt;Rowe, K. C.&lt;/author&gt;&lt;author&gt;Phillips, M. J.&lt;/author&gt;&lt;author&gt;Weisbecker, V.&lt;/author&gt;&lt;/authors&gt;&lt;/contributors&gt;&lt;titles&gt;&lt;title&gt;Australian rodents reveal conserved cranial evolutionary allometry across 10 million years of Murid evolution&lt;/title&gt;&lt;secondary-title&gt;The American Naturalist&lt;/secondary-title&gt;&lt;/titles&gt;&lt;periodical&gt;&lt;full-title&gt;The American Naturalist&lt;/full-title&gt;&lt;/periodical&gt;&lt;pages&gt;755-768&lt;/pages&gt;&lt;volume&gt;196&lt;/volume&gt;&lt;number&gt;6&lt;/number&gt;&lt;keywords&gt;&lt;keyword&gt;allometric facilitation,craniofacial evolutionary allometry (CREA),geometric morphometrics,molecular phylogeny,Murinae,stabilizing selection&lt;/keyword&gt;&lt;/keywords&gt;&lt;dates&gt;&lt;year&gt;2020&lt;/year&gt;&lt;/dates&gt;&lt;accession-num&gt;33211559&lt;/accession-num&gt;&lt;urls&gt;&lt;related-urls&gt;&lt;url&gt;https://www.journals.uchicago.edu/doi/abs/10.1086/711398&lt;/url&gt;&lt;/related-urls&gt;&lt;/urls&gt;&lt;electronic-resource-num&gt;https://doi.org/10.1086/711398&lt;/electronic-resource-num&gt;&lt;/record&gt;&lt;/Cite&gt;&lt;/EndNote&gt;</w:instrText>
      </w:r>
      <w:r>
        <w:fldChar w:fldCharType="separate"/>
      </w:r>
      <w:r>
        <w:t>Marcy et al. (2020)</w:t>
      </w:r>
      <w:r>
        <w:fldChar w:fldCharType="end"/>
      </w:r>
      <w:r>
        <w:t xml:space="preserve">; </w:t>
      </w:r>
      <w:r>
        <w:rPr>
          <w:bCs/>
        </w:rPr>
        <w:t>c,</w:t>
      </w:r>
      <w:r>
        <w:rPr>
          <w:b/>
        </w:rPr>
        <w:t xml:space="preserve"> </w:t>
      </w:r>
      <w:r>
        <w:t>‘allometry-free’ shape residual dataset with</w:t>
      </w:r>
      <w:r>
        <w:rPr>
          <w:iCs/>
        </w:rPr>
        <w:t xml:space="preserve"> </w:t>
      </w:r>
      <w:proofErr w:type="spellStart"/>
      <w:r>
        <w:rPr>
          <w:i/>
        </w:rPr>
        <w:t>Notomys</w:t>
      </w:r>
      <w:proofErr w:type="spellEnd"/>
      <w:r>
        <w:rPr>
          <w:i/>
        </w:rPr>
        <w:t xml:space="preserve"> </w:t>
      </w:r>
      <w:r>
        <w:rPr>
          <w:iCs/>
        </w:rPr>
        <w:t xml:space="preserve">genus, </w:t>
      </w:r>
      <w:proofErr w:type="spellStart"/>
      <w:r>
        <w:rPr>
          <w:i/>
        </w:rPr>
        <w:t>Conilurus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penicillatus</w:t>
      </w:r>
      <w:proofErr w:type="spellEnd"/>
      <w:r>
        <w:rPr>
          <w:iCs/>
        </w:rPr>
        <w:t xml:space="preserve">, and </w:t>
      </w:r>
      <w:proofErr w:type="spellStart"/>
      <w:r>
        <w:rPr>
          <w:i/>
        </w:rPr>
        <w:t>Mastacomys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fuscus</w:t>
      </w:r>
      <w:proofErr w:type="spellEnd"/>
      <w:r>
        <w:rPr>
          <w:i/>
        </w:rPr>
        <w:t xml:space="preserve"> </w:t>
      </w:r>
      <w:r>
        <w:rPr>
          <w:iCs/>
        </w:rPr>
        <w:t xml:space="preserve">highlighted; </w:t>
      </w:r>
      <w:r>
        <w:rPr>
          <w:bCs/>
        </w:rPr>
        <w:t>d,</w:t>
      </w:r>
      <w:r>
        <w:t xml:space="preserve"> shape residual dataset without </w:t>
      </w:r>
      <w:proofErr w:type="spellStart"/>
      <w:r>
        <w:rPr>
          <w:i/>
        </w:rPr>
        <w:t>Notomys</w:t>
      </w:r>
      <w:proofErr w:type="spellEnd"/>
      <w:r>
        <w:rPr>
          <w:iCs/>
        </w:rPr>
        <w:t>, which mainly just switches the sign of the PC scores</w:t>
      </w:r>
      <w:r>
        <w:rPr>
          <w:i/>
        </w:rPr>
        <w:t xml:space="preserve">. </w:t>
      </w:r>
    </w:p>
    <w:p w14:paraId="455F66A0" w14:textId="1F296166" w:rsidR="00CE6036" w:rsidRDefault="00CE6036" w:rsidP="00CE6036">
      <w:pPr>
        <w:spacing w:after="200"/>
      </w:pPr>
      <w:bookmarkStart w:id="3" w:name="_heading=h.3rdcrjn"/>
      <w:bookmarkEnd w:id="3"/>
      <w:r>
        <w:rPr>
          <w:b/>
          <w:color w:val="000000"/>
        </w:rPr>
        <w:t>Figure 3:</w:t>
      </w:r>
      <w:r>
        <w:t xml:space="preserve"> </w:t>
      </w:r>
      <w:r>
        <w:rPr>
          <w:b/>
          <w:bCs/>
        </w:rPr>
        <w:t>a</w:t>
      </w:r>
      <w:r>
        <w:t xml:space="preserve">, shape differences between the shape fitted for mean centroid size of the smallest to the largest species in the sample; </w:t>
      </w:r>
      <w:r>
        <w:rPr>
          <w:b/>
          <w:bCs/>
        </w:rPr>
        <w:t>b</w:t>
      </w:r>
      <w:r>
        <w:t xml:space="preserve">, shape differences between the mean shapes of these two species; </w:t>
      </w:r>
      <w:r>
        <w:rPr>
          <w:b/>
          <w:bCs/>
        </w:rPr>
        <w:t>c</w:t>
      </w:r>
      <w:r>
        <w:t xml:space="preserve">, </w:t>
      </w:r>
      <w:r>
        <w:lastRenderedPageBreak/>
        <w:t xml:space="preserve">differences between the hypothetical shapes captured between PC1 extremes; </w:t>
      </w:r>
      <w:r>
        <w:rPr>
          <w:b/>
          <w:bCs/>
        </w:rPr>
        <w:t>d</w:t>
      </w:r>
      <w:r>
        <w:t xml:space="preserve">, differences between the hypothetical shapes captured between PC1 extremes based on allometry-free data; </w:t>
      </w:r>
      <w:r>
        <w:rPr>
          <w:b/>
          <w:bCs/>
        </w:rPr>
        <w:t>e</w:t>
      </w:r>
      <w:r>
        <w:t xml:space="preserve">, differences between the hypothetical shapes captured between PC2 extremes on allometry-free data; </w:t>
      </w:r>
      <w:r>
        <w:rPr>
          <w:b/>
          <w:bCs/>
        </w:rPr>
        <w:t>f</w:t>
      </w:r>
      <w:r>
        <w:t xml:space="preserve">, differences between hypothetical shapes between PC1 extremes after removing </w:t>
      </w:r>
      <w:proofErr w:type="spellStart"/>
      <w:r>
        <w:rPr>
          <w:i/>
          <w:iCs/>
        </w:rPr>
        <w:t>Notomys</w:t>
      </w:r>
      <w:proofErr w:type="spellEnd"/>
      <w:r>
        <w:rPr>
          <w:i/>
          <w:iCs/>
        </w:rPr>
        <w:t>.</w:t>
      </w:r>
      <w:r>
        <w:t xml:space="preserve"> Spheres show the mean position of landmarks for the column’s dataset, vectors show landmark displacement. Colors and lengths are calculated from relative proportions of the minimum/maximum vector lengths for each </w:t>
      </w:r>
      <w:proofErr w:type="spellStart"/>
      <w:proofErr w:type="gramStart"/>
      <w:r>
        <w:t>comparison,and</w:t>
      </w:r>
      <w:proofErr w:type="spellEnd"/>
      <w:proofErr w:type="gramEnd"/>
      <w:r>
        <w:t xml:space="preserve"> are not equivalent across individual images. </w:t>
      </w:r>
      <w:r>
        <w:rPr>
          <w:b/>
          <w:bCs/>
        </w:rPr>
        <w:t xml:space="preserve">g, </w:t>
      </w:r>
      <w:r>
        <w:t xml:space="preserve">comparison between the smallest </w:t>
      </w:r>
      <w:r>
        <w:rPr>
          <w:i/>
          <w:iCs/>
        </w:rPr>
        <w:t>versus</w:t>
      </w:r>
      <w:r>
        <w:t xml:space="preserve"> largest species in the sample (reflecting the variation seen in 3a-c); </w:t>
      </w:r>
      <w:r>
        <w:rPr>
          <w:b/>
          <w:bCs/>
        </w:rPr>
        <w:t>f</w:t>
      </w:r>
      <w:r>
        <w:t>, examples of species on extremes of residual PC1 (</w:t>
      </w:r>
      <w:r>
        <w:rPr>
          <w:i/>
          <w:iCs/>
        </w:rPr>
        <w:t xml:space="preserve">H. </w:t>
      </w:r>
      <w:proofErr w:type="spellStart"/>
      <w:r>
        <w:rPr>
          <w:i/>
          <w:iCs/>
        </w:rPr>
        <w:t>chrysogaster</w:t>
      </w:r>
      <w:proofErr w:type="spellEnd"/>
      <w:r>
        <w:t>), and residual PC1/2 (</w:t>
      </w:r>
      <w:r>
        <w:rPr>
          <w:i/>
          <w:iCs/>
        </w:rPr>
        <w:t xml:space="preserve">N. </w:t>
      </w:r>
      <w:proofErr w:type="spellStart"/>
      <w:r>
        <w:rPr>
          <w:i/>
          <w:iCs/>
        </w:rPr>
        <w:t>fuscus</w:t>
      </w:r>
      <w:proofErr w:type="spellEnd"/>
      <w:r>
        <w:rPr>
          <w:i/>
          <w:iCs/>
        </w:rPr>
        <w:t xml:space="preserve">, M. </w:t>
      </w:r>
      <w:proofErr w:type="spellStart"/>
      <w:r>
        <w:rPr>
          <w:i/>
          <w:iCs/>
        </w:rPr>
        <w:t>fuscus</w:t>
      </w:r>
      <w:proofErr w:type="spellEnd"/>
      <w:r>
        <w:rPr>
          <w:i/>
          <w:iCs/>
        </w:rPr>
        <w:t>)</w:t>
      </w:r>
      <w:r>
        <w:t>, crania aligned so the foramen magnum is approximately vertical</w:t>
      </w:r>
      <w:r>
        <w:rPr>
          <w:i/>
          <w:iCs/>
        </w:rPr>
        <w:t>.</w:t>
      </w:r>
      <w:r>
        <w:t xml:space="preserve"> Not to scale. </w:t>
      </w:r>
      <w:r>
        <w:rPr>
          <w:i/>
          <w:iCs/>
        </w:rPr>
        <w:t xml:space="preserve">P. </w:t>
      </w:r>
      <w:proofErr w:type="spellStart"/>
      <w:r>
        <w:rPr>
          <w:i/>
          <w:iCs/>
        </w:rPr>
        <w:t>delicatulus</w:t>
      </w:r>
      <w:proofErr w:type="spellEnd"/>
      <w:r>
        <w:rPr>
          <w:i/>
          <w:iCs/>
        </w:rPr>
        <w:t xml:space="preserve"> </w:t>
      </w:r>
      <w:r>
        <w:t xml:space="preserve">specimen is from Marcy </w:t>
      </w:r>
      <w:r>
        <w:rPr>
          <w:i/>
          <w:iCs/>
        </w:rPr>
        <w:t>et al.</w:t>
      </w:r>
      <w:r>
        <w:t xml:space="preserve">  </w:t>
      </w:r>
      <w:r>
        <w:fldChar w:fldCharType="begin"/>
      </w:r>
      <w:r>
        <w:instrText>ADDIN EN.CITE &lt;EndNote&gt;&lt;Cite ExcludeAuth="1"&gt;&lt;Author&gt;Marcy&lt;/Author&gt;&lt;Year&gt;2018&lt;/Year&gt;&lt;RecNum&gt;24&lt;/RecNum&gt;&lt;DisplayText&gt;(2018)&lt;/DisplayText&gt;&lt;record&gt;&lt;rec-number&gt;24&lt;/rec-number&gt;&lt;foreign-keys&gt;&lt;key app="EN" db-id="p9vfsf2vj2tvwjevww9pzwfazxfv5txvw5ap" timestamp="1709692331"&gt;24&lt;/key&gt;&lt;/foreign-keys&gt;&lt;ref-type name="Journal Article"&gt;17&lt;/ref-type&gt;&lt;contributors&gt;&lt;authors&gt;&lt;author&gt;Marcy, A. E.&lt;/author&gt;&lt;author&gt;Fruciano, C.&lt;/author&gt;&lt;author&gt;Phillips, M. J.&lt;/author&gt;&lt;author&gt;Mardon, K.&lt;/author&gt;&lt;author&gt;Weisbecker, V.&lt;/author&gt;&lt;/authors&gt;&lt;secondary-authors&gt;&lt;author&gt;Cox, Philip&lt;/author&gt;&lt;/secondary-authors&gt;&lt;/contributors&gt;&lt;titles&gt;&lt;title&gt;Low resolution scans can provide a sufficiently accurate, cost- and time-effective alternative to high resolution scans for 3D shape analyses&lt;/title&gt;&lt;secondary-title&gt;PeerJ&lt;/secondary-title&gt;&lt;alt-title&gt;PeerJ&lt;/alt-title&gt;&lt;/titles&gt;&lt;periodical&gt;&lt;full-title&gt;PeerJ&lt;/full-title&gt;&lt;/periodical&gt;&lt;alt-periodical&gt;&lt;full-title&gt;PeerJ&lt;/full-title&gt;&lt;/alt-periodical&gt;&lt;pages&gt;e5032&lt;/pages&gt;&lt;volume&gt;6&lt;/volume&gt;&lt;keywords&gt;&lt;keyword&gt;Geometric morphometrics&lt;/keyword&gt;&lt;keyword&gt;Shape variation&lt;/keyword&gt;&lt;keyword&gt;Photogrammetry&lt;/keyword&gt;&lt;keyword&gt;Pseudomys delicatulus&lt;/keyword&gt;&lt;keyword&gt;Geomorph&lt;/keyword&gt;&lt;keyword&gt;Systematic error&lt;/keyword&gt;&lt;keyword&gt;Random error&lt;/keyword&gt;&lt;keyword&gt;Generalized procrustes analysis&lt;/keyword&gt;&lt;/keywords&gt;&lt;dates&gt;&lt;year&gt;2018&lt;/year&gt;&lt;pub-dates&gt;&lt;date&gt;2018/06/22&lt;/date&gt;&lt;/pub-dates&gt;&lt;/dates&gt;&lt;isbn&gt;2167-8359&lt;/isbn&gt;&lt;urls&gt;&lt;related-urls&gt;&lt;url&gt;https://doi.org/10.7717/peerj.5032&lt;/url&gt;&lt;/related-urls&gt;&lt;/urls&gt;&lt;electronic-resource-num&gt;https://doi.org/10.7717/peerj.5032&lt;/electronic-resource-num&gt;&lt;/record&gt;&lt;/Cite&gt;&lt;/EndNote&gt;</w:instrText>
      </w:r>
      <w:r>
        <w:fldChar w:fldCharType="separate"/>
      </w:r>
      <w:r>
        <w:t>(2018)</w:t>
      </w:r>
      <w:r>
        <w:fldChar w:fldCharType="end"/>
      </w:r>
      <w:r>
        <w:t xml:space="preserve">. </w:t>
      </w:r>
    </w:p>
    <w:p w14:paraId="429B14A8" w14:textId="77777777" w:rsidR="00CE6036" w:rsidRDefault="00CE6036" w:rsidP="00CE6036">
      <w:pPr>
        <w:spacing w:after="200"/>
      </w:pPr>
      <w:r>
        <w:rPr>
          <w:b/>
          <w:color w:val="000000"/>
        </w:rPr>
        <w:t>Figure 4:</w:t>
      </w:r>
      <w:r>
        <w:rPr>
          <w:bCs/>
          <w:color w:val="000000"/>
        </w:rPr>
        <w:t xml:space="preserve"> Modularity and integration results averaged across the whole skull</w:t>
      </w:r>
      <w:r>
        <w:rPr>
          <w:b/>
        </w:rPr>
        <w:t xml:space="preserve"> </w:t>
      </w:r>
      <w:proofErr w:type="spellStart"/>
      <w:r>
        <w:rPr>
          <w:b/>
        </w:rPr>
        <w:t>a</w:t>
      </w:r>
      <w:proofErr w:type="spellEnd"/>
      <w:r>
        <w:rPr>
          <w:b/>
        </w:rPr>
        <w:t xml:space="preserve"> </w:t>
      </w:r>
      <w:r>
        <w:t>our five-module framework</w:t>
      </w:r>
      <w:r>
        <w:fldChar w:fldCharType="begin"/>
      </w:r>
      <w:r>
        <w:instrText>ADDIN EN.CITE &lt;EndNote&gt;&lt;Cite&gt;&lt;Author&gt;Goswami&lt;/Author&gt;&lt;Year&gt;2006&lt;/Year&gt;&lt;RecNum&gt;22&lt;/RecNum&gt;&lt;DisplayText&gt;(Goswami 2006)&lt;/DisplayText&gt;&lt;record&gt;&lt;rec-number&gt;22&lt;/rec-number&gt;&lt;foreign-keys&gt;&lt;key app="EN" db-id="x99veed5wrp02read9c5awr0x2v9vvapx290" timestamp="1697174965"&gt;22&lt;/key&gt;&lt;/foreign-keys&gt;&lt;ref-type name="Journal Article"&gt;17&lt;/ref-type&gt;&lt;contributors&gt;&lt;authors&gt;&lt;author&gt;Goswami, A.&lt;/author&gt;&lt;/authors&gt;&lt;/contributors&gt;&lt;titles&gt;&lt;title&gt;Cranial modularity shifts during mammalian evolution&lt;/title&gt;&lt;secondary-title&gt;The American Naturalist&lt;/secondary-title&gt;&lt;/titles&gt;&lt;periodical&gt;&lt;full-title&gt;The American Naturalist&lt;/full-title&gt;&lt;/periodical&gt;&lt;pages&gt;270-280&lt;/pages&gt;&lt;volume&gt;168&lt;/volume&gt;&lt;number&gt;2&lt;/number&gt;&lt;keywords&gt;&lt;keyword&gt;modularity,Mammalia,evolution,development,functional integration&lt;/keyword&gt;&lt;/keywords&gt;&lt;dates&gt;&lt;year&gt;2006&lt;/year&gt;&lt;/dates&gt;&lt;accession-num&gt;16874636&lt;/accession-num&gt;&lt;urls&gt;&lt;related-urls&gt;&lt;url&gt;https://www.journals.uchicago.edu/doi/abs/10.1086/505758&lt;/url&gt;&lt;/related-urls&gt;&lt;/urls&gt;&lt;electronic-resource-num&gt;https://doi.org/10.1086/505758&lt;/electronic-resource-num&gt;&lt;/record&gt;&lt;/Cite&gt;&lt;/EndNote&gt;</w:instrText>
      </w:r>
      <w:r>
        <w:fldChar w:fldCharType="separate"/>
      </w:r>
      <w:r>
        <w:t>(Goswami 2006)</w:t>
      </w:r>
      <w:r>
        <w:fldChar w:fldCharType="end"/>
      </w:r>
      <w:r>
        <w:t>. Results from the full shape (</w:t>
      </w:r>
      <w:proofErr w:type="spellStart"/>
      <w:proofErr w:type="gramStart"/>
      <w:r>
        <w:t>b,d</w:t>
      </w:r>
      <w:proofErr w:type="spellEnd"/>
      <w:proofErr w:type="gramEnd"/>
      <w:r>
        <w:t>) and shape residual (</w:t>
      </w:r>
      <w:proofErr w:type="spellStart"/>
      <w:r>
        <w:t>c,e</w:t>
      </w:r>
      <w:proofErr w:type="spellEnd"/>
      <w:r>
        <w:t xml:space="preserve">) datasets. Black curves are the density distribution of coefficients </w:t>
      </w:r>
      <w:proofErr w:type="gramStart"/>
      <w:r>
        <w:t>from .</w:t>
      </w:r>
      <w:proofErr w:type="gramEnd"/>
      <w:r>
        <w:t xml:space="preserve"> 1,000 randomly drawn modules and the arrows point to the observed coefficients, which were all significant.</w:t>
      </w:r>
    </w:p>
    <w:p w14:paraId="33857E75" w14:textId="77777777" w:rsidR="00CE6036" w:rsidRPr="00CE6036" w:rsidRDefault="00CE6036">
      <w:pPr>
        <w:rPr>
          <w:lang w:val="en-AU"/>
        </w:rPr>
      </w:pPr>
    </w:p>
    <w:sectPr w:rsidR="00CE6036" w:rsidRPr="00CE60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36"/>
    <w:rsid w:val="00135425"/>
    <w:rsid w:val="009A6EDF"/>
    <w:rsid w:val="00CE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F2F2817"/>
  <w15:chartTrackingRefBased/>
  <w15:docId w15:val="{23134552-D8E2-4269-A58E-7533FBFA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1412</Words>
  <Characters>8049</Characters>
  <Application>Microsoft Office Word</Application>
  <DocSecurity>0</DocSecurity>
  <Lines>67</Lines>
  <Paragraphs>18</Paragraphs>
  <ScaleCrop>false</ScaleCrop>
  <Company/>
  <LinksUpToDate>false</LinksUpToDate>
  <CharactersWithSpaces>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Martin</dc:creator>
  <cp:keywords/>
  <dc:description/>
  <cp:lastModifiedBy>Meg Martin</cp:lastModifiedBy>
  <cp:revision>1</cp:revision>
  <dcterms:created xsi:type="dcterms:W3CDTF">2024-04-17T04:47:00Z</dcterms:created>
  <dcterms:modified xsi:type="dcterms:W3CDTF">2024-04-17T04:58:00Z</dcterms:modified>
</cp:coreProperties>
</file>