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7CE3" w14:textId="27B5EB58" w:rsidR="00FF3E13" w:rsidRDefault="00596B69">
      <w:r>
        <w:t xml:space="preserve">of variation within anatomical regions of the skull, known as modules, which are linked due to shared genetic or developmental mechanisms </w:t>
      </w:r>
      <w:r>
        <w:fldChar w:fldCharType="begin"/>
      </w:r>
      <w:r>
        <w:instrText xml:space="preserve"> ADDIN EN.CITE &lt;EndNote&gt;&lt;Cite&gt;&lt;Author&gt;Klingenberg&lt;/Author&gt;&lt;Year&gt;2009&lt;/Year&gt;&lt;RecNum&gt;11&lt;/RecNum&gt;&lt;DisplayText&gt;(Klingenberg 2009)&lt;/DisplayText&gt;&lt;record&gt;&lt;rec-number&gt;11&lt;/rec-number&gt;&lt;foreign-keys&gt;&lt;key app="EN" db-id="x99veed5wrp02read9c5awr0x2v9vvapx290" timestamp="1697174965"&gt;11&lt;/key&gt;&lt;/foreign-keys&gt;&lt;ref-type name="Journal Article"&gt;17&lt;/ref-type&gt;&lt;contributors&gt;&lt;authors&gt;&lt;author&gt;Klingenberg, C. P.&lt;/author&gt;&lt;/authors&gt;&lt;/contributors&gt;&lt;auth-address&gt;Faculty of Life Sciences, The University of Manchester, Michael Smith Building, Oxford Road, Manchester M13 9PT, UK. cpk@manchester.ac.uk&lt;/auth-address&gt;&lt;titles&gt;&lt;title&gt;Morphometric integration and modularity in configurations of landmarks: tools for evaluating a priori hypotheses&lt;/title&gt;&lt;secondary-title&gt;Evolution &amp;amp; Development&lt;/secondary-title&gt;&lt;/titles&gt;&lt;periodical&gt;&lt;full-title&gt;Evolution &amp;amp; Development&lt;/full-title&gt;&lt;/periodical&gt;&lt;pages&gt;405-21&lt;/pages&gt;&lt;volume&gt;11&lt;/volume&gt;&lt;number&gt;4&lt;/number&gt;&lt;edition&gt;2009/07/16&lt;/edition&gt;&lt;keywords&gt;&lt;keyword&gt;Animals&lt;/keyword&gt;&lt;keyword&gt;Drosophila melanogaster/*embryology&lt;/keyword&gt;&lt;keyword&gt;Mandible/embryology&lt;/keyword&gt;&lt;keyword&gt;Mice/*embryology&lt;/keyword&gt;&lt;keyword&gt;*Models, Biological&lt;/keyword&gt;&lt;keyword&gt;Wings, Animal/embryology&lt;/keyword&gt;&lt;/keywords&gt;&lt;dates&gt;&lt;year&gt;2009&lt;/year&gt;&lt;pub-dates&gt;&lt;date&gt;Jul-Aug&lt;/date&gt;&lt;/pub-dates&gt;&lt;/dates&gt;&lt;isbn&gt;1520-541X (Print)&amp;#xD;1520-541x&lt;/isbn&gt;&lt;accession-num&gt;19601974&lt;/accession-num&gt;&lt;urls&gt;&lt;/urls&gt;&lt;custom2&gt;PMC2776930&lt;/custom2&gt;&lt;electronic-resource-num&gt;https://doi.org/10.1111/j.1525-142X.2009.00347.x&lt;/electronic-resource-num&gt;&lt;remote-database-provider&gt;NLM&lt;/remote-database-provider&gt;&lt;language&gt;eng&lt;/language&gt;&lt;/record&gt;&lt;/Cite&gt;&lt;/EndNote&gt;</w:instrText>
      </w:r>
      <w:r>
        <w:fldChar w:fldCharType="separate"/>
      </w:r>
      <w:r>
        <w:rPr>
          <w:noProof/>
        </w:rPr>
        <w:t>(Klingenberg 2009)</w:t>
      </w:r>
      <w:r>
        <w:fldChar w:fldCharType="end"/>
      </w:r>
      <w:r>
        <w:t xml:space="preserve">. This </w:t>
      </w:r>
      <w:proofErr w:type="gramStart"/>
      <w:r>
        <w:t>allows</w:t>
      </w:r>
      <w:proofErr w:type="gramEnd"/>
    </w:p>
    <w:p w14:paraId="7115D7FE" w14:textId="77777777" w:rsidR="00596B69" w:rsidRDefault="00596B69"/>
    <w:p w14:paraId="6137F84F" w14:textId="3B3DD1D4" w:rsidR="00596B69" w:rsidRDefault="00596B69">
      <w:sdt>
        <w:sdtPr>
          <w:tag w:val="goog_rdk_1"/>
          <w:id w:val="-1957866091"/>
          <w:showingPlcHdr/>
        </w:sdtPr>
        <w:sdtContent>
          <w:r>
            <w:t xml:space="preserve">     </w:t>
          </w:r>
        </w:sdtContent>
      </w:sdt>
      <w:r>
        <w:t>These can be calculated in both the allometric morphospace and in the ‘allometry-free’ shape morphospace where the allometric component of shape has been removed from species mean shapes, leaving only the shape residuals.</w:t>
      </w:r>
    </w:p>
    <w:sectPr w:rsidR="00596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27"/>
    <w:rsid w:val="00520F27"/>
    <w:rsid w:val="00596B69"/>
    <w:rsid w:val="00CB6A1C"/>
    <w:rsid w:val="00F06661"/>
    <w:rsid w:val="00FF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8FEF"/>
  <w15:chartTrackingRefBased/>
  <w15:docId w15:val="{57C90458-8112-4115-AE47-D70076E0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Weisbecker</dc:creator>
  <cp:keywords/>
  <dc:description/>
  <cp:lastModifiedBy>Vera Weisbecker</cp:lastModifiedBy>
  <cp:revision>2</cp:revision>
  <dcterms:created xsi:type="dcterms:W3CDTF">2023-10-27T05:51:00Z</dcterms:created>
  <dcterms:modified xsi:type="dcterms:W3CDTF">2023-10-27T06:41:00Z</dcterms:modified>
</cp:coreProperties>
</file>