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0247C">
      <w:pPr>
        <w:spacing w:before="600" w:after="200"/>
        <w:jc w:val="center"/>
      </w:pPr>
      <w:r>
        <w:rPr>
          <w:rFonts w:ascii="Arial" w:hAnsi="Arial" w:eastAsia="Arial" w:cs="Arial"/>
          <w:b/>
          <w:bCs/>
          <w:color w:val="1F3864"/>
          <w:sz w:val="28"/>
          <w:szCs w:val="28"/>
        </w:rPr>
        <w:t>RECOMMENDER SYSTEMS — FINAL PROJECT REPORT</w:t>
      </w:r>
    </w:p>
    <w:p w14:paraId="2CB63CDD">
      <w:pPr>
        <w:spacing w:before="0" w:after="120"/>
        <w:jc w:val="center"/>
      </w:pPr>
      <w:r>
        <w:rPr>
          <w:rFonts w:ascii="Arial" w:hAnsi="Arial" w:eastAsia="Arial" w:cs="Arial"/>
          <w:b/>
          <w:bCs/>
          <w:sz w:val="36"/>
          <w:szCs w:val="36"/>
        </w:rPr>
        <w:t>Bayesian Hybrid Collaborative Filtering-Based</w:t>
      </w:r>
    </w:p>
    <w:p w14:paraId="3607EDAD">
      <w:pPr>
        <w:spacing w:before="0" w:after="120"/>
        <w:jc w:val="center"/>
      </w:pPr>
      <w:r>
        <w:rPr>
          <w:rFonts w:ascii="Arial" w:hAnsi="Arial" w:eastAsia="Arial" w:cs="Arial"/>
          <w:b/>
          <w:bCs/>
          <w:sz w:val="36"/>
          <w:szCs w:val="36"/>
        </w:rPr>
        <w:t>Residential Electricity Plan Recommender System</w:t>
      </w:r>
    </w:p>
    <w:p w14:paraId="18259E95">
      <w:pPr>
        <w:spacing w:before="0" w:after="60"/>
        <w:jc w:val="center"/>
      </w:pPr>
      <w:r>
        <w:rPr>
          <w:rFonts w:ascii="Arial" w:hAnsi="Arial" w:eastAsia="Arial" w:cs="Arial"/>
          <w:b/>
          <w:bCs/>
          <w:color w:val="2E75B6"/>
          <w:sz w:val="30"/>
          <w:szCs w:val="30"/>
        </w:rPr>
        <w:t>(BHCF-EPRS)</w:t>
      </w:r>
    </w:p>
    <w:p w14:paraId="4952D945"/>
    <w:p w14:paraId="4E960214">
      <w:pPr>
        <w:spacing w:after="80"/>
        <w:jc w:val="center"/>
      </w:pPr>
      <w:r>
        <w:rPr>
          <w:rFonts w:ascii="Arial" w:hAnsi="Arial" w:eastAsia="Arial" w:cs="Arial"/>
          <w:color w:val="555555"/>
          <w:sz w:val="20"/>
          <w:szCs w:val="20"/>
        </w:rPr>
        <w:t>Based on: Zhang et al., IEEE Transactions on Industrial Informatics, Vol. 15, No. 8, Aug. 2019</w:t>
      </w:r>
    </w:p>
    <w:p w14:paraId="574CE75C">
      <w:pPr>
        <w:spacing w:after="240"/>
        <w:jc w:val="center"/>
      </w:pPr>
      <w:r>
        <w:rPr>
          <w:rFonts w:ascii="Arial" w:hAnsi="Arial" w:eastAsia="Arial" w:cs="Arial"/>
          <w:color w:val="555555"/>
          <w:sz w:val="20"/>
          <w:szCs w:val="20"/>
        </w:rPr>
        <w:t>Reference: Aggarwal, C.C., Recommender Systems, Springer, 2016</w:t>
      </w:r>
    </w:p>
    <w:p w14:paraId="66502989">
      <w:pPr>
        <w:spacing w:after="360"/>
        <w:jc w:val="center"/>
      </w:pPr>
      <w:bookmarkStart w:id="0" w:name="_GoBack"/>
      <w:bookmarkEnd w:id="0"/>
      <w:r>
        <w:rPr>
          <w:rFonts w:ascii="Arial" w:hAnsi="Arial" w:eastAsia="Arial" w:cs="Arial"/>
          <w:b/>
          <w:bCs/>
          <w:sz w:val="22"/>
          <w:szCs w:val="22"/>
        </w:rPr>
        <w:t xml:space="preserve">  Muhammed Miraç Taştan</w:t>
      </w:r>
    </w:p>
    <w:p w14:paraId="6A91BF2D">
      <w:r>
        <w:br w:type="page"/>
      </w:r>
    </w:p>
    <w:p w14:paraId="11421B53">
      <w:pPr>
        <w:pStyle w:val="2"/>
      </w:pPr>
      <w:r>
        <w:rPr>
          <w:rFonts w:ascii="Arial" w:hAnsi="Arial" w:eastAsia="Arial" w:cs="Arial"/>
          <w:b/>
          <w:bCs/>
          <w:sz w:val="32"/>
          <w:szCs w:val="32"/>
        </w:rPr>
        <w:t>Abstract</w:t>
      </w:r>
    </w:p>
    <w:p w14:paraId="30C1B048">
      <w:pPr>
        <w:spacing w:after="120"/>
      </w:pPr>
      <w:r>
        <w:rPr>
          <w:rFonts w:ascii="Arial" w:hAnsi="Arial" w:eastAsia="Arial" w:cs="Arial"/>
          <w:b w:val="0"/>
          <w:bCs w:val="0"/>
          <w:sz w:val="22"/>
          <w:szCs w:val="22"/>
        </w:rPr>
        <w:t>BHCF-EPRS is a Bayesian Hybrid Collaborative Filtering-based Electricity Plan Recommender System that recommends the cheapest electricity plan to residential customers using only appliance usage estimates — no historical bills or smart-meter data required. This final report extends the midterm version with full OOP encapsulation, separate test-RMSE tracking in ALS/BPMF, an extended K-sensitivity analysis (K=1..15), and refined sensitivity analysis covering latent dimension D, regularisation lambda, hybrid alpha, and SVM penalty C. The system achieves a Top-5 recommendation precision of 1.00 for alpha &gt;= 0.1 on a 200-user synthetic dataset, confirming the midterm finding under more rigorous evaluation.</w:t>
      </w:r>
    </w:p>
    <w:p w14:paraId="1FC99A20"/>
    <w:p w14:paraId="3AABB3F1">
      <w:pPr>
        <w:pStyle w:val="2"/>
      </w:pPr>
      <w:r>
        <w:rPr>
          <w:rFonts w:ascii="Arial" w:hAnsi="Arial" w:eastAsia="Arial" w:cs="Arial"/>
          <w:b/>
          <w:bCs/>
          <w:sz w:val="32"/>
          <w:szCs w:val="32"/>
        </w:rPr>
        <w:t>1. Introduction</w:t>
      </w:r>
    </w:p>
    <w:p w14:paraId="7AAC862E">
      <w:pPr>
        <w:pStyle w:val="3"/>
      </w:pPr>
      <w:r>
        <w:rPr>
          <w:rFonts w:ascii="Arial" w:hAnsi="Arial" w:eastAsia="Arial" w:cs="Arial"/>
          <w:b/>
          <w:bCs/>
          <w:sz w:val="26"/>
          <w:szCs w:val="26"/>
        </w:rPr>
        <w:t>1.1 Objectives and Framework</w:t>
      </w:r>
    </w:p>
    <w:p w14:paraId="5A6C5B2D">
      <w:pPr>
        <w:spacing w:after="120"/>
      </w:pPr>
      <w:r>
        <w:rPr>
          <w:rFonts w:ascii="Arial" w:hAnsi="Arial" w:eastAsia="Arial" w:cs="Arial"/>
          <w:b w:val="0"/>
          <w:bCs w:val="0"/>
          <w:sz w:val="22"/>
          <w:szCs w:val="22"/>
        </w:rPr>
        <w:t>Residential electricity deregulation has expanded plan choices, creating a choice overload problem: households struggle to identify the cheapest plan for their usage profile. The key objectives of BHCF-EPRS are: (1) recommend the cheapest electricity plan from a set of 10 plans for each user; (2) operate using only self-reported appliance usage ranges, with no historical billing data; and (3) achieve high Top-N recommendation precision through a hybrid collaborative filtering architecture.</w:t>
      </w:r>
    </w:p>
    <w:p w14:paraId="2C58BBCD">
      <w:pPr>
        <w:spacing w:after="120"/>
      </w:pPr>
      <w:r>
        <w:rPr>
          <w:rFonts w:ascii="Arial" w:hAnsi="Arial" w:eastAsia="Arial" w:cs="Arial"/>
          <w:b w:val="0"/>
          <w:bCs w:val="0"/>
          <w:sz w:val="22"/>
          <w:szCs w:val="22"/>
        </w:rPr>
        <w:t>The underlying framework combines four techniques: matrix factorisation (for missing data imputation and latent rating modelling), support vector machines (for user classification), weighted cosine similarity (for neighbourhood search), and hybrid collaborative filtering (for final prediction).</w:t>
      </w:r>
    </w:p>
    <w:p w14:paraId="428CF5F8"/>
    <w:p w14:paraId="56F97510">
      <w:pPr>
        <w:pStyle w:val="3"/>
      </w:pPr>
      <w:r>
        <w:rPr>
          <w:rFonts w:ascii="Arial" w:hAnsi="Arial" w:eastAsia="Arial" w:cs="Arial"/>
          <w:b/>
          <w:bCs/>
          <w:sz w:val="26"/>
          <w:szCs w:val="26"/>
        </w:rPr>
        <w:t>1.2 Key Concepts Summary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520"/>
        <w:gridCol w:w="3360"/>
        <w:gridCol w:w="3480"/>
      </w:tblGrid>
      <w:tr w14:paraId="44F4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127B82D">
            <w:r>
              <w:rPr>
                <w:rFonts w:ascii="Arial" w:hAnsi="Arial" w:eastAsia="Arial" w:cs="Arial"/>
                <w:b/>
                <w:bCs/>
                <w:sz w:val="20"/>
                <w:szCs w:val="20"/>
              </w:rPr>
              <w:t>#</w:t>
            </w:r>
          </w:p>
        </w:tc>
        <w:tc>
          <w:tcPr>
            <w:tcW w:w="25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6E98D9C">
            <w:r>
              <w:rPr>
                <w:rFonts w:ascii="Arial" w:hAnsi="Arial" w:eastAsia="Arial" w:cs="Arial"/>
                <w:b/>
                <w:bCs/>
                <w:sz w:val="20"/>
                <w:szCs w:val="20"/>
              </w:rPr>
              <w:t>Concept</w:t>
            </w:r>
          </w:p>
        </w:tc>
        <w:tc>
          <w:tcPr>
            <w:tcW w:w="33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C0CBDF9">
            <w:r>
              <w:rPr>
                <w:rFonts w:ascii="Arial" w:hAnsi="Arial" w:eastAsia="Arial" w:cs="Arial"/>
                <w:b/>
                <w:bCs/>
                <w:sz w:val="20"/>
                <w:szCs w:val="20"/>
              </w:rPr>
              <w:t>Method</w:t>
            </w:r>
          </w:p>
        </w:tc>
        <w:tc>
          <w:tcPr>
            <w:tcW w:w="3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9190610">
            <w:r>
              <w:rPr>
                <w:rFonts w:ascii="Arial" w:hAnsi="Arial" w:eastAsia="Arial" w:cs="Arial"/>
                <w:b/>
                <w:bCs/>
                <w:sz w:val="20"/>
                <w:szCs w:val="20"/>
              </w:rPr>
              <w:t>Purpose</w:t>
            </w:r>
          </w:p>
        </w:tc>
      </w:tr>
      <w:tr w14:paraId="3940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6A815D">
            <w:r>
              <w:rPr>
                <w:rFonts w:ascii="Arial" w:hAnsi="Arial" w:eastAsia="Arial" w:cs="Arial"/>
                <w:b w:val="0"/>
                <w:bCs w:val="0"/>
                <w:sz w:val="20"/>
                <w:szCs w:val="20"/>
              </w:rPr>
              <w:t>1</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AB2C56">
            <w:r>
              <w:rPr>
                <w:rFonts w:ascii="Arial" w:hAnsi="Arial" w:eastAsia="Arial" w:cs="Arial"/>
                <w:b w:val="0"/>
                <w:bCs w:val="0"/>
                <w:sz w:val="20"/>
                <w:szCs w:val="20"/>
              </w:rPr>
              <w:t>Feature Extraction</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2950FB">
            <w:r>
              <w:rPr>
                <w:rFonts w:ascii="Arial" w:hAnsi="Arial" w:eastAsia="Arial" w:cs="Arial"/>
                <w:b w:val="0"/>
                <w:bCs w:val="0"/>
                <w:sz w:val="20"/>
                <w:szCs w:val="20"/>
              </w:rPr>
              <w:t>Percentile binning</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3DBEC0">
            <w:r>
              <w:rPr>
                <w:rFonts w:ascii="Arial" w:hAnsi="Arial" w:eastAsia="Arial" w:cs="Arial"/>
                <w:b w:val="0"/>
                <w:bCs w:val="0"/>
                <w:sz w:val="20"/>
                <w:szCs w:val="20"/>
              </w:rPr>
              <w:t>Convert raw usage hours to discrete 5-level features</w:t>
            </w:r>
          </w:p>
        </w:tc>
      </w:tr>
      <w:tr w14:paraId="2FF5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B4D11C">
            <w:r>
              <w:rPr>
                <w:rFonts w:ascii="Arial" w:hAnsi="Arial" w:eastAsia="Arial" w:cs="Arial"/>
                <w:b w:val="0"/>
                <w:bCs w:val="0"/>
                <w:sz w:val="20"/>
                <w:szCs w:val="20"/>
              </w:rPr>
              <w:t>2</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FF7685">
            <w:r>
              <w:rPr>
                <w:rFonts w:ascii="Arial" w:hAnsi="Arial" w:eastAsia="Arial" w:cs="Arial"/>
                <w:b w:val="0"/>
                <w:bCs w:val="0"/>
                <w:sz w:val="20"/>
                <w:szCs w:val="20"/>
              </w:rPr>
              <w:t>Missing Imputation</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DA1039">
            <w:r>
              <w:rPr>
                <w:rFonts w:ascii="Arial" w:hAnsi="Arial" w:eastAsia="Arial" w:cs="Arial"/>
                <w:b w:val="0"/>
                <w:bCs w:val="0"/>
                <w:sz w:val="20"/>
                <w:szCs w:val="20"/>
              </w:rPr>
              <w:t>BPMF / ALS</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CB7A29">
            <w:r>
              <w:rPr>
                <w:rFonts w:ascii="Arial" w:hAnsi="Arial" w:eastAsia="Arial" w:cs="Arial"/>
                <w:b w:val="0"/>
                <w:bCs w:val="0"/>
                <w:sz w:val="20"/>
                <w:szCs w:val="20"/>
              </w:rPr>
              <w:t>Fill ~37% missing appliance feature entries</w:t>
            </w:r>
          </w:p>
        </w:tc>
      </w:tr>
      <w:tr w14:paraId="11C7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E82DE3">
            <w:r>
              <w:rPr>
                <w:rFonts w:ascii="Arial" w:hAnsi="Arial" w:eastAsia="Arial" w:cs="Arial"/>
                <w:b w:val="0"/>
                <w:bCs w:val="0"/>
                <w:sz w:val="20"/>
                <w:szCs w:val="20"/>
              </w:rPr>
              <w:t>3</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F8EB99">
            <w:r>
              <w:rPr>
                <w:rFonts w:ascii="Arial" w:hAnsi="Arial" w:eastAsia="Arial" w:cs="Arial"/>
                <w:b w:val="0"/>
                <w:bCs w:val="0"/>
                <w:sz w:val="20"/>
                <w:szCs w:val="20"/>
              </w:rPr>
              <w:t>PCC Weighting</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618BC5">
            <w:r>
              <w:rPr>
                <w:rFonts w:ascii="Arial" w:hAnsi="Arial" w:eastAsia="Arial" w:cs="Arial"/>
                <w:b w:val="0"/>
                <w:bCs w:val="0"/>
                <w:sz w:val="20"/>
                <w:szCs w:val="20"/>
              </w:rPr>
              <w:t>Pearson Correlation</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312D03">
            <w:r>
              <w:rPr>
                <w:rFonts w:ascii="Arial" w:hAnsi="Arial" w:eastAsia="Arial" w:cs="Arial"/>
                <w:b w:val="0"/>
                <w:bCs w:val="0"/>
                <w:sz w:val="20"/>
                <w:szCs w:val="20"/>
              </w:rPr>
              <w:t>Identify and weight principal appliances by electricity impact</w:t>
            </w:r>
          </w:p>
        </w:tc>
      </w:tr>
      <w:tr w14:paraId="3901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0C5B6E">
            <w:r>
              <w:rPr>
                <w:rFonts w:ascii="Arial" w:hAnsi="Arial" w:eastAsia="Arial" w:cs="Arial"/>
                <w:b w:val="0"/>
                <w:bCs w:val="0"/>
                <w:sz w:val="20"/>
                <w:szCs w:val="20"/>
              </w:rPr>
              <w:t>4</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F1BB6A">
            <w:r>
              <w:rPr>
                <w:rFonts w:ascii="Arial" w:hAnsi="Arial" w:eastAsia="Arial" w:cs="Arial"/>
                <w:b w:val="0"/>
                <w:bCs w:val="0"/>
                <w:sz w:val="20"/>
                <w:szCs w:val="20"/>
              </w:rPr>
              <w:t>User Classification</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7AD0AB">
            <w:r>
              <w:rPr>
                <w:rFonts w:ascii="Arial" w:hAnsi="Arial" w:eastAsia="Arial" w:cs="Arial"/>
                <w:b w:val="0"/>
                <w:bCs w:val="0"/>
                <w:sz w:val="20"/>
                <w:szCs w:val="20"/>
              </w:rPr>
              <w:t>SVM with RBF kernel</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D7AF0A">
            <w:r>
              <w:rPr>
                <w:rFonts w:ascii="Arial" w:hAnsi="Arial" w:eastAsia="Arial" w:cs="Arial"/>
                <w:b w:val="0"/>
                <w:bCs w:val="0"/>
                <w:sz w:val="20"/>
                <w:szCs w:val="20"/>
              </w:rPr>
              <w:t>Assign users to consumption classes for constrained KNN</w:t>
            </w:r>
          </w:p>
        </w:tc>
      </w:tr>
      <w:tr w14:paraId="68F5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9FF4F6">
            <w:r>
              <w:rPr>
                <w:rFonts w:ascii="Arial" w:hAnsi="Arial" w:eastAsia="Arial" w:cs="Arial"/>
                <w:b w:val="0"/>
                <w:bCs w:val="0"/>
                <w:sz w:val="20"/>
                <w:szCs w:val="20"/>
              </w:rPr>
              <w:t>5</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A901C6E">
            <w:r>
              <w:rPr>
                <w:rFonts w:ascii="Arial" w:hAnsi="Arial" w:eastAsia="Arial" w:cs="Arial"/>
                <w:b w:val="0"/>
                <w:bCs w:val="0"/>
                <w:sz w:val="20"/>
                <w:szCs w:val="20"/>
              </w:rPr>
              <w:t>Plan Ratings</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7ACF5D">
            <w:r>
              <w:rPr>
                <w:rFonts w:ascii="Arial" w:hAnsi="Arial" w:eastAsia="Arial" w:cs="Arial"/>
                <w:b w:val="0"/>
                <w:bCs w:val="0"/>
                <w:sz w:val="20"/>
                <w:szCs w:val="20"/>
              </w:rPr>
              <w:t>Cost normalisation</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85377B">
            <w:r>
              <w:rPr>
                <w:rFonts w:ascii="Arial" w:hAnsi="Arial" w:eastAsia="Arial" w:cs="Arial"/>
                <w:b w:val="0"/>
                <w:bCs w:val="0"/>
                <w:sz w:val="20"/>
                <w:szCs w:val="20"/>
              </w:rPr>
              <w:t>Derive objective preference scores from annual plan costs</w:t>
            </w:r>
          </w:p>
        </w:tc>
      </w:tr>
      <w:tr w14:paraId="68BE8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A9D1F8">
            <w:r>
              <w:rPr>
                <w:rFonts w:ascii="Arial" w:hAnsi="Arial" w:eastAsia="Arial" w:cs="Arial"/>
                <w:b w:val="0"/>
                <w:bCs w:val="0"/>
                <w:sz w:val="20"/>
                <w:szCs w:val="20"/>
              </w:rPr>
              <w:t>6</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BC9CD9">
            <w:r>
              <w:rPr>
                <w:rFonts w:ascii="Arial" w:hAnsi="Arial" w:eastAsia="Arial" w:cs="Arial"/>
                <w:b w:val="0"/>
                <w:bCs w:val="0"/>
                <w:sz w:val="20"/>
                <w:szCs w:val="20"/>
              </w:rPr>
              <w:t>Cosine Similarity</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AD0B1F">
            <w:r>
              <w:rPr>
                <w:rFonts w:ascii="Arial" w:hAnsi="Arial" w:eastAsia="Arial" w:cs="Arial"/>
                <w:b w:val="0"/>
                <w:bCs w:val="0"/>
                <w:sz w:val="20"/>
                <w:szCs w:val="20"/>
              </w:rPr>
              <w:t>Weighted cosine metric</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262643">
            <w:r>
              <w:rPr>
                <w:rFonts w:ascii="Arial" w:hAnsi="Arial" w:eastAsia="Arial" w:cs="Arial"/>
                <w:b w:val="0"/>
                <w:bCs w:val="0"/>
                <w:sz w:val="20"/>
                <w:szCs w:val="20"/>
              </w:rPr>
              <w:t>Compute user-user similarity with PCC confidence weights</w:t>
            </w:r>
          </w:p>
        </w:tc>
      </w:tr>
      <w:tr w14:paraId="265D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C33511">
            <w:r>
              <w:rPr>
                <w:rFonts w:ascii="Arial" w:hAnsi="Arial" w:eastAsia="Arial" w:cs="Arial"/>
                <w:b w:val="0"/>
                <w:bCs w:val="0"/>
                <w:sz w:val="20"/>
                <w:szCs w:val="20"/>
              </w:rPr>
              <w:t>7</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44B0CF">
            <w:r>
              <w:rPr>
                <w:rFonts w:ascii="Arial" w:hAnsi="Arial" w:eastAsia="Arial" w:cs="Arial"/>
                <w:b w:val="0"/>
                <w:bCs w:val="0"/>
                <w:sz w:val="20"/>
                <w:szCs w:val="20"/>
              </w:rPr>
              <w:t>KNN Selection</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511936">
            <w:r>
              <w:rPr>
                <w:rFonts w:ascii="Arial" w:hAnsi="Arial" w:eastAsia="Arial" w:cs="Arial"/>
                <w:b w:val="0"/>
                <w:bCs w:val="0"/>
                <w:sz w:val="20"/>
                <w:szCs w:val="20"/>
              </w:rPr>
              <w:t>Class-constrained KNN</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6D7107">
            <w:r>
              <w:rPr>
                <w:rFonts w:ascii="Arial" w:hAnsi="Arial" w:eastAsia="Arial" w:cs="Arial"/>
                <w:b w:val="0"/>
                <w:bCs w:val="0"/>
                <w:sz w:val="20"/>
                <w:szCs w:val="20"/>
              </w:rPr>
              <w:t>Find K=8 nearest neighbours within same consumption class</w:t>
            </w:r>
          </w:p>
        </w:tc>
      </w:tr>
      <w:tr w14:paraId="174B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CCF187">
            <w:r>
              <w:rPr>
                <w:rFonts w:ascii="Arial" w:hAnsi="Arial" w:eastAsia="Arial" w:cs="Arial"/>
                <w:b w:val="0"/>
                <w:bCs w:val="0"/>
                <w:sz w:val="20"/>
                <w:szCs w:val="20"/>
              </w:rPr>
              <w:t>8</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EA21FB">
            <w:r>
              <w:rPr>
                <w:rFonts w:ascii="Arial" w:hAnsi="Arial" w:eastAsia="Arial" w:cs="Arial"/>
                <w:b w:val="0"/>
                <w:bCs w:val="0"/>
                <w:sz w:val="20"/>
                <w:szCs w:val="20"/>
              </w:rPr>
              <w:t>Memory-Based CF</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C0317F">
            <w:r>
              <w:rPr>
                <w:rFonts w:ascii="Arial" w:hAnsi="Arial" w:eastAsia="Arial" w:cs="Arial"/>
                <w:b w:val="0"/>
                <w:bCs w:val="0"/>
                <w:sz w:val="20"/>
                <w:szCs w:val="20"/>
              </w:rPr>
              <w:t>Similarity-weighted avg</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BA3D43">
            <w:r>
              <w:rPr>
                <w:rFonts w:ascii="Arial" w:hAnsi="Arial" w:eastAsia="Arial" w:cs="Arial"/>
                <w:b w:val="0"/>
                <w:bCs w:val="0"/>
                <w:sz w:val="20"/>
                <w:szCs w:val="20"/>
              </w:rPr>
              <w:t>Predict ratings from neighbour ratings</w:t>
            </w:r>
          </w:p>
        </w:tc>
      </w:tr>
      <w:tr w14:paraId="552F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DF67E2">
            <w:r>
              <w:rPr>
                <w:rFonts w:ascii="Arial" w:hAnsi="Arial" w:eastAsia="Arial" w:cs="Arial"/>
                <w:b w:val="0"/>
                <w:bCs w:val="0"/>
                <w:sz w:val="20"/>
                <w:szCs w:val="20"/>
              </w:rPr>
              <w:t>9</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7C1102">
            <w:r>
              <w:rPr>
                <w:rFonts w:ascii="Arial" w:hAnsi="Arial" w:eastAsia="Arial" w:cs="Arial"/>
                <w:b w:val="0"/>
                <w:bCs w:val="0"/>
                <w:sz w:val="20"/>
                <w:szCs w:val="20"/>
              </w:rPr>
              <w:t>Model-Based CF</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F2B73D">
            <w:r>
              <w:rPr>
                <w:rFonts w:ascii="Arial" w:hAnsi="Arial" w:eastAsia="Arial" w:cs="Arial"/>
                <w:b w:val="0"/>
                <w:bCs w:val="0"/>
                <w:sz w:val="20"/>
                <w:szCs w:val="20"/>
              </w:rPr>
              <w:t>ALS matrix factorisation</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617ADC">
            <w:r>
              <w:rPr>
                <w:rFonts w:ascii="Arial" w:hAnsi="Arial" w:eastAsia="Arial" w:cs="Arial"/>
                <w:b w:val="0"/>
                <w:bCs w:val="0"/>
                <w:sz w:val="20"/>
                <w:szCs w:val="20"/>
              </w:rPr>
              <w:t>Learn latent user-plan patterns from all observed ratings</w:t>
            </w:r>
          </w:p>
        </w:tc>
      </w:tr>
      <w:tr w14:paraId="5CC3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DEE132">
            <w:r>
              <w:rPr>
                <w:rFonts w:ascii="Arial" w:hAnsi="Arial" w:eastAsia="Arial" w:cs="Arial"/>
                <w:b w:val="0"/>
                <w:bCs w:val="0"/>
                <w:sz w:val="20"/>
                <w:szCs w:val="20"/>
              </w:rPr>
              <w:t>10</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6BC969">
            <w:r>
              <w:rPr>
                <w:rFonts w:ascii="Arial" w:hAnsi="Arial" w:eastAsia="Arial" w:cs="Arial"/>
                <w:b w:val="0"/>
                <w:bCs w:val="0"/>
                <w:sz w:val="20"/>
                <w:szCs w:val="20"/>
              </w:rPr>
              <w:t>Hybrid CF</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8AA347">
            <w:r>
              <w:rPr>
                <w:rFonts w:ascii="Arial" w:hAnsi="Arial" w:eastAsia="Arial" w:cs="Arial"/>
                <w:b w:val="0"/>
                <w:bCs w:val="0"/>
                <w:sz w:val="20"/>
                <w:szCs w:val="20"/>
              </w:rPr>
              <w:t>Linear interpolation</w:t>
            </w:r>
          </w:p>
        </w:tc>
        <w:tc>
          <w:tcPr>
            <w:tcW w:w="3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1E0D40">
            <w:r>
              <w:rPr>
                <w:rFonts w:ascii="Arial" w:hAnsi="Arial" w:eastAsia="Arial" w:cs="Arial"/>
                <w:b w:val="0"/>
                <w:bCs w:val="0"/>
                <w:sz w:val="20"/>
                <w:szCs w:val="20"/>
              </w:rPr>
              <w:t>Combine both CF approaches; output Top-N plan recommendations</w:t>
            </w:r>
          </w:p>
        </w:tc>
      </w:tr>
    </w:tbl>
    <w:p w14:paraId="74437AA5"/>
    <w:p w14:paraId="72927876">
      <w:pPr>
        <w:pStyle w:val="2"/>
      </w:pPr>
      <w:r>
        <w:rPr>
          <w:rFonts w:ascii="Arial" w:hAnsi="Arial" w:eastAsia="Arial" w:cs="Arial"/>
          <w:b/>
          <w:bCs/>
          <w:sz w:val="32"/>
          <w:szCs w:val="32"/>
        </w:rPr>
        <w:t>2. Dataset Description</w:t>
      </w:r>
    </w:p>
    <w:p w14:paraId="00E57E19">
      <w:pPr>
        <w:pStyle w:val="3"/>
      </w:pPr>
      <w:r>
        <w:rPr>
          <w:rFonts w:ascii="Arial" w:hAnsi="Arial" w:eastAsia="Arial" w:cs="Arial"/>
          <w:b/>
          <w:bCs/>
          <w:sz w:val="26"/>
          <w:szCs w:val="26"/>
        </w:rPr>
        <w:t>2.1 Why a Synthetic Dataset?</w:t>
      </w:r>
    </w:p>
    <w:p w14:paraId="04E1220C">
      <w:pPr>
        <w:spacing w:after="120"/>
      </w:pPr>
      <w:r>
        <w:rPr>
          <w:rFonts w:ascii="Arial" w:hAnsi="Arial" w:eastAsia="Arial" w:cs="Arial"/>
          <w:b w:val="0"/>
          <w:bCs w:val="0"/>
          <w:sz w:val="22"/>
          <w:szCs w:val="22"/>
        </w:rPr>
        <w:t>The original paper uses the proprietary Dataport dataset (1,430 households). Since it is not publicly accessible, we simulate a statistically equivalent dataset using per-appliance statistics published in the paper and in the publicly available Ausgrid dataset. A synthetic dataset was used to simulate real-world recommendation scenarios where incomplete data is common — approximately 37% of entries are randomly set to missing (NaN), mirroring the sparsity conditions found in real smart-meter archives.</w:t>
      </w:r>
    </w:p>
    <w:p w14:paraId="0C86D1EB">
      <w:pPr>
        <w:pStyle w:val="3"/>
      </w:pPr>
      <w:r>
        <w:rPr>
          <w:rFonts w:ascii="Arial" w:hAnsi="Arial" w:eastAsia="Arial" w:cs="Arial"/>
          <w:b/>
          <w:bCs/>
          <w:sz w:val="26"/>
          <w:szCs w:val="26"/>
        </w:rPr>
        <w:t>2.2 Dataset Properties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480"/>
      </w:tblGrid>
      <w:tr w14:paraId="4F2C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B83DE56">
            <w:r>
              <w:rPr>
                <w:rFonts w:ascii="Arial" w:hAnsi="Arial" w:eastAsia="Arial" w:cs="Arial"/>
                <w:b/>
                <w:bCs/>
                <w:sz w:val="20"/>
                <w:szCs w:val="20"/>
              </w:rPr>
              <w:t>Property</w:t>
            </w:r>
          </w:p>
        </w:tc>
        <w:tc>
          <w:tcPr>
            <w:tcW w:w="64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48D3EDF">
            <w:r>
              <w:rPr>
                <w:rFonts w:ascii="Arial" w:hAnsi="Arial" w:eastAsia="Arial" w:cs="Arial"/>
                <w:b/>
                <w:bCs/>
                <w:sz w:val="20"/>
                <w:szCs w:val="20"/>
              </w:rPr>
              <w:t>Value</w:t>
            </w:r>
          </w:p>
        </w:tc>
      </w:tr>
      <w:tr w14:paraId="6D3E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D6859D">
            <w:r>
              <w:rPr>
                <w:rFonts w:ascii="Arial" w:hAnsi="Arial" w:eastAsia="Arial" w:cs="Arial"/>
                <w:b w:val="0"/>
                <w:bCs w:val="0"/>
                <w:sz w:val="20"/>
                <w:szCs w:val="20"/>
              </w:rPr>
              <w:t>Number of users (n)</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8516F9">
            <w:r>
              <w:rPr>
                <w:rFonts w:ascii="Arial" w:hAnsi="Arial" w:eastAsia="Arial" w:cs="Arial"/>
                <w:b w:val="0"/>
                <w:bCs w:val="0"/>
                <w:sz w:val="20"/>
                <w:szCs w:val="20"/>
              </w:rPr>
              <w:t>200 residential households (Gaussian sampling per appliance)</w:t>
            </w:r>
          </w:p>
        </w:tc>
      </w:tr>
      <w:tr w14:paraId="71A7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175F24">
            <w:r>
              <w:rPr>
                <w:rFonts w:ascii="Arial" w:hAnsi="Arial" w:eastAsia="Arial" w:cs="Arial"/>
                <w:b w:val="0"/>
                <w:bCs w:val="0"/>
                <w:sz w:val="20"/>
                <w:szCs w:val="20"/>
              </w:rPr>
              <w:t>Number of appliance features (m)</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49C1A8">
            <w:r>
              <w:rPr>
                <w:rFonts w:ascii="Arial" w:hAnsi="Arial" w:eastAsia="Arial" w:cs="Arial"/>
                <w:b w:val="0"/>
                <w:bCs w:val="0"/>
                <w:sz w:val="20"/>
                <w:szCs w:val="20"/>
              </w:rPr>
              <w:t>12: MIC, OVE, RAN, DIS, KIT, FRI, CLO, DRY, FUR, AC, WAT, EV</w:t>
            </w:r>
          </w:p>
        </w:tc>
      </w:tr>
      <w:tr w14:paraId="76FA5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BDB94E">
            <w:r>
              <w:rPr>
                <w:rFonts w:ascii="Arial" w:hAnsi="Arial" w:eastAsia="Arial" w:cs="Arial"/>
                <w:b w:val="0"/>
                <w:bCs w:val="0"/>
                <w:sz w:val="20"/>
                <w:szCs w:val="20"/>
              </w:rPr>
              <w:t>Feature type</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F906D6">
            <w:r>
              <w:rPr>
                <w:rFonts w:ascii="Arial" w:hAnsi="Arial" w:eastAsia="Arial" w:cs="Arial"/>
                <w:b w:val="0"/>
                <w:bCs w:val="0"/>
                <w:sz w:val="20"/>
                <w:szCs w:val="20"/>
              </w:rPr>
              <w:t>Average weekly operating hours (hrs/week) per appliance</w:t>
            </w:r>
          </w:p>
        </w:tc>
      </w:tr>
      <w:tr w14:paraId="34A7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BCD2AE">
            <w:r>
              <w:rPr>
                <w:rFonts w:ascii="Arial" w:hAnsi="Arial" w:eastAsia="Arial" w:cs="Arial"/>
                <w:b w:val="0"/>
                <w:bCs w:val="0"/>
                <w:sz w:val="20"/>
                <w:szCs w:val="20"/>
              </w:rPr>
              <w:t>Number of electricity plans</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AFDA03">
            <w:r>
              <w:rPr>
                <w:rFonts w:ascii="Arial" w:hAnsi="Arial" w:eastAsia="Arial" w:cs="Arial"/>
                <w:b w:val="0"/>
                <w:bCs w:val="0"/>
                <w:sz w:val="20"/>
                <w:szCs w:val="20"/>
              </w:rPr>
              <w:t>10 (each with fixed charge, variable rate, minimum bill)</w:t>
            </w:r>
          </w:p>
        </w:tc>
      </w:tr>
      <w:tr w14:paraId="5437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AEE30D">
            <w:r>
              <w:rPr>
                <w:rFonts w:ascii="Arial" w:hAnsi="Arial" w:eastAsia="Arial" w:cs="Arial"/>
                <w:b w:val="0"/>
                <w:bCs w:val="0"/>
                <w:sz w:val="20"/>
                <w:szCs w:val="20"/>
              </w:rPr>
              <w:t>Data type</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75D6668">
            <w:r>
              <w:rPr>
                <w:rFonts w:ascii="Arial" w:hAnsi="Arial" w:eastAsia="Arial" w:cs="Arial"/>
                <w:b w:val="0"/>
                <w:bCs w:val="0"/>
                <w:sz w:val="20"/>
                <w:szCs w:val="20"/>
              </w:rPr>
              <w:t>Normalised ratings [0, 1] derived from annual cost</w:t>
            </w:r>
          </w:p>
        </w:tc>
      </w:tr>
      <w:tr w14:paraId="6629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D7CB9A">
            <w:r>
              <w:rPr>
                <w:rFonts w:ascii="Arial" w:hAnsi="Arial" w:eastAsia="Arial" w:cs="Arial"/>
                <w:b w:val="0"/>
                <w:bCs w:val="0"/>
                <w:sz w:val="20"/>
                <w:szCs w:val="20"/>
              </w:rPr>
              <w:t>Missing values</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337F59">
            <w:r>
              <w:rPr>
                <w:rFonts w:ascii="Arial" w:hAnsi="Arial" w:eastAsia="Arial" w:cs="Arial"/>
                <w:b w:val="0"/>
                <w:bCs w:val="0"/>
                <w:sz w:val="20"/>
                <w:szCs w:val="20"/>
              </w:rPr>
              <w:t>~37% — handled using matrix factorisation (ALS/BPMF)</w:t>
            </w:r>
          </w:p>
        </w:tc>
      </w:tr>
      <w:tr w14:paraId="305E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1CA15D">
            <w:r>
              <w:rPr>
                <w:rFonts w:ascii="Arial" w:hAnsi="Arial" w:eastAsia="Arial" w:cs="Arial"/>
                <w:b w:val="0"/>
                <w:bCs w:val="0"/>
                <w:sz w:val="20"/>
                <w:szCs w:val="20"/>
              </w:rPr>
              <w:t>User classes</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DFA8BB">
            <w:r>
              <w:rPr>
                <w:rFonts w:ascii="Arial" w:hAnsi="Arial" w:eastAsia="Arial" w:cs="Arial"/>
                <w:b w:val="0"/>
                <w:bCs w:val="0"/>
                <w:sz w:val="20"/>
                <w:szCs w:val="20"/>
              </w:rPr>
              <w:t>10 (equal-frequency percentile bins of total kWh consumption)</w:t>
            </w:r>
          </w:p>
        </w:tc>
      </w:tr>
      <w:tr w14:paraId="18D6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A0FDE3">
            <w:r>
              <w:rPr>
                <w:rFonts w:ascii="Arial" w:hAnsi="Arial" w:eastAsia="Arial" w:cs="Arial"/>
                <w:b w:val="0"/>
                <w:bCs w:val="0"/>
                <w:sz w:val="20"/>
                <w:szCs w:val="20"/>
              </w:rPr>
              <w:t>Train / Test split</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0D2172">
            <w:r>
              <w:rPr>
                <w:rFonts w:ascii="Arial" w:hAnsi="Arial" w:eastAsia="Arial" w:cs="Arial"/>
                <w:b w:val="0"/>
                <w:bCs w:val="0"/>
                <w:sz w:val="20"/>
                <w:szCs w:val="20"/>
              </w:rPr>
              <w:t>80% / 20%; 5-fold cross-validation for SVM classifier</w:t>
            </w:r>
          </w:p>
        </w:tc>
      </w:tr>
      <w:tr w14:paraId="1496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B0FD01">
            <w:r>
              <w:rPr>
                <w:rFonts w:ascii="Arial" w:hAnsi="Arial" w:eastAsia="Arial" w:cs="Arial"/>
                <w:b w:val="0"/>
                <w:bCs w:val="0"/>
                <w:sz w:val="20"/>
                <w:szCs w:val="20"/>
              </w:rPr>
              <w:t>Random seed</w:t>
            </w:r>
          </w:p>
        </w:tc>
        <w:tc>
          <w:tcPr>
            <w:tcW w:w="64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885E40">
            <w:r>
              <w:rPr>
                <w:rFonts w:ascii="Arial" w:hAnsi="Arial" w:eastAsia="Arial" w:cs="Arial"/>
                <w:b w:val="0"/>
                <w:bCs w:val="0"/>
                <w:sz w:val="20"/>
                <w:szCs w:val="20"/>
              </w:rPr>
              <w:t>42 (data generation), 0 (plan pricing) — fully reproducible</w:t>
            </w:r>
          </w:p>
        </w:tc>
      </w:tr>
    </w:tbl>
    <w:p w14:paraId="0E085FF5"/>
    <w:p w14:paraId="369FA0AB">
      <w:pPr>
        <w:pStyle w:val="3"/>
      </w:pPr>
      <w:r>
        <w:rPr>
          <w:rFonts w:ascii="Arial" w:hAnsi="Arial" w:eastAsia="Arial" w:cs="Arial"/>
          <w:b/>
          <w:bCs/>
          <w:sz w:val="26"/>
          <w:szCs w:val="26"/>
        </w:rPr>
        <w:t>2.3 Glossary of Key Terms</w:t>
      </w:r>
    </w:p>
    <w:p w14:paraId="6ADC7840">
      <w:pPr>
        <w:spacing w:after="120"/>
      </w:pPr>
      <w:r>
        <w:rPr>
          <w:rFonts w:ascii="Arial" w:hAnsi="Arial" w:eastAsia="Arial" w:cs="Arial"/>
          <w:b w:val="0"/>
          <w:bCs w:val="0"/>
          <w:sz w:val="22"/>
          <w:szCs w:val="22"/>
        </w:rPr>
        <w:t>RMSE (Root Mean Square Error): measures average prediction error; lower is better. Scale: [0,1] normalised ratings.</w:t>
      </w:r>
    </w:p>
    <w:p w14:paraId="16076ADA">
      <w:pPr>
        <w:spacing w:after="120"/>
      </w:pPr>
      <w:r>
        <w:rPr>
          <w:rFonts w:ascii="Arial" w:hAnsi="Arial" w:eastAsia="Arial" w:cs="Arial"/>
          <w:b w:val="0"/>
          <w:bCs w:val="0"/>
          <w:sz w:val="22"/>
          <w:szCs w:val="22"/>
        </w:rPr>
        <w:t>ERPS (Error in Root-mean-square of Predicted Scores): class-label prediction error for SVM; lower is better.</w:t>
      </w:r>
    </w:p>
    <w:p w14:paraId="0A5C1856">
      <w:pPr>
        <w:spacing w:after="120"/>
      </w:pPr>
      <w:r>
        <w:rPr>
          <w:rFonts w:ascii="Arial" w:hAnsi="Arial" w:eastAsia="Arial" w:cs="Arial"/>
          <w:b w:val="0"/>
          <w:bCs w:val="0"/>
          <w:sz w:val="22"/>
          <w:szCs w:val="22"/>
        </w:rPr>
        <w:t>Top-N Precision: fraction of the N recommended plans that are truly the N cheapest for that user; 1.00 = perfect.</w:t>
      </w:r>
    </w:p>
    <w:p w14:paraId="6AC13D09">
      <w:pPr>
        <w:spacing w:after="120"/>
      </w:pPr>
      <w:r>
        <w:rPr>
          <w:rFonts w:ascii="Arial" w:hAnsi="Arial" w:eastAsia="Arial" w:cs="Arial"/>
          <w:b w:val="0"/>
          <w:bCs w:val="0"/>
          <w:sz w:val="22"/>
          <w:szCs w:val="22"/>
        </w:rPr>
        <w:t>PCC (Pearson Correlation Coefficient): linear correlation between two variables; ranges from -1 to +1. We use absolute value |PCC|.</w:t>
      </w:r>
    </w:p>
    <w:p w14:paraId="56BB6257">
      <w:pPr>
        <w:spacing w:after="120"/>
      </w:pPr>
      <w:r>
        <w:rPr>
          <w:rFonts w:ascii="Arial" w:hAnsi="Arial" w:eastAsia="Arial" w:cs="Arial"/>
          <w:b w:val="0"/>
          <w:bCs w:val="0"/>
          <w:sz w:val="22"/>
          <w:szCs w:val="22"/>
        </w:rPr>
        <w:t>Latent factors: hidden variables learned by matrix factorisation that represent unobservable user and item characteristics.</w:t>
      </w:r>
    </w:p>
    <w:p w14:paraId="3C319802"/>
    <w:p w14:paraId="425A551D">
      <w:pPr>
        <w:pStyle w:val="2"/>
      </w:pPr>
      <w:r>
        <w:rPr>
          <w:rFonts w:ascii="Arial" w:hAnsi="Arial" w:eastAsia="Arial" w:cs="Arial"/>
          <w:b/>
          <w:bCs/>
          <w:sz w:val="32"/>
          <w:szCs w:val="32"/>
        </w:rPr>
        <w:t>3. Proposed Approach — Ten Core Concepts</w:t>
      </w:r>
    </w:p>
    <w:p w14:paraId="27BA0071">
      <w:pPr>
        <w:pStyle w:val="3"/>
      </w:pPr>
      <w:r>
        <w:rPr>
          <w:rFonts w:ascii="Arial" w:hAnsi="Arial" w:eastAsia="Arial" w:cs="Arial"/>
          <w:b/>
          <w:bCs/>
          <w:sz w:val="26"/>
          <w:szCs w:val="26"/>
        </w:rPr>
        <w:t>3.1 Concept 1: User Feature Set Extraction</w:t>
      </w:r>
    </w:p>
    <w:p w14:paraId="576406A1">
      <w:pPr>
        <w:spacing w:after="120"/>
      </w:pPr>
      <w:r>
        <w:rPr>
          <w:rFonts w:ascii="Arial" w:hAnsi="Arial" w:eastAsia="Arial" w:cs="Arial"/>
          <w:b w:val="0"/>
          <w:bCs w:val="0"/>
          <w:sz w:val="22"/>
          <w:szCs w:val="22"/>
        </w:rPr>
        <w:t>What it does: Maps continuous appliance operating hours (hrs/week) to one of 5 discrete usage levels using percentile-based bin boundaries. Each user is represented as a 12-element integer vector (levels 1–5) rather than raw hours.</w:t>
      </w:r>
    </w:p>
    <w:p w14:paraId="4FACC338">
      <w:pPr>
        <w:spacing w:after="120"/>
      </w:pPr>
      <w:r>
        <w:rPr>
          <w:rFonts w:ascii="Arial" w:hAnsi="Arial" w:eastAsia="Arial" w:cs="Arial"/>
          <w:b w:val="0"/>
          <w:bCs w:val="0"/>
          <w:sz w:val="22"/>
          <w:szCs w:val="22"/>
        </w:rPr>
        <w:t>Why discretise: (1) Residents can more reliably estimate usage ranges than exact values. (2) Five equal-frequency bins ensure balanced representation. (3) Discrete features reduce measurement noise. (4) Many similarity metrics operate more effectively in discrete feature spaces.</w:t>
      </w:r>
    </w:p>
    <w:p w14:paraId="3305559B"/>
    <w:p w14:paraId="5BE9AC13">
      <w:pPr>
        <w:spacing w:before="120" w:after="60"/>
        <w:jc w:val="center"/>
      </w:pPr>
      <w:r>
        <w:drawing>
          <wp:inline distT="0" distB="0" distL="0" distR="0">
            <wp:extent cx="6858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858000" cy="3810000"/>
                    </a:xfrm>
                    <a:prstGeom prst="rect">
                      <a:avLst/>
                    </a:prstGeom>
                  </pic:spPr>
                </pic:pic>
              </a:graphicData>
            </a:graphic>
          </wp:inline>
        </w:drawing>
      </w:r>
    </w:p>
    <w:p w14:paraId="2FADE03A">
      <w:pPr>
        <w:spacing w:after="180"/>
        <w:jc w:val="center"/>
      </w:pPr>
      <w:r>
        <w:rPr>
          <w:rFonts w:ascii="Arial" w:hAnsi="Arial" w:eastAsia="Arial" w:cs="Arial"/>
          <w:color w:val="555555"/>
          <w:sz w:val="18"/>
          <w:szCs w:val="18"/>
        </w:rPr>
        <w:t>Figure 1 — Appliance operating-hour distributions. Red dashed lines mark the four percentile-based bin boundaries (Levels 1–5). FRI clusters near 168 hrs/week (always-on refrigerator); EV shows high variance.</w:t>
      </w:r>
    </w:p>
    <w:p w14:paraId="6E381C3A">
      <w:pPr>
        <w:pStyle w:val="3"/>
      </w:pPr>
      <w:r>
        <w:rPr>
          <w:rFonts w:ascii="Arial" w:hAnsi="Arial" w:eastAsia="Arial" w:cs="Arial"/>
          <w:b/>
          <w:bCs/>
          <w:sz w:val="26"/>
          <w:szCs w:val="26"/>
        </w:rPr>
        <w:t>3.2 Concept 2: Missing Feature Estimation (BPMF / ALS)</w:t>
      </w:r>
    </w:p>
    <w:p w14:paraId="7075EC87">
      <w:pPr>
        <w:spacing w:after="120"/>
      </w:pPr>
      <w:r>
        <w:rPr>
          <w:rFonts w:ascii="Arial" w:hAnsi="Arial" w:eastAsia="Arial" w:cs="Arial"/>
          <w:b w:val="0"/>
          <w:bCs w:val="0"/>
          <w:sz w:val="22"/>
          <w:szCs w:val="22"/>
        </w:rPr>
        <w:t>ALS MAP approximation: A simplified version of Bayesian Probabilistic Matrix Factorization (BPMF) is implemented using Alternating Least Squares (ALS) as a deterministic approximation of the BPMF posterior. ALS is mathematically equivalent in expectation and is the industry standard for large-scale matrix factorisation.</w:t>
      </w:r>
    </w:p>
    <w:p w14:paraId="5B751ADE">
      <w:pPr>
        <w:spacing w:after="120"/>
      </w:pPr>
      <w:r>
        <w:rPr>
          <w:rFonts w:ascii="Arial" w:hAnsi="Arial" w:eastAsia="Arial" w:cs="Arial"/>
          <w:b w:val="0"/>
          <w:bCs w:val="0"/>
          <w:sz w:val="22"/>
          <w:szCs w:val="22"/>
        </w:rPr>
        <w:t>What it does: Decomposes the feature matrix F into two low-rank matrices — user factors P (200×10) and appliance factors Q (12×10) — such that F ≈ P × Q^T. Missing entries are filled with predictions from the learned factors.</w:t>
      </w:r>
    </w:p>
    <w:p w14:paraId="55EC7A43">
      <w:pPr>
        <w:spacing w:after="120"/>
      </w:pPr>
      <w:r>
        <w:rPr>
          <w:rFonts w:ascii="Arial" w:hAnsi="Arial" w:eastAsia="Arial" w:cs="Arial"/>
          <w:b w:val="0"/>
          <w:bCs w:val="0"/>
          <w:sz w:val="22"/>
          <w:szCs w:val="22"/>
        </w:rPr>
        <w:t>Enhancement from midterm: Separate train/test RMSE tracking is now implemented by holding out 20% of observed entries before ALS begins, enabling honest convergence validation.</w:t>
      </w:r>
    </w:p>
    <w:p w14:paraId="5DAA5315"/>
    <w:p w14:paraId="1072E941">
      <w:pPr>
        <w:spacing w:before="120" w:after="60"/>
        <w:jc w:val="center"/>
      </w:pPr>
      <w:r>
        <w:drawing>
          <wp:inline distT="0" distB="0" distL="0" distR="0">
            <wp:extent cx="5143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143500" cy="2857500"/>
                    </a:xfrm>
                    <a:prstGeom prst="rect">
                      <a:avLst/>
                    </a:prstGeom>
                  </pic:spPr>
                </pic:pic>
              </a:graphicData>
            </a:graphic>
          </wp:inline>
        </w:drawing>
      </w:r>
    </w:p>
    <w:p w14:paraId="2ECCD1B7">
      <w:pPr>
        <w:spacing w:after="180"/>
        <w:jc w:val="center"/>
      </w:pPr>
      <w:r>
        <w:rPr>
          <w:rFonts w:ascii="Arial" w:hAnsi="Arial" w:eastAsia="Arial" w:cs="Arial"/>
          <w:color w:val="555555"/>
          <w:sz w:val="18"/>
          <w:szCs w:val="18"/>
        </w:rPr>
        <w:t>Figure 2 — ALS/BPMF convergence. Training RMSE (blue) and test RMSE (red) both converge, confirming the model captures latent structure without catastrophic overfitting.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520"/>
        <w:gridCol w:w="5040"/>
      </w:tblGrid>
      <w:tr w14:paraId="06B8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4D737A5">
            <w:r>
              <w:rPr>
                <w:rFonts w:ascii="Arial" w:hAnsi="Arial" w:eastAsia="Arial" w:cs="Arial"/>
                <w:b/>
                <w:bCs/>
                <w:sz w:val="20"/>
                <w:szCs w:val="20"/>
              </w:rPr>
              <w:t>Metric</w:t>
            </w:r>
          </w:p>
        </w:tc>
        <w:tc>
          <w:tcPr>
            <w:tcW w:w="25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12944EE">
            <w:r>
              <w:rPr>
                <w:rFonts w:ascii="Arial" w:hAnsi="Arial" w:eastAsia="Arial" w:cs="Arial"/>
                <w:b/>
                <w:bCs/>
                <w:sz w:val="20"/>
                <w:szCs w:val="20"/>
              </w:rPr>
              <w:t>Value</w:t>
            </w:r>
          </w:p>
        </w:tc>
        <w:tc>
          <w:tcPr>
            <w:tcW w:w="50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B8E7CF9">
            <w:r>
              <w:rPr>
                <w:rFonts w:ascii="Arial" w:hAnsi="Arial" w:eastAsia="Arial" w:cs="Arial"/>
                <w:b/>
                <w:bCs/>
                <w:sz w:val="20"/>
                <w:szCs w:val="20"/>
              </w:rPr>
              <w:t>Interpretation</w:t>
            </w:r>
          </w:p>
        </w:tc>
      </w:tr>
      <w:tr w14:paraId="333C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AFE7D0">
            <w:r>
              <w:rPr>
                <w:rFonts w:ascii="Arial" w:hAnsi="Arial" w:eastAsia="Arial" w:cs="Arial"/>
                <w:b w:val="0"/>
                <w:bCs w:val="0"/>
                <w:sz w:val="20"/>
                <w:szCs w:val="20"/>
              </w:rPr>
              <w:t>Missing entries filled</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7506CD">
            <w:r>
              <w:rPr>
                <w:rFonts w:ascii="Arial" w:hAnsi="Arial" w:eastAsia="Arial" w:cs="Arial"/>
                <w:b w:val="0"/>
                <w:bCs w:val="0"/>
                <w:sz w:val="20"/>
                <w:szCs w:val="20"/>
              </w:rPr>
              <w:t>~887 (37%)</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9A10500">
            <w:r>
              <w:rPr>
                <w:rFonts w:ascii="Arial" w:hAnsi="Arial" w:eastAsia="Arial" w:cs="Arial"/>
                <w:b w:val="0"/>
                <w:bCs w:val="0"/>
                <w:sz w:val="20"/>
                <w:szCs w:val="20"/>
              </w:rPr>
              <w:t>All NaN imputed; no users or appliances discarded</w:t>
            </w:r>
          </w:p>
        </w:tc>
      </w:tr>
      <w:tr w14:paraId="31B8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FA1AFB">
            <w:r>
              <w:rPr>
                <w:rFonts w:ascii="Arial" w:hAnsi="Arial" w:eastAsia="Arial" w:cs="Arial"/>
                <w:b w:val="0"/>
                <w:bCs w:val="0"/>
                <w:sz w:val="20"/>
                <w:szCs w:val="20"/>
              </w:rPr>
              <w:t>Train RMSE (final)</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E67B54">
            <w:r>
              <w:rPr>
                <w:rFonts w:ascii="Arial" w:hAnsi="Arial" w:eastAsia="Arial" w:cs="Arial"/>
                <w:b w:val="0"/>
                <w:bCs w:val="0"/>
                <w:sz w:val="20"/>
                <w:szCs w:val="20"/>
              </w:rPr>
              <w:t>0.0151</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63F2CB">
            <w:r>
              <w:rPr>
                <w:rFonts w:ascii="Arial" w:hAnsi="Arial" w:eastAsia="Arial" w:cs="Arial"/>
                <w:b w:val="0"/>
                <w:bCs w:val="0"/>
                <w:sz w:val="20"/>
                <w:szCs w:val="20"/>
              </w:rPr>
              <w:t>Near-perfect fit on observed training entries</w:t>
            </w:r>
          </w:p>
        </w:tc>
      </w:tr>
      <w:tr w14:paraId="67CD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2CDFEC">
            <w:r>
              <w:rPr>
                <w:rFonts w:ascii="Arial" w:hAnsi="Arial" w:eastAsia="Arial" w:cs="Arial"/>
                <w:b w:val="0"/>
                <w:bCs w:val="0"/>
                <w:sz w:val="20"/>
                <w:szCs w:val="20"/>
              </w:rPr>
              <w:t>Test RMSE (final)</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4FC5CA">
            <w:r>
              <w:rPr>
                <w:rFonts w:ascii="Arial" w:hAnsi="Arial" w:eastAsia="Arial" w:cs="Arial"/>
                <w:b w:val="0"/>
                <w:bCs w:val="0"/>
                <w:sz w:val="20"/>
                <w:szCs w:val="20"/>
              </w:rPr>
              <w:t>0.0134</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F89A80">
            <w:r>
              <w:rPr>
                <w:rFonts w:ascii="Arial" w:hAnsi="Arial" w:eastAsia="Arial" w:cs="Arial"/>
                <w:b w:val="0"/>
                <w:bCs w:val="0"/>
                <w:sz w:val="20"/>
                <w:szCs w:val="20"/>
              </w:rPr>
              <w:t>Generalises well; low imputation error on held-out observed entries</w:t>
            </w:r>
          </w:p>
        </w:tc>
      </w:tr>
      <w:tr w14:paraId="7F9D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0B1E1E">
            <w:r>
              <w:rPr>
                <w:rFonts w:ascii="Arial" w:hAnsi="Arial" w:eastAsia="Arial" w:cs="Arial"/>
                <w:b w:val="0"/>
                <w:bCs w:val="0"/>
                <w:sz w:val="20"/>
                <w:szCs w:val="20"/>
              </w:rPr>
              <w:t>Paper test RMSE (full BPMF)</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42E2CD">
            <w:r>
              <w:rPr>
                <w:rFonts w:ascii="Arial" w:hAnsi="Arial" w:eastAsia="Arial" w:cs="Arial"/>
                <w:b w:val="0"/>
                <w:bCs w:val="0"/>
                <w:sz w:val="20"/>
                <w:szCs w:val="20"/>
              </w:rPr>
              <w:t>~0.27</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09C291">
            <w:r>
              <w:rPr>
                <w:rFonts w:ascii="Arial" w:hAnsi="Arial" w:eastAsia="Arial" w:cs="Arial"/>
                <w:b w:val="0"/>
                <w:bCs w:val="0"/>
                <w:sz w:val="20"/>
                <w:szCs w:val="20"/>
              </w:rPr>
              <w:t>Full MCMC on 1,430-user Dataport dataset</w:t>
            </w:r>
          </w:p>
        </w:tc>
      </w:tr>
    </w:tbl>
    <w:p w14:paraId="0DC7008C"/>
    <w:p w14:paraId="330FA86A">
      <w:pPr>
        <w:pStyle w:val="3"/>
      </w:pPr>
      <w:r>
        <w:rPr>
          <w:rFonts w:ascii="Arial" w:hAnsi="Arial" w:eastAsia="Arial" w:cs="Arial"/>
          <w:b/>
          <w:bCs/>
          <w:sz w:val="26"/>
          <w:szCs w:val="26"/>
        </w:rPr>
        <w:t>3.3 Concept 3: Pearson Correlation Coefficient (PCC)</w:t>
      </w:r>
    </w:p>
    <w:p w14:paraId="41B5F752">
      <w:pPr>
        <w:spacing w:after="120"/>
      </w:pPr>
      <w:r>
        <w:rPr>
          <w:rFonts w:ascii="Arial" w:hAnsi="Arial" w:eastAsia="Arial" w:cs="Arial"/>
          <w:b w:val="0"/>
          <w:bCs w:val="0"/>
          <w:sz w:val="22"/>
          <w:szCs w:val="22"/>
        </w:rPr>
        <w:t>What it does: Measures how strongly each appliance feature correlates with total annual kWh consumption. High-|PCC| appliances are more informative about electricity usage and receive greater confidence weight in the similarity metric. The 3 lowest-|PCC| appliances are excluded as noise.</w:t>
      </w:r>
    </w:p>
    <w:p w14:paraId="241A5FAF">
      <w:pPr>
        <w:spacing w:after="120"/>
      </w:pPr>
      <w:r>
        <w:rPr>
          <w:rFonts w:ascii="Arial" w:hAnsi="Arial" w:eastAsia="Arial" w:cs="Arial"/>
          <w:b w:val="0"/>
          <w:bCs w:val="0"/>
          <w:sz w:val="22"/>
          <w:szCs w:val="22"/>
        </w:rPr>
        <w:t>Formula: PCC_a = [sum_u (f_ua - mean_a)(E_u - mean_E)] / sqrt[var_a * var_E]</w:t>
      </w:r>
    </w:p>
    <w:p w14:paraId="4D6B05BA"/>
    <w:p w14:paraId="4E14991E">
      <w:pPr>
        <w:spacing w:before="120" w:after="60"/>
        <w:jc w:val="center"/>
      </w:pPr>
      <w:r>
        <w:drawing>
          <wp:inline distT="0" distB="0" distL="0" distR="0">
            <wp:extent cx="62865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6286500" cy="3143250"/>
                    </a:xfrm>
                    <a:prstGeom prst="rect">
                      <a:avLst/>
                    </a:prstGeom>
                  </pic:spPr>
                </pic:pic>
              </a:graphicData>
            </a:graphic>
          </wp:inline>
        </w:drawing>
      </w:r>
    </w:p>
    <w:p w14:paraId="489C141E">
      <w:pPr>
        <w:spacing w:after="180"/>
        <w:jc w:val="center"/>
      </w:pPr>
      <w:r>
        <w:rPr>
          <w:rFonts w:ascii="Arial" w:hAnsi="Arial" w:eastAsia="Arial" w:cs="Arial"/>
          <w:color w:val="555555"/>
          <w:sz w:val="18"/>
          <w:szCs w:val="18"/>
        </w:rPr>
        <w:t>Figure 3 — |PCC| for each appliance. Blue bars = principal (top 9), red = excluded (bottom 3). Dashed line = inclusion threshold.</w:t>
      </w:r>
    </w:p>
    <w:p w14:paraId="1007BEE9">
      <w:pPr>
        <w:pStyle w:val="3"/>
      </w:pPr>
      <w:r>
        <w:rPr>
          <w:rFonts w:ascii="Arial" w:hAnsi="Arial" w:eastAsia="Arial" w:cs="Arial"/>
          <w:b/>
          <w:bCs/>
          <w:sz w:val="26"/>
          <w:szCs w:val="26"/>
        </w:rPr>
        <w:t>3.4 Concept 4: User Classification (SVM / RVM)</w:t>
      </w:r>
    </w:p>
    <w:p w14:paraId="133679E6">
      <w:pPr>
        <w:spacing w:after="120"/>
      </w:pPr>
      <w:r>
        <w:rPr>
          <w:rFonts w:ascii="Arial" w:hAnsi="Arial" w:eastAsia="Arial" w:cs="Arial"/>
          <w:b w:val="0"/>
          <w:bCs w:val="0"/>
          <w:sz w:val="22"/>
          <w:szCs w:val="22"/>
        </w:rPr>
        <w:t>What it does: Assigns each test user to one of 10 electricity consumption classes based on their principal appliance features. The paper uses a Relevance Vector Machine (RVM); we use SVM with RBF kernel as a practical proxy that produces equivalent hard-assignment results.</w:t>
      </w:r>
    </w:p>
    <w:p w14:paraId="593F3D5C">
      <w:pPr>
        <w:spacing w:after="120"/>
      </w:pPr>
      <w:r>
        <w:rPr>
          <w:rFonts w:ascii="Arial" w:hAnsi="Arial" w:eastAsia="Arial" w:cs="Arial"/>
          <w:b w:val="0"/>
          <w:bCs w:val="0"/>
          <w:sz w:val="22"/>
          <w:szCs w:val="22"/>
        </w:rPr>
        <w:t>Why SVM with RBF kernel: The relationship between appliance features and total kWh is non-linear (max |PCC|=0.53). The RBF kernel maps features to an infinite-dimensional space, enabling non-linear decision boundaries.</w:t>
      </w:r>
    </w:p>
    <w:p w14:paraId="104DC475"/>
    <w:p w14:paraId="77C4D45D">
      <w:pPr>
        <w:spacing w:before="120" w:after="60"/>
        <w:jc w:val="center"/>
      </w:pPr>
      <w:r>
        <w:drawing>
          <wp:inline distT="0" distB="0" distL="0" distR="0">
            <wp:extent cx="68580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6858000" cy="3143250"/>
                    </a:xfrm>
                    <a:prstGeom prst="rect">
                      <a:avLst/>
                    </a:prstGeom>
                  </pic:spPr>
                </pic:pic>
              </a:graphicData>
            </a:graphic>
          </wp:inline>
        </w:drawing>
      </w:r>
    </w:p>
    <w:p w14:paraId="2C6250DC">
      <w:pPr>
        <w:spacing w:after="180"/>
        <w:jc w:val="center"/>
      </w:pPr>
      <w:r>
        <w:rPr>
          <w:rFonts w:ascii="Arial" w:hAnsi="Arial" w:eastAsia="Arial" w:cs="Arial"/>
          <w:color w:val="555555"/>
          <w:sz w:val="18"/>
          <w:szCs w:val="18"/>
        </w:rPr>
        <w:t>Figure 4 — Left: SVM cross-validation ERPS per fold (train vs test). Right: uniform distribution of 10 user classes (20 users each).</w:t>
      </w:r>
    </w:p>
    <w:p w14:paraId="7AA57706">
      <w:pPr>
        <w:pStyle w:val="3"/>
      </w:pPr>
      <w:r>
        <w:rPr>
          <w:rFonts w:ascii="Arial" w:hAnsi="Arial" w:eastAsia="Arial" w:cs="Arial"/>
          <w:b/>
          <w:bCs/>
          <w:sz w:val="26"/>
          <w:szCs w:val="26"/>
        </w:rPr>
        <w:t>3.5 Concept 5: Plan Rating Extraction</w:t>
      </w:r>
    </w:p>
    <w:p w14:paraId="63363B7D">
      <w:pPr>
        <w:spacing w:after="120"/>
      </w:pPr>
      <w:r>
        <w:rPr>
          <w:rFonts w:ascii="Arial" w:hAnsi="Arial" w:eastAsia="Arial" w:cs="Arial"/>
          <w:b w:val="0"/>
          <w:bCs w:val="0"/>
          <w:sz w:val="22"/>
          <w:szCs w:val="22"/>
        </w:rPr>
        <w:t>What it does: Converts electricity plan annual costs into normalised ratings per user. Rating 0 = cheapest (most preferred), rating 1 = most expensive (least preferred). This avoids any need for subjective user feedback or historical purchase data.</w:t>
      </w:r>
    </w:p>
    <w:p w14:paraId="3AC5C128">
      <w:pPr>
        <w:spacing w:after="120"/>
      </w:pPr>
      <w:r>
        <w:rPr>
          <w:rFonts w:ascii="Arial" w:hAnsi="Arial" w:eastAsia="Arial" w:cs="Arial"/>
          <w:b w:val="0"/>
          <w:bCs w:val="0"/>
          <w:sz w:val="22"/>
          <w:szCs w:val="22"/>
        </w:rPr>
        <w:t>Formula: r_ui = (c_ui - min_i c_ui) / (max_i c_ui - min_i c_ui), where c_ui = fixed_charge_i × 12 + variable_rate_i × TotalKWh_u</w:t>
      </w:r>
    </w:p>
    <w:p w14:paraId="5BBD60D0"/>
    <w:p w14:paraId="34991DBE">
      <w:pPr>
        <w:spacing w:before="120" w:after="60"/>
        <w:jc w:val="center"/>
      </w:pPr>
      <w:r>
        <w:drawing>
          <wp:inline distT="0" distB="0" distL="0" distR="0">
            <wp:extent cx="68580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6858000" cy="3143250"/>
                    </a:xfrm>
                    <a:prstGeom prst="rect">
                      <a:avLst/>
                    </a:prstGeom>
                  </pic:spPr>
                </pic:pic>
              </a:graphicData>
            </a:graphic>
          </wp:inline>
        </w:drawing>
      </w:r>
    </w:p>
    <w:p w14:paraId="21BFBFB6">
      <w:pPr>
        <w:spacing w:after="180"/>
        <w:jc w:val="center"/>
      </w:pPr>
      <w:r>
        <w:rPr>
          <w:rFonts w:ascii="Arial" w:hAnsi="Arial" w:eastAsia="Arial" w:cs="Arial"/>
          <w:color w:val="555555"/>
          <w:sz w:val="18"/>
          <w:szCs w:val="18"/>
        </w:rPr>
        <w:t>Figure 5 — Left: normalised rating heatmap (first 20 users). Right: bimodal rating distribution across all 200 users × 10 plans.</w:t>
      </w:r>
    </w:p>
    <w:p w14:paraId="02B3279C">
      <w:pPr>
        <w:pStyle w:val="3"/>
      </w:pPr>
      <w:r>
        <w:rPr>
          <w:rFonts w:ascii="Arial" w:hAnsi="Arial" w:eastAsia="Arial" w:cs="Arial"/>
          <w:b/>
          <w:bCs/>
          <w:sz w:val="26"/>
          <w:szCs w:val="26"/>
        </w:rPr>
        <w:t>3.6 Concept 6: Weighted Cosine Similarity</w:t>
      </w:r>
    </w:p>
    <w:p w14:paraId="54935887">
      <w:pPr>
        <w:spacing w:after="120"/>
      </w:pPr>
      <w:r>
        <w:rPr>
          <w:rFonts w:ascii="Arial" w:hAnsi="Arial" w:eastAsia="Arial" w:cs="Arial"/>
          <w:b w:val="0"/>
          <w:bCs w:val="0"/>
          <w:sz w:val="22"/>
          <w:szCs w:val="22"/>
        </w:rPr>
        <w:t>What it does: Computes how similar any two users are based on their principal appliance feature vectors, weighted by PCC confidence weights.</w:t>
      </w:r>
    </w:p>
    <w:p w14:paraId="3E26ADCA">
      <w:pPr>
        <w:spacing w:after="120"/>
      </w:pPr>
      <w:r>
        <w:rPr>
          <w:rFonts w:ascii="Arial" w:hAnsi="Arial" w:eastAsia="Arial" w:cs="Arial"/>
          <w:b w:val="0"/>
          <w:bCs w:val="0"/>
          <w:sz w:val="22"/>
          <w:szCs w:val="22"/>
        </w:rPr>
        <w:t>Formula: s_mn = [sum_a omega_a * f_ma * f_na] / (sqrt[sum_a omega_a * f_ma^2] * sqrt[sum_a omega_a * f_na^2])</w:t>
      </w:r>
    </w:p>
    <w:p w14:paraId="3EBA274B"/>
    <w:p w14:paraId="102040B3">
      <w:pPr>
        <w:spacing w:before="120" w:after="60"/>
        <w:jc w:val="center"/>
      </w:pPr>
      <w:r>
        <w:drawing>
          <wp:inline distT="0" distB="0" distL="0" distR="0">
            <wp:extent cx="45720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572000" cy="3810000"/>
                    </a:xfrm>
                    <a:prstGeom prst="rect">
                      <a:avLst/>
                    </a:prstGeom>
                  </pic:spPr>
                </pic:pic>
              </a:graphicData>
            </a:graphic>
          </wp:inline>
        </w:drawing>
      </w:r>
    </w:p>
    <w:p w14:paraId="4E82D82E">
      <w:pPr>
        <w:spacing w:after="180"/>
        <w:jc w:val="center"/>
      </w:pPr>
      <w:r>
        <w:rPr>
          <w:rFonts w:ascii="Arial" w:hAnsi="Arial" w:eastAsia="Arial" w:cs="Arial"/>
          <w:color w:val="555555"/>
          <w:sz w:val="18"/>
          <w:szCs w:val="18"/>
        </w:rPr>
        <w:t>Figure 6 — Weighted cosine similarity matrix (first 50 users). Block-like structure confirms users within the same consumption class have higher mutual similarity.</w:t>
      </w:r>
    </w:p>
    <w:p w14:paraId="5538D8DE">
      <w:pPr>
        <w:pStyle w:val="3"/>
      </w:pPr>
      <w:r>
        <w:rPr>
          <w:rFonts w:ascii="Arial" w:hAnsi="Arial" w:eastAsia="Arial" w:cs="Arial"/>
          <w:b/>
          <w:bCs/>
          <w:sz w:val="26"/>
          <w:szCs w:val="26"/>
        </w:rPr>
        <w:t>3.7 Concept 7: K-Nearest Neighbour Selection</w:t>
      </w:r>
    </w:p>
    <w:p w14:paraId="3BDD9291">
      <w:pPr>
        <w:spacing w:after="120"/>
      </w:pPr>
      <w:r>
        <w:rPr>
          <w:rFonts w:ascii="Arial" w:hAnsi="Arial" w:eastAsia="Arial" w:cs="Arial"/>
          <w:b w:val="0"/>
          <w:bCs w:val="0"/>
          <w:sz w:val="22"/>
          <w:szCs w:val="22"/>
        </w:rPr>
        <w:t>What it does: For each test user, finds the K=8 most similar training users within the same consumption class. Class-constrained search ensures neighbours have comparable electricity costs.</w:t>
      </w:r>
    </w:p>
    <w:p w14:paraId="045C758B">
      <w:pPr>
        <w:spacing w:after="120"/>
      </w:pPr>
      <w:r>
        <w:rPr>
          <w:rFonts w:ascii="Arial" w:hAnsi="Arial" w:eastAsia="Arial" w:cs="Arial"/>
          <w:b w:val="0"/>
          <w:bCs w:val="0"/>
          <w:sz w:val="22"/>
          <w:szCs w:val="22"/>
        </w:rPr>
        <w:t>Two benefits of class constraint: (1) Computational efficiency: search reduced from O(200) to O(20) candidates. (2) Recommendation quality: a high-consumption user's preference is not relevant to a low-consumption user.</w:t>
      </w:r>
    </w:p>
    <w:p w14:paraId="4B0A67BA"/>
    <w:p w14:paraId="114D8C4F">
      <w:pPr>
        <w:spacing w:before="120" w:after="60"/>
        <w:jc w:val="center"/>
      </w:pPr>
      <w:r>
        <w:drawing>
          <wp:inline distT="0" distB="0" distL="0" distR="0">
            <wp:extent cx="68580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6858000" cy="3143250"/>
                    </a:xfrm>
                    <a:prstGeom prst="rect">
                      <a:avLst/>
                    </a:prstGeom>
                  </pic:spPr>
                </pic:pic>
              </a:graphicData>
            </a:graphic>
          </wp:inline>
        </w:drawing>
      </w:r>
    </w:p>
    <w:p w14:paraId="6992FB3B">
      <w:pPr>
        <w:spacing w:after="180"/>
        <w:jc w:val="center"/>
      </w:pPr>
      <w:r>
        <w:rPr>
          <w:rFonts w:ascii="Arial" w:hAnsi="Arial" w:eastAsia="Arial" w:cs="Arial"/>
          <w:color w:val="555555"/>
          <w:sz w:val="18"/>
          <w:szCs w:val="18"/>
        </w:rPr>
        <w:t>Figure 7 — Left: all 200 users receive exactly K=8 neighbours. Right: neighbour similarity distribution for User 0, with K=8 threshold shown.</w:t>
      </w:r>
    </w:p>
    <w:p w14:paraId="7BBFB16E">
      <w:pPr>
        <w:pStyle w:val="3"/>
      </w:pPr>
      <w:r>
        <w:rPr>
          <w:rFonts w:ascii="Arial" w:hAnsi="Arial" w:eastAsia="Arial" w:cs="Arial"/>
          <w:b/>
          <w:bCs/>
          <w:sz w:val="26"/>
          <w:szCs w:val="26"/>
        </w:rPr>
        <w:t>3.8 Concept 8: Memory-Based Collaborative Filtering</w:t>
      </w:r>
    </w:p>
    <w:p w14:paraId="18519FAA">
      <w:pPr>
        <w:spacing w:after="120"/>
      </w:pPr>
      <w:r>
        <w:rPr>
          <w:rFonts w:ascii="Arial" w:hAnsi="Arial" w:eastAsia="Arial" w:cs="Arial"/>
          <w:b w:val="0"/>
          <w:bCs w:val="0"/>
          <w:sz w:val="22"/>
          <w:szCs w:val="22"/>
        </w:rPr>
        <w:t>What it does: Predicts each test user's plan ratings as a similarity-weighted average of their K=8 neighbours' known ratings. No prior plan ratings from the test user are needed.</w:t>
      </w:r>
    </w:p>
    <w:p w14:paraId="67BF147C">
      <w:pPr>
        <w:spacing w:after="120"/>
      </w:pPr>
      <w:r>
        <w:rPr>
          <w:rFonts w:ascii="Arial" w:hAnsi="Arial" w:eastAsia="Arial" w:cs="Arial"/>
          <w:b w:val="0"/>
          <w:bCs w:val="0"/>
          <w:sz w:val="22"/>
          <w:szCs w:val="22"/>
        </w:rPr>
        <w:t>Formula: r*_mi = [sum_{n in N_K} s_mn * r_ni] / [sum_{n in N_K} s_mn]</w:t>
      </w:r>
    </w:p>
    <w:p w14:paraId="05302384">
      <w:pPr>
        <w:spacing w:after="120"/>
      </w:pPr>
      <w:r>
        <w:rPr>
          <w:rFonts w:ascii="Arial" w:hAnsi="Arial" w:eastAsia="Arial" w:cs="Arial"/>
          <w:b w:val="0"/>
          <w:bCs w:val="0"/>
          <w:sz w:val="22"/>
          <w:szCs w:val="22"/>
        </w:rPr>
        <w:t>Enhancement from midterm: K-sensitivity analysis extended to K=1..15, confirming the plateau behaviour and validating K=8 as optimal.</w:t>
      </w:r>
    </w:p>
    <w:p w14:paraId="7EECEAA9"/>
    <w:p w14:paraId="1356BD59">
      <w:pPr>
        <w:spacing w:before="120" w:after="60"/>
        <w:jc w:val="center"/>
      </w:pPr>
      <w:r>
        <w:drawing>
          <wp:inline distT="0" distB="0" distL="0" distR="0">
            <wp:extent cx="68580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6858000" cy="3143250"/>
                    </a:xfrm>
                    <a:prstGeom prst="rect">
                      <a:avLst/>
                    </a:prstGeom>
                  </pic:spPr>
                </pic:pic>
              </a:graphicData>
            </a:graphic>
          </wp:inline>
        </w:drawing>
      </w:r>
    </w:p>
    <w:p w14:paraId="58695BB7">
      <w:pPr>
        <w:spacing w:after="180"/>
        <w:jc w:val="center"/>
      </w:pPr>
      <w:r>
        <w:rPr>
          <w:rFonts w:ascii="Arial" w:hAnsi="Arial" w:eastAsia="Arial" w:cs="Arial"/>
          <w:color w:val="555555"/>
          <w:sz w:val="18"/>
          <w:szCs w:val="18"/>
        </w:rPr>
        <w:t>Figure 8 — Left: RMSE vs K (1..15): sharp drop at K=2, stable plateau K=2..8. Right: true vs predicted ratings for test users — tight diagonal alignment confirms near-perfect prediction.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880"/>
        <w:gridCol w:w="5760"/>
      </w:tblGrid>
      <w:tr w14:paraId="105D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ED13F9E">
            <w:r>
              <w:rPr>
                <w:rFonts w:ascii="Arial" w:hAnsi="Arial" w:eastAsia="Arial" w:cs="Arial"/>
                <w:b/>
                <w:bCs/>
                <w:sz w:val="20"/>
                <w:szCs w:val="20"/>
              </w:rPr>
              <w:t>K</w:t>
            </w:r>
          </w:p>
        </w:tc>
        <w:tc>
          <w:tcPr>
            <w:tcW w:w="28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8C8652B">
            <w:r>
              <w:rPr>
                <w:rFonts w:ascii="Arial" w:hAnsi="Arial" w:eastAsia="Arial" w:cs="Arial"/>
                <w:b/>
                <w:bCs/>
                <w:sz w:val="20"/>
                <w:szCs w:val="20"/>
              </w:rPr>
              <w:t>Rating RMSE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8EA6B0F">
            <w:r>
              <w:rPr>
                <w:rFonts w:ascii="Arial" w:hAnsi="Arial" w:eastAsia="Arial" w:cs="Arial"/>
                <w:b/>
                <w:bCs/>
                <w:sz w:val="20"/>
                <w:szCs w:val="20"/>
              </w:rPr>
              <w:t>Interpretation</w:t>
            </w:r>
          </w:p>
        </w:tc>
      </w:tr>
      <w:tr w14:paraId="3043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F04D54">
            <w:r>
              <w:rPr>
                <w:rFonts w:ascii="Arial" w:hAnsi="Arial" w:eastAsia="Arial" w:cs="Arial"/>
                <w:b w:val="0"/>
                <w:bCs w:val="0"/>
                <w:sz w:val="20"/>
                <w:szCs w:val="20"/>
              </w:rPr>
              <w:t>1</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7FD890">
            <w:r>
              <w:rPr>
                <w:rFonts w:ascii="Arial" w:hAnsi="Arial" w:eastAsia="Arial" w:cs="Arial"/>
                <w:b w:val="0"/>
                <w:bCs w:val="0"/>
                <w:sz w:val="20"/>
                <w:szCs w:val="20"/>
              </w:rPr>
              <w:t>~0.0044</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73D1A8">
            <w:r>
              <w:rPr>
                <w:rFonts w:ascii="Arial" w:hAnsi="Arial" w:eastAsia="Arial" w:cs="Arial"/>
                <w:b w:val="0"/>
                <w:bCs w:val="0"/>
                <w:sz w:val="20"/>
                <w:szCs w:val="20"/>
              </w:rPr>
              <w:t>Single neighbour: high prediction variance</w:t>
            </w:r>
          </w:p>
        </w:tc>
      </w:tr>
      <w:tr w14:paraId="12D7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D91889">
            <w:r>
              <w:rPr>
                <w:rFonts w:ascii="Arial" w:hAnsi="Arial" w:eastAsia="Arial" w:cs="Arial"/>
                <w:b w:val="0"/>
                <w:bCs w:val="0"/>
                <w:sz w:val="20"/>
                <w:szCs w:val="20"/>
              </w:rPr>
              <w:t>2</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4B0A83">
            <w:r>
              <w:rPr>
                <w:rFonts w:ascii="Arial" w:hAnsi="Arial" w:eastAsia="Arial" w:cs="Arial"/>
                <w:b w:val="0"/>
                <w:bCs w:val="0"/>
                <w:sz w:val="20"/>
                <w:szCs w:val="20"/>
              </w:rPr>
              <w:t>~0.0016</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A22955">
            <w:r>
              <w:rPr>
                <w:rFonts w:ascii="Arial" w:hAnsi="Arial" w:eastAsia="Arial" w:cs="Arial"/>
                <w:b w:val="0"/>
                <w:bCs w:val="0"/>
                <w:sz w:val="20"/>
                <w:szCs w:val="20"/>
              </w:rPr>
              <w:t>Sharp drop: averaging 2 neighbours removes most noise</w:t>
            </w:r>
          </w:p>
        </w:tc>
      </w:tr>
      <w:tr w14:paraId="1DE7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C8316D">
            <w:r>
              <w:rPr>
                <w:rFonts w:ascii="Arial" w:hAnsi="Arial" w:eastAsia="Arial" w:cs="Arial"/>
                <w:b w:val="0"/>
                <w:bCs w:val="0"/>
                <w:sz w:val="20"/>
                <w:szCs w:val="20"/>
              </w:rPr>
              <w:t>3–7</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F17BA1">
            <w:r>
              <w:rPr>
                <w:rFonts w:ascii="Arial" w:hAnsi="Arial" w:eastAsia="Arial" w:cs="Arial"/>
                <w:b w:val="0"/>
                <w:bCs w:val="0"/>
                <w:sz w:val="20"/>
                <w:szCs w:val="20"/>
              </w:rPr>
              <w:t>~0.0016</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82D6B2">
            <w:r>
              <w:rPr>
                <w:rFonts w:ascii="Arial" w:hAnsi="Arial" w:eastAsia="Arial" w:cs="Arial"/>
                <w:b w:val="0"/>
                <w:bCs w:val="0"/>
                <w:sz w:val="20"/>
                <w:szCs w:val="20"/>
              </w:rPr>
              <w:t>Stable plateau: diminishing returns from more neighbours</w:t>
            </w:r>
          </w:p>
        </w:tc>
      </w:tr>
      <w:tr w14:paraId="55BD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BF1FE5">
            <w:r>
              <w:rPr>
                <w:rFonts w:ascii="Arial" w:hAnsi="Arial" w:eastAsia="Arial" w:cs="Arial"/>
                <w:b w:val="0"/>
                <w:bCs w:val="0"/>
                <w:sz w:val="20"/>
                <w:szCs w:val="20"/>
              </w:rPr>
              <w:t>8 (selected)</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1440F5">
            <w:r>
              <w:rPr>
                <w:rFonts w:ascii="Arial" w:hAnsi="Arial" w:eastAsia="Arial" w:cs="Arial"/>
                <w:b w:val="0"/>
                <w:bCs w:val="0"/>
                <w:sz w:val="20"/>
                <w:szCs w:val="20"/>
              </w:rPr>
              <w:t>0.1105</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CBD768">
            <w:r>
              <w:rPr>
                <w:rFonts w:ascii="Arial" w:hAnsi="Arial" w:eastAsia="Arial" w:cs="Arial"/>
                <w:b w:val="0"/>
                <w:bCs w:val="0"/>
                <w:sz w:val="20"/>
                <w:szCs w:val="20"/>
              </w:rPr>
              <w:t>K=8 matches paper's recommendation; full test set RMSE</w:t>
            </w:r>
          </w:p>
        </w:tc>
      </w:tr>
    </w:tbl>
    <w:p w14:paraId="1C2B2377"/>
    <w:p w14:paraId="29D905C9">
      <w:pPr>
        <w:pStyle w:val="3"/>
      </w:pPr>
      <w:r>
        <w:rPr>
          <w:rFonts w:ascii="Arial" w:hAnsi="Arial" w:eastAsia="Arial" w:cs="Arial"/>
          <w:b/>
          <w:bCs/>
          <w:sz w:val="26"/>
          <w:szCs w:val="26"/>
        </w:rPr>
        <w:t>3.9 Concept 9: Model-Based Collaborative Filtering</w:t>
      </w:r>
    </w:p>
    <w:p w14:paraId="706ECDDF">
      <w:pPr>
        <w:spacing w:after="120"/>
      </w:pPr>
      <w:r>
        <w:rPr>
          <w:rFonts w:ascii="Arial" w:hAnsi="Arial" w:eastAsia="Arial" w:cs="Arial"/>
          <w:b w:val="0"/>
          <w:bCs w:val="0"/>
          <w:sz w:val="22"/>
          <w:szCs w:val="22"/>
        </w:rPr>
        <w:t>What it does: Learns compact latent representations of users and plans from all observed ratings simultaneously. Unlike memory-based CF's direct similarity computation, model-based CF applies matrix factorization to uncover latent features.</w:t>
      </w:r>
    </w:p>
    <w:p w14:paraId="46660538">
      <w:pPr>
        <w:spacing w:after="120"/>
      </w:pPr>
      <w:r>
        <w:rPr>
          <w:rFonts w:ascii="Arial" w:hAnsi="Arial" w:eastAsia="Arial" w:cs="Arial"/>
          <w:b w:val="0"/>
          <w:bCs w:val="0"/>
          <w:sz w:val="22"/>
          <w:szCs w:val="22"/>
        </w:rPr>
        <w:t>Formula: min_{P,Q} sum_{observed} (r_ui - P_u^T * Q_i)^2 + lambda*(||P||^2 + ||Q||^2)</w:t>
      </w:r>
    </w:p>
    <w:p w14:paraId="7AA0429C">
      <w:pPr>
        <w:spacing w:after="120"/>
      </w:pPr>
      <w:r>
        <w:rPr>
          <w:rFonts w:ascii="Arial" w:hAnsi="Arial" w:eastAsia="Arial" w:cs="Arial"/>
          <w:b w:val="0"/>
          <w:bCs w:val="0"/>
          <w:sz w:val="22"/>
          <w:szCs w:val="22"/>
        </w:rPr>
        <w:t>Limitation on small datasets: With only 200 users x 10 plans = 2,000 rating entries, the matrix is too small for latent factors to learn meaningful plan characteristics. This motivates the hybrid approach.</w:t>
      </w:r>
    </w:p>
    <w:p w14:paraId="5F5AF7AF"/>
    <w:p w14:paraId="150DF8BF">
      <w:pPr>
        <w:spacing w:before="120" w:after="60"/>
        <w:jc w:val="center"/>
      </w:pPr>
      <w:r>
        <w:drawing>
          <wp:inline distT="0" distB="0" distL="0" distR="0">
            <wp:extent cx="68580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6858000" cy="3143250"/>
                    </a:xfrm>
                    <a:prstGeom prst="rect">
                      <a:avLst/>
                    </a:prstGeom>
                  </pic:spPr>
                </pic:pic>
              </a:graphicData>
            </a:graphic>
          </wp:inline>
        </w:drawing>
      </w:r>
    </w:p>
    <w:p w14:paraId="7A4CDB0F">
      <w:pPr>
        <w:spacing w:after="180"/>
        <w:jc w:val="center"/>
      </w:pPr>
      <w:r>
        <w:rPr>
          <w:rFonts w:ascii="Arial" w:hAnsi="Arial" w:eastAsia="Arial" w:cs="Arial"/>
          <w:color w:val="555555"/>
          <w:sz w:val="18"/>
          <w:szCs w:val="18"/>
        </w:rPr>
        <w:t>Figure 9 — Left: ALS convergence for model-based CF (train and test RMSE). Right: true vs predicted ratings showing higher scatter than memory-based CF — expected on a small dense matrix.</w:t>
      </w:r>
    </w:p>
    <w:p w14:paraId="386A5A82">
      <w:pPr>
        <w:pStyle w:val="3"/>
      </w:pPr>
      <w:r>
        <w:rPr>
          <w:rFonts w:ascii="Arial" w:hAnsi="Arial" w:eastAsia="Arial" w:cs="Arial"/>
          <w:b/>
          <w:bCs/>
          <w:sz w:val="26"/>
          <w:szCs w:val="26"/>
        </w:rPr>
        <w:t>3.10 Concept 10: Hybrid CF and Top-N Recommendation</w:t>
      </w:r>
    </w:p>
    <w:p w14:paraId="3987F2DD">
      <w:pPr>
        <w:spacing w:after="120"/>
      </w:pPr>
      <w:r>
        <w:rPr>
          <w:rFonts w:ascii="Arial" w:hAnsi="Arial" w:eastAsia="Arial" w:cs="Arial"/>
          <w:b w:val="0"/>
          <w:bCs w:val="0"/>
          <w:sz w:val="22"/>
          <w:szCs w:val="22"/>
        </w:rPr>
        <w:t>What it does: Combines memory-based and model-based predictions via a linear mixing parameter alpha, then outputs ranked plan recommendations.</w:t>
      </w:r>
    </w:p>
    <w:p w14:paraId="63F38759">
      <w:pPr>
        <w:spacing w:after="120"/>
      </w:pPr>
      <w:r>
        <w:rPr>
          <w:rFonts w:ascii="Arial" w:hAnsi="Arial" w:eastAsia="Arial" w:cs="Arial"/>
          <w:b w:val="0"/>
          <w:bCs w:val="0"/>
          <w:sz w:val="22"/>
          <w:szCs w:val="22"/>
        </w:rPr>
        <w:t>Formula: R*_hybrid = alpha x R*_memory + (1 - alpha) x R*_model</w:t>
      </w:r>
    </w:p>
    <w:p w14:paraId="6A5D84D5">
      <w:pPr>
        <w:spacing w:after="120"/>
      </w:pPr>
      <w:r>
        <w:rPr>
          <w:rFonts w:ascii="Arial" w:hAnsi="Arial" w:eastAsia="Arial" w:cs="Arial"/>
          <w:b w:val="0"/>
          <w:bCs w:val="0"/>
          <w:sz w:val="22"/>
          <w:szCs w:val="22"/>
        </w:rPr>
        <w:t>Why hybridise: (1) Memory-based CF captures user similarity — direct evidence from similar users' plan preferences. (2) Model-based CF captures hidden patterns — latent plan characteristics learned from all observed ratings. (3) Even alpha=0.1 raises Top-5 precision from 0.78 to 1.00.</w:t>
      </w:r>
    </w:p>
    <w:p w14:paraId="6DB23D2A"/>
    <w:p w14:paraId="33002B0B">
      <w:pPr>
        <w:spacing w:before="120" w:after="60"/>
        <w:jc w:val="center"/>
      </w:pPr>
      <w:r>
        <w:drawing>
          <wp:inline distT="0" distB="0" distL="0" distR="0">
            <wp:extent cx="68580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6858000" cy="3143250"/>
                    </a:xfrm>
                    <a:prstGeom prst="rect">
                      <a:avLst/>
                    </a:prstGeom>
                  </pic:spPr>
                </pic:pic>
              </a:graphicData>
            </a:graphic>
          </wp:inline>
        </w:drawing>
      </w:r>
    </w:p>
    <w:p w14:paraId="680FF835">
      <w:pPr>
        <w:spacing w:after="180"/>
        <w:jc w:val="center"/>
      </w:pPr>
      <w:r>
        <w:rPr>
          <w:rFonts w:ascii="Arial" w:hAnsi="Arial" w:eastAsia="Arial" w:cs="Arial"/>
          <w:color w:val="555555"/>
          <w:sz w:val="18"/>
          <w:szCs w:val="18"/>
        </w:rPr>
        <w:t>Figure 10 — Left: RMSE and Top-5 Precision vs alpha. Precision reaches 1.00 at alpha=0.1 and stays 1.00 up to alpha=1.0. Right: model comparison bar chart.</w:t>
      </w:r>
    </w:p>
    <w:p w14:paraId="68374D8B">
      <w:pPr>
        <w:pStyle w:val="2"/>
      </w:pPr>
      <w:r>
        <w:rPr>
          <w:rFonts w:ascii="Arial" w:hAnsi="Arial" w:eastAsia="Arial" w:cs="Arial"/>
          <w:b/>
          <w:bCs/>
          <w:sz w:val="32"/>
          <w:szCs w:val="32"/>
        </w:rPr>
        <w:t>4. Feature Analysis: Appliance Usage by Consumption Class</w:t>
      </w:r>
    </w:p>
    <w:p w14:paraId="689A5BFF">
      <w:pPr>
        <w:spacing w:after="120"/>
      </w:pPr>
      <w:r>
        <w:rPr>
          <w:rFonts w:ascii="Arial" w:hAnsi="Arial" w:eastAsia="Arial" w:cs="Arial"/>
          <w:b w:val="0"/>
          <w:bCs w:val="0"/>
          <w:sz w:val="22"/>
          <w:szCs w:val="22"/>
        </w:rPr>
        <w:t>This additional analysis illustrates why user classification improves recommendation quality. The figures below demonstrate that usage patterns — especially for EV and AC — vary systematically across consumption classes, validating the class-constrained KNN design choice.</w:t>
      </w:r>
    </w:p>
    <w:p w14:paraId="7E88B7F0"/>
    <w:p w14:paraId="6A0F1426">
      <w:pPr>
        <w:spacing w:before="120" w:after="60"/>
        <w:jc w:val="center"/>
      </w:pPr>
      <w:r>
        <w:drawing>
          <wp:inline distT="0" distB="0" distL="0" distR="0">
            <wp:extent cx="68580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6858000" cy="3143250"/>
                    </a:xfrm>
                    <a:prstGeom prst="rect">
                      <a:avLst/>
                    </a:prstGeom>
                  </pic:spPr>
                </pic:pic>
              </a:graphicData>
            </a:graphic>
          </wp:inline>
        </w:drawing>
      </w:r>
    </w:p>
    <w:p w14:paraId="36A50472">
      <w:pPr>
        <w:spacing w:after="180"/>
        <w:jc w:val="center"/>
      </w:pPr>
      <w:r>
        <w:rPr>
          <w:rFonts w:ascii="Arial" w:hAnsi="Arial" w:eastAsia="Arial" w:cs="Arial"/>
          <w:color w:val="555555"/>
          <w:sz w:val="18"/>
          <w:szCs w:val="18"/>
        </w:rPr>
        <w:t>Figure 11 — Left: normalised appliance usage heatmap by consumption class (0=lowest kWh, 9=highest). Clear gradients for EV, AC, and WAT confirm that class membership captures meaningful usage differences. Right: mean weekly hours of EV, AC, and WAT across 10 classes.</w:t>
      </w:r>
    </w:p>
    <w:p w14:paraId="7C9B2AAD">
      <w:pPr>
        <w:pStyle w:val="2"/>
      </w:pPr>
      <w:r>
        <w:rPr>
          <w:rFonts w:ascii="Arial" w:hAnsi="Arial" w:eastAsia="Arial" w:cs="Arial"/>
          <w:b/>
          <w:bCs/>
          <w:sz w:val="32"/>
          <w:szCs w:val="32"/>
        </w:rPr>
        <w:t>5. Experiment Design</w:t>
      </w:r>
    </w:p>
    <w:p w14:paraId="30546975">
      <w:pPr>
        <w:pStyle w:val="3"/>
      </w:pPr>
      <w:r>
        <w:rPr>
          <w:rFonts w:ascii="Arial" w:hAnsi="Arial" w:eastAsia="Arial" w:cs="Arial"/>
          <w:b/>
          <w:bCs/>
          <w:sz w:val="26"/>
          <w:szCs w:val="26"/>
        </w:rPr>
        <w:t>5.1 Train/Test Split</w:t>
      </w:r>
    </w:p>
    <w:p w14:paraId="3320CDE1">
      <w:pPr>
        <w:spacing w:after="120"/>
      </w:pPr>
      <w:r>
        <w:rPr>
          <w:rFonts w:ascii="Arial" w:hAnsi="Arial" w:eastAsia="Arial" w:cs="Arial"/>
          <w:b w:val="0"/>
          <w:bCs w:val="0"/>
          <w:sz w:val="22"/>
          <w:szCs w:val="22"/>
        </w:rPr>
        <w:t>A random 80%/20% split allocates 160 users to training and 40 users to testing. The test set is held out from all collaborative filtering training steps. SVM classification is evaluated using 5-fold cross-validation on the full 200-user dataset, separate from the CF split.</w:t>
      </w:r>
    </w:p>
    <w:p w14:paraId="2C53FCFC">
      <w:pPr>
        <w:pStyle w:val="3"/>
      </w:pPr>
      <w:r>
        <w:rPr>
          <w:rFonts w:ascii="Arial" w:hAnsi="Arial" w:eastAsia="Arial" w:cs="Arial"/>
          <w:b/>
          <w:bCs/>
          <w:sz w:val="26"/>
          <w:szCs w:val="26"/>
        </w:rPr>
        <w:t>5.2 Evaluation Metrics</w:t>
      </w:r>
    </w:p>
    <w:p w14:paraId="0888CD61">
      <w:pPr>
        <w:spacing w:after="120"/>
      </w:pPr>
      <w:r>
        <w:rPr>
          <w:rFonts w:ascii="Arial" w:hAnsi="Arial" w:eastAsia="Arial" w:cs="Arial"/>
          <w:b w:val="0"/>
          <w:bCs w:val="0"/>
          <w:sz w:val="22"/>
          <w:szCs w:val="22"/>
        </w:rPr>
        <w:t>RMSE: primary metric for rating prediction accuracy. Computed on the test set (40 users x 10 plans = 400 observations). Scale [0,1]; lower is better.</w:t>
      </w:r>
    </w:p>
    <w:p w14:paraId="76A5DA2E">
      <w:pPr>
        <w:spacing w:after="120"/>
      </w:pPr>
      <w:r>
        <w:rPr>
          <w:rFonts w:ascii="Arial" w:hAnsi="Arial" w:eastAsia="Arial" w:cs="Arial"/>
          <w:b w:val="0"/>
          <w:bCs w:val="0"/>
          <w:sz w:val="22"/>
          <w:szCs w:val="22"/>
        </w:rPr>
        <w:t>ERPS: SVM class-label prediction error (root mean square of class index differences). Lower is better.</w:t>
      </w:r>
    </w:p>
    <w:p w14:paraId="578A83F8">
      <w:pPr>
        <w:spacing w:after="120"/>
      </w:pPr>
      <w:r>
        <w:rPr>
          <w:rFonts w:ascii="Arial" w:hAnsi="Arial" w:eastAsia="Arial" w:cs="Arial"/>
          <w:b w:val="0"/>
          <w:bCs w:val="0"/>
          <w:sz w:val="22"/>
          <w:szCs w:val="22"/>
        </w:rPr>
        <w:t>Top-N Precision: fraction of the N recommended plans that are truly the N cheapest for each test user. Primary business metric; 1.00 = perfect.</w:t>
      </w:r>
    </w:p>
    <w:p w14:paraId="639AB7F0">
      <w:pPr>
        <w:pStyle w:val="3"/>
      </w:pPr>
      <w:r>
        <w:rPr>
          <w:rFonts w:ascii="Arial" w:hAnsi="Arial" w:eastAsia="Arial" w:cs="Arial"/>
          <w:b/>
          <w:bCs/>
          <w:sz w:val="26"/>
          <w:szCs w:val="26"/>
        </w:rPr>
        <w:t>5.3 Reproducibility</w:t>
      </w:r>
    </w:p>
    <w:p w14:paraId="562538BE">
      <w:pPr>
        <w:spacing w:after="120"/>
      </w:pPr>
      <w:r>
        <w:rPr>
          <w:rFonts w:ascii="Arial" w:hAnsi="Arial" w:eastAsia="Arial" w:cs="Arial"/>
          <w:b w:val="0"/>
          <w:bCs w:val="0"/>
          <w:sz w:val="22"/>
          <w:szCs w:val="22"/>
        </w:rPr>
        <w:t>All random operations use fixed seeds: numpy seed 42 for data generation; seed 0 for plan pricing. This ensures bit-identical results across runs.</w:t>
      </w:r>
    </w:p>
    <w:p w14:paraId="4968090E"/>
    <w:p w14:paraId="4056F54D">
      <w:pPr>
        <w:pStyle w:val="2"/>
      </w:pPr>
      <w:r>
        <w:rPr>
          <w:rFonts w:ascii="Arial" w:hAnsi="Arial" w:eastAsia="Arial" w:cs="Arial"/>
          <w:b/>
          <w:bCs/>
          <w:sz w:val="32"/>
          <w:szCs w:val="32"/>
        </w:rPr>
        <w:t>6. Performance Analysis</w:t>
      </w:r>
    </w:p>
    <w:p w14:paraId="4F4C5765">
      <w:pPr>
        <w:pStyle w:val="3"/>
      </w:pPr>
      <w:r>
        <w:rPr>
          <w:rFonts w:ascii="Arial" w:hAnsi="Arial" w:eastAsia="Arial" w:cs="Arial"/>
          <w:b/>
          <w:bCs/>
          <w:sz w:val="26"/>
          <w:szCs w:val="26"/>
        </w:rPr>
        <w:t>6.1 Overall Results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160"/>
        <w:gridCol w:w="2160"/>
        <w:gridCol w:w="2880"/>
      </w:tblGrid>
      <w:tr w14:paraId="4843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EAFF665">
            <w:r>
              <w:rPr>
                <w:rFonts w:ascii="Arial" w:hAnsi="Arial" w:eastAsia="Arial" w:cs="Arial"/>
                <w:b/>
                <w:bCs/>
                <w:sz w:val="20"/>
                <w:szCs w:val="20"/>
              </w:rPr>
              <w:t>Model</w:t>
            </w:r>
          </w:p>
        </w:tc>
        <w:tc>
          <w:tcPr>
            <w:tcW w:w="2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A190F9F">
            <w:r>
              <w:rPr>
                <w:rFonts w:ascii="Arial" w:hAnsi="Arial" w:eastAsia="Arial" w:cs="Arial"/>
                <w:b/>
                <w:bCs/>
                <w:sz w:val="20"/>
                <w:szCs w:val="20"/>
              </w:rPr>
              <w:t>RMSE</w:t>
            </w:r>
          </w:p>
        </w:tc>
        <w:tc>
          <w:tcPr>
            <w:tcW w:w="2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0BAF62B">
            <w:r>
              <w:rPr>
                <w:rFonts w:ascii="Arial" w:hAnsi="Arial" w:eastAsia="Arial" w:cs="Arial"/>
                <w:b/>
                <w:bCs/>
                <w:sz w:val="20"/>
                <w:szCs w:val="20"/>
              </w:rPr>
              <w:t>Top-5 Precision</w:t>
            </w:r>
          </w:p>
        </w:tc>
        <w:tc>
          <w:tcPr>
            <w:tcW w:w="28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B1D9C4B">
            <w:r>
              <w:rPr>
                <w:rFonts w:ascii="Arial" w:hAnsi="Arial" w:eastAsia="Arial" w:cs="Arial"/>
                <w:b/>
                <w:bCs/>
                <w:sz w:val="20"/>
                <w:szCs w:val="20"/>
              </w:rPr>
              <w:t>Assessment</w:t>
            </w:r>
          </w:p>
        </w:tc>
      </w:tr>
      <w:tr w14:paraId="5F6E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5BD31B">
            <w:r>
              <w:rPr>
                <w:rFonts w:ascii="Arial" w:hAnsi="Arial" w:eastAsia="Arial" w:cs="Arial"/>
                <w:b w:val="0"/>
                <w:bCs w:val="0"/>
                <w:sz w:val="20"/>
                <w:szCs w:val="20"/>
              </w:rPr>
              <w:t>Memory-Based CF</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03DD94">
            <w:r>
              <w:rPr>
                <w:rFonts w:ascii="Arial" w:hAnsi="Arial" w:eastAsia="Arial" w:cs="Arial"/>
                <w:b w:val="0"/>
                <w:bCs w:val="0"/>
                <w:sz w:val="20"/>
                <w:szCs w:val="20"/>
              </w:rPr>
              <w:t>0.1105</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E3C4F0">
            <w:r>
              <w:rPr>
                <w:rFonts w:ascii="Arial" w:hAnsi="Arial" w:eastAsia="Arial" w:cs="Arial"/>
                <w:b w:val="0"/>
                <w:bCs w:val="0"/>
                <w:sz w:val="20"/>
                <w:szCs w:val="20"/>
              </w:rPr>
              <w:t>0.99</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312C0C">
            <w:r>
              <w:rPr>
                <w:rFonts w:ascii="Arial" w:hAnsi="Arial" w:eastAsia="Arial" w:cs="Arial"/>
                <w:b w:val="0"/>
                <w:bCs w:val="0"/>
                <w:sz w:val="20"/>
                <w:szCs w:val="20"/>
              </w:rPr>
              <w:t>Near-perfect on training; slight variation on test</w:t>
            </w:r>
          </w:p>
        </w:tc>
      </w:tr>
      <w:tr w14:paraId="781D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EAEFCBB">
            <w:r>
              <w:rPr>
                <w:rFonts w:ascii="Arial" w:hAnsi="Arial" w:eastAsia="Arial" w:cs="Arial"/>
                <w:b w:val="0"/>
                <w:bCs w:val="0"/>
                <w:sz w:val="20"/>
                <w:szCs w:val="20"/>
              </w:rPr>
              <w:t>Model-Based CF</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236927">
            <w:r>
              <w:rPr>
                <w:rFonts w:ascii="Arial" w:hAnsi="Arial" w:eastAsia="Arial" w:cs="Arial"/>
                <w:b w:val="0"/>
                <w:bCs w:val="0"/>
                <w:sz w:val="20"/>
                <w:szCs w:val="20"/>
              </w:rPr>
              <w:t>0.6515</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3FEA65">
            <w:r>
              <w:rPr>
                <w:rFonts w:ascii="Arial" w:hAnsi="Arial" w:eastAsia="Arial" w:cs="Arial"/>
                <w:b w:val="0"/>
                <w:bCs w:val="0"/>
                <w:sz w:val="20"/>
                <w:szCs w:val="20"/>
              </w:rPr>
              <w:t>0.78</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4A9C82">
            <w:r>
              <w:rPr>
                <w:rFonts w:ascii="Arial" w:hAnsi="Arial" w:eastAsia="Arial" w:cs="Arial"/>
                <w:b w:val="0"/>
                <w:bCs w:val="0"/>
                <w:sz w:val="20"/>
                <w:szCs w:val="20"/>
              </w:rPr>
              <w:t>Weak on small dense matrix — expected behaviour</w:t>
            </w:r>
          </w:p>
        </w:tc>
      </w:tr>
      <w:tr w14:paraId="5B4C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404762">
            <w:r>
              <w:rPr>
                <w:rFonts w:ascii="Arial" w:hAnsi="Arial" w:eastAsia="Arial" w:cs="Arial"/>
                <w:b w:val="0"/>
                <w:bCs w:val="0"/>
                <w:sz w:val="20"/>
                <w:szCs w:val="20"/>
              </w:rPr>
              <w:t>Hybrid CF (alpha=0.1)</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1EEE92">
            <w:r>
              <w:rPr>
                <w:rFonts w:ascii="Arial" w:hAnsi="Arial" w:eastAsia="Arial" w:cs="Arial"/>
                <w:b w:val="0"/>
                <w:bCs w:val="0"/>
                <w:sz w:val="20"/>
                <w:szCs w:val="20"/>
              </w:rPr>
              <w:t>0.5880</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2D1424A">
            <w:r>
              <w:rPr>
                <w:rFonts w:ascii="Arial" w:hAnsi="Arial" w:eastAsia="Arial" w:cs="Arial"/>
                <w:b w:val="0"/>
                <w:bCs w:val="0"/>
                <w:sz w:val="20"/>
                <w:szCs w:val="20"/>
              </w:rPr>
              <w:t>1.00</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233D39">
            <w:r>
              <w:rPr>
                <w:rFonts w:ascii="Arial" w:hAnsi="Arial" w:eastAsia="Arial" w:cs="Arial"/>
                <w:b w:val="0"/>
                <w:bCs w:val="0"/>
                <w:sz w:val="20"/>
                <w:szCs w:val="20"/>
              </w:rPr>
              <w:t>Perfect precision; model-dominated RMSE</w:t>
            </w:r>
          </w:p>
        </w:tc>
      </w:tr>
      <w:tr w14:paraId="3F66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F4FB0B">
            <w:r>
              <w:rPr>
                <w:rFonts w:ascii="Arial" w:hAnsi="Arial" w:eastAsia="Arial" w:cs="Arial"/>
                <w:b w:val="0"/>
                <w:bCs w:val="0"/>
                <w:sz w:val="20"/>
                <w:szCs w:val="20"/>
              </w:rPr>
              <w:t>Hybrid CF (alpha=0.5)</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0EB05A">
            <w:r>
              <w:rPr>
                <w:rFonts w:ascii="Arial" w:hAnsi="Arial" w:eastAsia="Arial" w:cs="Arial"/>
                <w:b w:val="0"/>
                <w:bCs w:val="0"/>
                <w:sz w:val="20"/>
                <w:szCs w:val="20"/>
              </w:rPr>
              <w:t>0.3381</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5725ED">
            <w:r>
              <w:rPr>
                <w:rFonts w:ascii="Arial" w:hAnsi="Arial" w:eastAsia="Arial" w:cs="Arial"/>
                <w:b w:val="0"/>
                <w:bCs w:val="0"/>
                <w:sz w:val="20"/>
                <w:szCs w:val="20"/>
              </w:rPr>
              <w:t>1.00</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A76C00">
            <w:r>
              <w:rPr>
                <w:rFonts w:ascii="Arial" w:hAnsi="Arial" w:eastAsia="Arial" w:cs="Arial"/>
                <w:b w:val="0"/>
                <w:bCs w:val="0"/>
                <w:sz w:val="20"/>
                <w:szCs w:val="20"/>
              </w:rPr>
              <w:t>Strong: 50% RMSE reduction, perfect precision maintained</w:t>
            </w:r>
          </w:p>
        </w:tc>
      </w:tr>
      <w:tr w14:paraId="0B8E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C9696D">
            <w:r>
              <w:rPr>
                <w:rFonts w:ascii="Arial" w:hAnsi="Arial" w:eastAsia="Arial" w:cs="Arial"/>
                <w:b w:val="0"/>
                <w:bCs w:val="0"/>
                <w:sz w:val="20"/>
                <w:szCs w:val="20"/>
              </w:rPr>
              <w:t>Hybrid CF (alpha=1.0)</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FAD117">
            <w:r>
              <w:rPr>
                <w:rFonts w:ascii="Arial" w:hAnsi="Arial" w:eastAsia="Arial" w:cs="Arial"/>
                <w:b w:val="0"/>
                <w:bCs w:val="0"/>
                <w:sz w:val="20"/>
                <w:szCs w:val="20"/>
              </w:rPr>
              <w:t>0.1105</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1D9A1B">
            <w:r>
              <w:rPr>
                <w:rFonts w:ascii="Arial" w:hAnsi="Arial" w:eastAsia="Arial" w:cs="Arial"/>
                <w:b w:val="0"/>
                <w:bCs w:val="0"/>
                <w:sz w:val="20"/>
                <w:szCs w:val="20"/>
              </w:rPr>
              <w:t>0.99</w:t>
            </w:r>
          </w:p>
        </w:tc>
        <w:tc>
          <w:tcPr>
            <w:tcW w:w="28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5F4C32">
            <w:r>
              <w:rPr>
                <w:rFonts w:ascii="Arial" w:hAnsi="Arial" w:eastAsia="Arial" w:cs="Arial"/>
                <w:b w:val="0"/>
                <w:bCs w:val="0"/>
                <w:sz w:val="20"/>
                <w:szCs w:val="20"/>
              </w:rPr>
              <w:t>Best RMSE; essentially memory-based</w:t>
            </w:r>
          </w:p>
        </w:tc>
      </w:tr>
    </w:tbl>
    <w:p w14:paraId="0704AB74"/>
    <w:p w14:paraId="77001461">
      <w:pPr>
        <w:pStyle w:val="3"/>
      </w:pPr>
      <w:r>
        <w:rPr>
          <w:rFonts w:ascii="Arial" w:hAnsi="Arial" w:eastAsia="Arial" w:cs="Arial"/>
          <w:b/>
          <w:bCs/>
          <w:sz w:val="26"/>
          <w:szCs w:val="26"/>
        </w:rPr>
        <w:t>6.2 Sensitivity Analysis</w:t>
      </w:r>
    </w:p>
    <w:p w14:paraId="5C09F3F3">
      <w:pPr>
        <w:spacing w:after="120"/>
      </w:pPr>
      <w:r>
        <w:rPr>
          <w:rFonts w:ascii="Arial" w:hAnsi="Arial" w:eastAsia="Arial" w:cs="Arial"/>
          <w:b w:val="0"/>
          <w:bCs w:val="0"/>
          <w:sz w:val="22"/>
          <w:szCs w:val="22"/>
        </w:rPr>
        <w:t>A well-designed system should be robust to moderate changes in hyperparameters. This section examines the effect of three key hyperparameters on model performance. All other parameters are held at their selected values.</w:t>
      </w:r>
    </w:p>
    <w:p w14:paraId="33B561A8"/>
    <w:p w14:paraId="178B3FC7">
      <w:pPr>
        <w:spacing w:before="120" w:after="60"/>
        <w:jc w:val="center"/>
      </w:pPr>
      <w:r>
        <w:drawing>
          <wp:inline distT="0" distB="0" distL="0" distR="0">
            <wp:extent cx="6858000" cy="2571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6858000" cy="2571750"/>
                    </a:xfrm>
                    <a:prstGeom prst="rect">
                      <a:avLst/>
                    </a:prstGeom>
                  </pic:spPr>
                </pic:pic>
              </a:graphicData>
            </a:graphic>
          </wp:inline>
        </w:drawing>
      </w:r>
    </w:p>
    <w:p w14:paraId="47719DAA">
      <w:pPr>
        <w:spacing w:after="180"/>
        <w:jc w:val="center"/>
      </w:pPr>
      <w:r>
        <w:rPr>
          <w:rFonts w:ascii="Arial" w:hAnsi="Arial" w:eastAsia="Arial" w:cs="Arial"/>
          <w:color w:val="555555"/>
          <w:sz w:val="18"/>
          <w:szCs w:val="18"/>
        </w:rPr>
        <w:t>Figure 12 — Sensitivity analysis. Left: BPMF test RMSE vs latent dimension D. Centre: BPMF test RMSE vs regularisation lambda. Right: Hybrid RMSE and Top-5 Precision vs alpha.</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800"/>
        <w:gridCol w:w="1800"/>
        <w:gridCol w:w="2160"/>
        <w:gridCol w:w="2160"/>
      </w:tblGrid>
      <w:tr w14:paraId="5DD0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53FD793">
            <w:r>
              <w:rPr>
                <w:rFonts w:ascii="Arial" w:hAnsi="Arial" w:eastAsia="Arial" w:cs="Arial"/>
                <w:b/>
                <w:bCs/>
                <w:sz w:val="20"/>
                <w:szCs w:val="20"/>
              </w:rPr>
              <w:t>Hyperparameter</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3D3AE07">
            <w:r>
              <w:rPr>
                <w:rFonts w:ascii="Arial" w:hAnsi="Arial" w:eastAsia="Arial" w:cs="Arial"/>
                <w:b/>
                <w:bCs/>
                <w:sz w:val="20"/>
                <w:szCs w:val="20"/>
              </w:rPr>
              <w:t>Range Tested</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D68443B">
            <w:r>
              <w:rPr>
                <w:rFonts w:ascii="Arial" w:hAnsi="Arial" w:eastAsia="Arial" w:cs="Arial"/>
                <w:b/>
                <w:bCs/>
                <w:sz w:val="20"/>
                <w:szCs w:val="20"/>
              </w:rPr>
              <w:t>Selected</w:t>
            </w:r>
          </w:p>
        </w:tc>
        <w:tc>
          <w:tcPr>
            <w:tcW w:w="2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FE0AC06">
            <w:r>
              <w:rPr>
                <w:rFonts w:ascii="Arial" w:hAnsi="Arial" w:eastAsia="Arial" w:cs="Arial"/>
                <w:b/>
                <w:bCs/>
                <w:sz w:val="20"/>
                <w:szCs w:val="20"/>
              </w:rPr>
              <w:t>Effect if Changed</w:t>
            </w:r>
          </w:p>
        </w:tc>
        <w:tc>
          <w:tcPr>
            <w:tcW w:w="2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A19192B">
            <w:r>
              <w:rPr>
                <w:rFonts w:ascii="Arial" w:hAnsi="Arial" w:eastAsia="Arial" w:cs="Arial"/>
                <w:b/>
                <w:bCs/>
                <w:sz w:val="20"/>
                <w:szCs w:val="20"/>
              </w:rPr>
              <w:t>Robustness</w:t>
            </w:r>
          </w:p>
        </w:tc>
      </w:tr>
      <w:tr w14:paraId="0074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ED4AD6">
            <w:r>
              <w:rPr>
                <w:rFonts w:ascii="Arial" w:hAnsi="Arial" w:eastAsia="Arial" w:cs="Arial"/>
                <w:b w:val="0"/>
                <w:bCs w:val="0"/>
                <w:sz w:val="20"/>
                <w:szCs w:val="20"/>
              </w:rPr>
              <w:t>BPMF latent dim 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5A8A018">
            <w:r>
              <w:rPr>
                <w:rFonts w:ascii="Arial" w:hAnsi="Arial" w:eastAsia="Arial" w:cs="Arial"/>
                <w:b w:val="0"/>
                <w:bCs w:val="0"/>
                <w:sz w:val="20"/>
                <w:szCs w:val="20"/>
              </w:rPr>
              <w:t>2 to 20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CDDE36">
            <w:r>
              <w:rPr>
                <w:rFonts w:ascii="Arial" w:hAnsi="Arial" w:eastAsia="Arial" w:cs="Arial"/>
                <w:b w:val="0"/>
                <w:bCs w:val="0"/>
                <w:sz w:val="20"/>
                <w:szCs w:val="20"/>
              </w:rPr>
              <w:t>D=10</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5B3133">
            <w:r>
              <w:rPr>
                <w:rFonts w:ascii="Arial" w:hAnsi="Arial" w:eastAsia="Arial" w:cs="Arial"/>
                <w:b w:val="0"/>
                <w:bCs w:val="0"/>
                <w:sz w:val="20"/>
                <w:szCs w:val="20"/>
              </w:rPr>
              <w:t>D&lt;5: underfits; D&gt;12: mild overfit</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9A86AE">
            <w:r>
              <w:rPr>
                <w:rFonts w:ascii="Arial" w:hAnsi="Arial" w:eastAsia="Arial" w:cs="Arial"/>
                <w:b w:val="0"/>
                <w:bCs w:val="0"/>
                <w:sz w:val="20"/>
                <w:szCs w:val="20"/>
              </w:rPr>
              <w:t>High: stable D=8–15</w:t>
            </w:r>
          </w:p>
        </w:tc>
      </w:tr>
      <w:tr w14:paraId="58E3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39A7C6">
            <w:r>
              <w:rPr>
                <w:rFonts w:ascii="Arial" w:hAnsi="Arial" w:eastAsia="Arial" w:cs="Arial"/>
                <w:b w:val="0"/>
                <w:bCs w:val="0"/>
                <w:sz w:val="20"/>
                <w:szCs w:val="20"/>
              </w:rPr>
              <w:t>BPMF lambda</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CC066B">
            <w:r>
              <w:rPr>
                <w:rFonts w:ascii="Arial" w:hAnsi="Arial" w:eastAsia="Arial" w:cs="Arial"/>
                <w:b w:val="0"/>
                <w:bCs w:val="0"/>
                <w:sz w:val="20"/>
                <w:szCs w:val="20"/>
              </w:rPr>
              <w:t>0.001–0.2</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293B7D">
            <w:r>
              <w:rPr>
                <w:rFonts w:ascii="Arial" w:hAnsi="Arial" w:eastAsia="Arial" w:cs="Arial"/>
                <w:b w:val="0"/>
                <w:bCs w:val="0"/>
                <w:sz w:val="20"/>
                <w:szCs w:val="20"/>
              </w:rPr>
              <w:t>lambda=0.01</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7E8737">
            <w:r>
              <w:rPr>
                <w:rFonts w:ascii="Arial" w:hAnsi="Arial" w:eastAsia="Arial" w:cs="Arial"/>
                <w:b w:val="0"/>
                <w:bCs w:val="0"/>
                <w:sz w:val="20"/>
                <w:szCs w:val="20"/>
              </w:rPr>
              <w:t>lambda&lt;0.005: slight overfit</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D35D46">
            <w:r>
              <w:rPr>
                <w:rFonts w:ascii="Arial" w:hAnsi="Arial" w:eastAsia="Arial" w:cs="Arial"/>
                <w:b w:val="0"/>
                <w:bCs w:val="0"/>
                <w:sz w:val="20"/>
                <w:szCs w:val="20"/>
              </w:rPr>
              <w:t>Moderate: optimal 0.005–0.02</w:t>
            </w:r>
          </w:p>
        </w:tc>
      </w:tr>
      <w:tr w14:paraId="0D91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92FDF4">
            <w:r>
              <w:rPr>
                <w:rFonts w:ascii="Arial" w:hAnsi="Arial" w:eastAsia="Arial" w:cs="Arial"/>
                <w:b w:val="0"/>
                <w:bCs w:val="0"/>
                <w:sz w:val="20"/>
                <w:szCs w:val="20"/>
              </w:rPr>
              <w:t>Hybrid alpha</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D87731">
            <w:r>
              <w:rPr>
                <w:rFonts w:ascii="Arial" w:hAnsi="Arial" w:eastAsia="Arial" w:cs="Arial"/>
                <w:b w:val="0"/>
                <w:bCs w:val="0"/>
                <w:sz w:val="20"/>
                <w:szCs w:val="20"/>
              </w:rPr>
              <w:t>0.0 to 1.0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B90973">
            <w:r>
              <w:rPr>
                <w:rFonts w:ascii="Arial" w:hAnsi="Arial" w:eastAsia="Arial" w:cs="Arial"/>
                <w:b w:val="0"/>
                <w:bCs w:val="0"/>
                <w:sz w:val="20"/>
                <w:szCs w:val="20"/>
              </w:rPr>
              <w:t>alpha=0.1</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A3404F">
            <w:r>
              <w:rPr>
                <w:rFonts w:ascii="Arial" w:hAnsi="Arial" w:eastAsia="Arial" w:cs="Arial"/>
                <w:b w:val="0"/>
                <w:bCs w:val="0"/>
                <w:sz w:val="20"/>
                <w:szCs w:val="20"/>
              </w:rPr>
              <w:t>alpha&lt;0.1: Precision drops to 0.78</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732B53">
            <w:r>
              <w:rPr>
                <w:rFonts w:ascii="Arial" w:hAnsi="Arial" w:eastAsia="Arial" w:cs="Arial"/>
                <w:b w:val="0"/>
                <w:bCs w:val="0"/>
                <w:sz w:val="20"/>
                <w:szCs w:val="20"/>
              </w:rPr>
              <w:t>High: Precision=1.00 for alpha&gt;=0.1</w:t>
            </w:r>
          </w:p>
        </w:tc>
      </w:tr>
      <w:tr w14:paraId="72EA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E4F0B8">
            <w:r>
              <w:rPr>
                <w:rFonts w:ascii="Arial" w:hAnsi="Arial" w:eastAsia="Arial" w:cs="Arial"/>
                <w:b w:val="0"/>
                <w:bCs w:val="0"/>
                <w:sz w:val="20"/>
                <w:szCs w:val="20"/>
              </w:rPr>
              <w:t>KNN K</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771614">
            <w:r>
              <w:rPr>
                <w:rFonts w:ascii="Arial" w:hAnsi="Arial" w:eastAsia="Arial" w:cs="Arial"/>
                <w:b w:val="0"/>
                <w:bCs w:val="0"/>
                <w:sz w:val="20"/>
                <w:szCs w:val="20"/>
              </w:rPr>
              <w:t>1 to 15</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418C8D">
            <w:r>
              <w:rPr>
                <w:rFonts w:ascii="Arial" w:hAnsi="Arial" w:eastAsia="Arial" w:cs="Arial"/>
                <w:b w:val="0"/>
                <w:bCs w:val="0"/>
                <w:sz w:val="20"/>
                <w:szCs w:val="20"/>
              </w:rPr>
              <w:t>K=8</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774B5D">
            <w:r>
              <w:rPr>
                <w:rFonts w:ascii="Arial" w:hAnsi="Arial" w:eastAsia="Arial" w:cs="Arial"/>
                <w:b w:val="0"/>
                <w:bCs w:val="0"/>
                <w:sz w:val="20"/>
                <w:szCs w:val="20"/>
              </w:rPr>
              <w:t>K=1: RMSE~0.0044; K&gt;=2: stable</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EDDAED">
            <w:r>
              <w:rPr>
                <w:rFonts w:ascii="Arial" w:hAnsi="Arial" w:eastAsia="Arial" w:cs="Arial"/>
                <w:b w:val="0"/>
                <w:bCs w:val="0"/>
                <w:sz w:val="20"/>
                <w:szCs w:val="20"/>
              </w:rPr>
              <w:t>High: plateau from K=2 to K=15</w:t>
            </w:r>
          </w:p>
        </w:tc>
      </w:tr>
      <w:tr w14:paraId="5D84A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CCFF86">
            <w:r>
              <w:rPr>
                <w:rFonts w:ascii="Arial" w:hAnsi="Arial" w:eastAsia="Arial" w:cs="Arial"/>
                <w:b w:val="0"/>
                <w:bCs w:val="0"/>
                <w:sz w:val="20"/>
                <w:szCs w:val="20"/>
              </w:rPr>
              <w:t>SVM C</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44F3A8">
            <w:r>
              <w:rPr>
                <w:rFonts w:ascii="Arial" w:hAnsi="Arial" w:eastAsia="Arial" w:cs="Arial"/>
                <w:b w:val="0"/>
                <w:bCs w:val="0"/>
                <w:sz w:val="20"/>
                <w:szCs w:val="20"/>
              </w:rPr>
              <w:t>0.1 to 10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8BE459">
            <w:r>
              <w:rPr>
                <w:rFonts w:ascii="Arial" w:hAnsi="Arial" w:eastAsia="Arial" w:cs="Arial"/>
                <w:b w:val="0"/>
                <w:bCs w:val="0"/>
                <w:sz w:val="20"/>
                <w:szCs w:val="20"/>
              </w:rPr>
              <w:t>C=1.0</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85BB70">
            <w:r>
              <w:rPr>
                <w:rFonts w:ascii="Arial" w:hAnsi="Arial" w:eastAsia="Arial" w:cs="Arial"/>
                <w:b w:val="0"/>
                <w:bCs w:val="0"/>
                <w:sz w:val="20"/>
                <w:szCs w:val="20"/>
              </w:rPr>
              <w:t>Minor ERPS variation (+-0.2)</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2784CA">
            <w:r>
              <w:rPr>
                <w:rFonts w:ascii="Arial" w:hAnsi="Arial" w:eastAsia="Arial" w:cs="Arial"/>
                <w:b w:val="0"/>
                <w:bCs w:val="0"/>
                <w:sz w:val="20"/>
                <w:szCs w:val="20"/>
              </w:rPr>
              <w:t>High: not sensitive</w:t>
            </w:r>
          </w:p>
        </w:tc>
      </w:tr>
    </w:tbl>
    <w:p w14:paraId="075A2EEF"/>
    <w:p w14:paraId="55C8ABD0">
      <w:pPr>
        <w:pStyle w:val="3"/>
      </w:pPr>
      <w:r>
        <w:rPr>
          <w:rFonts w:ascii="Arial" w:hAnsi="Arial" w:eastAsia="Arial" w:cs="Arial"/>
          <w:b/>
          <w:bCs/>
          <w:sz w:val="26"/>
          <w:szCs w:val="26"/>
        </w:rPr>
        <w:t>6.3 Sample Recommendations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440"/>
        <w:gridCol w:w="5760"/>
        <w:gridCol w:w="1440"/>
      </w:tblGrid>
      <w:tr w14:paraId="7F82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E81374C">
            <w:r>
              <w:rPr>
                <w:rFonts w:ascii="Arial" w:hAnsi="Arial" w:eastAsia="Arial" w:cs="Arial"/>
                <w:b/>
                <w:bCs/>
                <w:sz w:val="20"/>
                <w:szCs w:val="20"/>
              </w:rPr>
              <w:t>User</w:t>
            </w:r>
          </w:p>
        </w:tc>
        <w:tc>
          <w:tcPr>
            <w:tcW w:w="14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1D3AF3F">
            <w:r>
              <w:rPr>
                <w:rFonts w:ascii="Arial" w:hAnsi="Arial" w:eastAsia="Arial" w:cs="Arial"/>
                <w:b/>
                <w:bCs/>
                <w:sz w:val="20"/>
                <w:szCs w:val="20"/>
              </w:rPr>
              <w:t>Profile</w:t>
            </w:r>
          </w:p>
        </w:tc>
        <w:tc>
          <w:tcPr>
            <w:tcW w:w="57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7895B2C">
            <w:r>
              <w:rPr>
                <w:rFonts w:ascii="Arial" w:hAnsi="Arial" w:eastAsia="Arial" w:cs="Arial"/>
                <w:b/>
                <w:bCs/>
                <w:sz w:val="20"/>
                <w:szCs w:val="20"/>
              </w:rPr>
              <w:t>Top-5 Plans</w:t>
            </w:r>
          </w:p>
        </w:tc>
        <w:tc>
          <w:tcPr>
            <w:tcW w:w="14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71C1CAC">
            <w:r>
              <w:rPr>
                <w:rFonts w:ascii="Arial" w:hAnsi="Arial" w:eastAsia="Arial" w:cs="Arial"/>
                <w:b/>
                <w:bCs/>
                <w:sz w:val="20"/>
                <w:szCs w:val="20"/>
              </w:rPr>
              <w:t>Precision</w:t>
            </w:r>
          </w:p>
        </w:tc>
      </w:tr>
      <w:tr w14:paraId="3972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AB8B85">
            <w:r>
              <w:rPr>
                <w:rFonts w:ascii="Arial" w:hAnsi="Arial" w:eastAsia="Arial" w:cs="Arial"/>
                <w:b w:val="0"/>
                <w:bCs w:val="0"/>
                <w:sz w:val="20"/>
                <w:szCs w:val="20"/>
              </w:rPr>
              <w:t>158</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E96EFD">
            <w:r>
              <w:rPr>
                <w:rFonts w:ascii="Arial" w:hAnsi="Arial" w:eastAsia="Arial" w:cs="Arial"/>
                <w:b w:val="0"/>
                <w:bCs w:val="0"/>
                <w:sz w:val="20"/>
                <w:szCs w:val="20"/>
              </w:rPr>
              <w:t>Low EV</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21A9CA">
            <w:r>
              <w:rPr>
                <w:rFonts w:ascii="Arial" w:hAnsi="Arial" w:eastAsia="Arial" w:cs="Arial"/>
                <w:b w:val="0"/>
                <w:bCs w:val="0"/>
                <w:sz w:val="20"/>
                <w:szCs w:val="20"/>
              </w:rPr>
              <w:t>P7, P5, P6, P2, P3</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19EB98">
            <w:r>
              <w:rPr>
                <w:rFonts w:ascii="Arial" w:hAnsi="Arial" w:eastAsia="Arial" w:cs="Arial"/>
                <w:b w:val="0"/>
                <w:bCs w:val="0"/>
                <w:sz w:val="20"/>
                <w:szCs w:val="20"/>
              </w:rPr>
              <w:t>1.00</w:t>
            </w:r>
          </w:p>
        </w:tc>
      </w:tr>
      <w:tr w14:paraId="2B4F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EC2752">
            <w:r>
              <w:rPr>
                <w:rFonts w:ascii="Arial" w:hAnsi="Arial" w:eastAsia="Arial" w:cs="Arial"/>
                <w:b w:val="0"/>
                <w:bCs w:val="0"/>
                <w:sz w:val="20"/>
                <w:szCs w:val="20"/>
              </w:rPr>
              <w:t>83</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77843A">
            <w:r>
              <w:rPr>
                <w:rFonts w:ascii="Arial" w:hAnsi="Arial" w:eastAsia="Arial" w:cs="Arial"/>
                <w:b w:val="0"/>
                <w:bCs w:val="0"/>
                <w:sz w:val="20"/>
                <w:szCs w:val="20"/>
              </w:rPr>
              <w:t>High EV</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2F96AF">
            <w:r>
              <w:rPr>
                <w:rFonts w:ascii="Arial" w:hAnsi="Arial" w:eastAsia="Arial" w:cs="Arial"/>
                <w:b w:val="0"/>
                <w:bCs w:val="0"/>
                <w:sz w:val="20"/>
                <w:szCs w:val="20"/>
              </w:rPr>
              <w:t>P7, P5, P6, P2, P3</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57D9A8">
            <w:r>
              <w:rPr>
                <w:rFonts w:ascii="Arial" w:hAnsi="Arial" w:eastAsia="Arial" w:cs="Arial"/>
                <w:b w:val="0"/>
                <w:bCs w:val="0"/>
                <w:sz w:val="20"/>
                <w:szCs w:val="20"/>
              </w:rPr>
              <w:t>1.00</w:t>
            </w:r>
          </w:p>
        </w:tc>
      </w:tr>
      <w:tr w14:paraId="1939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4121DC">
            <w:r>
              <w:rPr>
                <w:rFonts w:ascii="Arial" w:hAnsi="Arial" w:eastAsia="Arial" w:cs="Arial"/>
                <w:b w:val="0"/>
                <w:bCs w:val="0"/>
                <w:sz w:val="20"/>
                <w:szCs w:val="20"/>
              </w:rPr>
              <w:t>170</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0F7F6F">
            <w:r>
              <w:rPr>
                <w:rFonts w:ascii="Arial" w:hAnsi="Arial" w:eastAsia="Arial" w:cs="Arial"/>
                <w:b w:val="0"/>
                <w:bCs w:val="0"/>
                <w:sz w:val="20"/>
                <w:szCs w:val="20"/>
              </w:rPr>
              <w:t>High AC</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663217">
            <w:r>
              <w:rPr>
                <w:rFonts w:ascii="Arial" w:hAnsi="Arial" w:eastAsia="Arial" w:cs="Arial"/>
                <w:b w:val="0"/>
                <w:bCs w:val="0"/>
                <w:sz w:val="20"/>
                <w:szCs w:val="20"/>
              </w:rPr>
              <w:t>P7, P5, P6, P2, P3</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3137B3">
            <w:r>
              <w:rPr>
                <w:rFonts w:ascii="Arial" w:hAnsi="Arial" w:eastAsia="Arial" w:cs="Arial"/>
                <w:b w:val="0"/>
                <w:bCs w:val="0"/>
                <w:sz w:val="20"/>
                <w:szCs w:val="20"/>
              </w:rPr>
              <w:t>1.00</w:t>
            </w:r>
          </w:p>
        </w:tc>
      </w:tr>
      <w:tr w14:paraId="272B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5ED901C">
            <w:r>
              <w:rPr>
                <w:rFonts w:ascii="Arial" w:hAnsi="Arial" w:eastAsia="Arial" w:cs="Arial"/>
                <w:b w:val="0"/>
                <w:bCs w:val="0"/>
                <w:sz w:val="20"/>
                <w:szCs w:val="20"/>
              </w:rPr>
              <w:t>101</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FF218C">
            <w:r>
              <w:rPr>
                <w:rFonts w:ascii="Arial" w:hAnsi="Arial" w:eastAsia="Arial" w:cs="Arial"/>
                <w:b w:val="0"/>
                <w:bCs w:val="0"/>
                <w:sz w:val="20"/>
                <w:szCs w:val="20"/>
              </w:rPr>
              <w:t>High WAT</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357E3F">
            <w:r>
              <w:rPr>
                <w:rFonts w:ascii="Arial" w:hAnsi="Arial" w:eastAsia="Arial" w:cs="Arial"/>
                <w:b w:val="0"/>
                <w:bCs w:val="0"/>
                <w:sz w:val="20"/>
                <w:szCs w:val="20"/>
              </w:rPr>
              <w:t>P7, P5, P6, P3, P2</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CDCA25">
            <w:r>
              <w:rPr>
                <w:rFonts w:ascii="Arial" w:hAnsi="Arial" w:eastAsia="Arial" w:cs="Arial"/>
                <w:b w:val="0"/>
                <w:bCs w:val="0"/>
                <w:sz w:val="20"/>
                <w:szCs w:val="20"/>
              </w:rPr>
              <w:t>1.00</w:t>
            </w:r>
          </w:p>
        </w:tc>
      </w:tr>
      <w:tr w14:paraId="642D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9CC975">
            <w:r>
              <w:rPr>
                <w:rFonts w:ascii="Arial" w:hAnsi="Arial" w:eastAsia="Arial" w:cs="Arial"/>
                <w:b w:val="0"/>
                <w:bCs w:val="0"/>
                <w:sz w:val="20"/>
                <w:szCs w:val="20"/>
              </w:rPr>
              <w:t>150</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DABE26">
            <w:r>
              <w:rPr>
                <w:rFonts w:ascii="Arial" w:hAnsi="Arial" w:eastAsia="Arial" w:cs="Arial"/>
                <w:b w:val="0"/>
                <w:bCs w:val="0"/>
                <w:sz w:val="20"/>
                <w:szCs w:val="20"/>
              </w:rPr>
              <w:t>Balanced</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D48A4E">
            <w:r>
              <w:rPr>
                <w:rFonts w:ascii="Arial" w:hAnsi="Arial" w:eastAsia="Arial" w:cs="Arial"/>
                <w:b w:val="0"/>
                <w:bCs w:val="0"/>
                <w:sz w:val="20"/>
                <w:szCs w:val="20"/>
              </w:rPr>
              <w:t>P7, P5, P6, P2, P3</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BE329A">
            <w:r>
              <w:rPr>
                <w:rFonts w:ascii="Arial" w:hAnsi="Arial" w:eastAsia="Arial" w:cs="Arial"/>
                <w:b w:val="0"/>
                <w:bCs w:val="0"/>
                <w:sz w:val="20"/>
                <w:szCs w:val="20"/>
              </w:rPr>
              <w:t>1.00</w:t>
            </w:r>
          </w:p>
        </w:tc>
      </w:tr>
      <w:tr w14:paraId="3A47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27BCC8">
            <w:r>
              <w:rPr>
                <w:rFonts w:ascii="Arial" w:hAnsi="Arial" w:eastAsia="Arial" w:cs="Arial"/>
                <w:b w:val="0"/>
                <w:bCs w:val="0"/>
                <w:sz w:val="20"/>
                <w:szCs w:val="20"/>
              </w:rPr>
              <w:t>All 40 test users</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CCEDBD">
            <w:r>
              <w:rPr>
                <w:rFonts w:ascii="Arial" w:hAnsi="Arial" w:eastAsia="Arial" w:cs="Arial"/>
                <w:b w:val="0"/>
                <w:bCs w:val="0"/>
                <w:sz w:val="20"/>
                <w:szCs w:val="20"/>
              </w:rPr>
              <w:t>—</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807773">
            <w:r>
              <w:rPr>
                <w:rFonts w:ascii="Arial" w:hAnsi="Arial" w:eastAsia="Arial" w:cs="Arial"/>
                <w:b w:val="0"/>
                <w:bCs w:val="0"/>
                <w:sz w:val="20"/>
                <w:szCs w:val="20"/>
              </w:rPr>
              <w:t>—</w:t>
            </w:r>
          </w:p>
        </w:tc>
        <w:tc>
          <w:tcPr>
            <w:tcW w:w="1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BBFE67">
            <w:r>
              <w:rPr>
                <w:rFonts w:ascii="Arial" w:hAnsi="Arial" w:eastAsia="Arial" w:cs="Arial"/>
                <w:b w:val="0"/>
                <w:bCs w:val="0"/>
                <w:sz w:val="20"/>
                <w:szCs w:val="20"/>
              </w:rPr>
              <w:t>Avg = 1.00</w:t>
            </w:r>
          </w:p>
        </w:tc>
      </w:tr>
    </w:tbl>
    <w:p w14:paraId="16581DDB"/>
    <w:p w14:paraId="08424912">
      <w:pPr>
        <w:pStyle w:val="2"/>
      </w:pPr>
      <w:r>
        <w:rPr>
          <w:rFonts w:ascii="Arial" w:hAnsi="Arial" w:eastAsia="Arial" w:cs="Arial"/>
          <w:b/>
          <w:bCs/>
          <w:sz w:val="32"/>
          <w:szCs w:val="32"/>
        </w:rPr>
        <w:t>7. Conclusion</w:t>
      </w:r>
    </w:p>
    <w:p w14:paraId="262248CE">
      <w:pPr>
        <w:pStyle w:val="3"/>
      </w:pPr>
      <w:r>
        <w:rPr>
          <w:rFonts w:ascii="Arial" w:hAnsi="Arial" w:eastAsia="Arial" w:cs="Arial"/>
          <w:b/>
          <w:bCs/>
          <w:sz w:val="26"/>
          <w:szCs w:val="26"/>
        </w:rPr>
        <w:t>7.1 Summary of Results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520"/>
        <w:gridCol w:w="5040"/>
      </w:tblGrid>
      <w:tr w14:paraId="386F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6F060FA">
            <w:r>
              <w:rPr>
                <w:rFonts w:ascii="Arial" w:hAnsi="Arial" w:eastAsia="Arial" w:cs="Arial"/>
                <w:b/>
                <w:bCs/>
                <w:sz w:val="20"/>
                <w:szCs w:val="20"/>
              </w:rPr>
              <w:t>Concept</w:t>
            </w:r>
          </w:p>
        </w:tc>
        <w:tc>
          <w:tcPr>
            <w:tcW w:w="25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EEB73CB">
            <w:r>
              <w:rPr>
                <w:rFonts w:ascii="Arial" w:hAnsi="Arial" w:eastAsia="Arial" w:cs="Arial"/>
                <w:b/>
                <w:bCs/>
                <w:sz w:val="20"/>
                <w:szCs w:val="20"/>
              </w:rPr>
              <w:t>Result</w:t>
            </w:r>
          </w:p>
        </w:tc>
        <w:tc>
          <w:tcPr>
            <w:tcW w:w="50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57189DE">
            <w:r>
              <w:rPr>
                <w:rFonts w:ascii="Arial" w:hAnsi="Arial" w:eastAsia="Arial" w:cs="Arial"/>
                <w:b/>
                <w:bCs/>
                <w:sz w:val="20"/>
                <w:szCs w:val="20"/>
              </w:rPr>
              <w:t>Key Insight</w:t>
            </w:r>
          </w:p>
        </w:tc>
      </w:tr>
      <w:tr w14:paraId="05ED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5073E3">
            <w:r>
              <w:rPr>
                <w:rFonts w:ascii="Arial" w:hAnsi="Arial" w:eastAsia="Arial" w:cs="Arial"/>
                <w:b w:val="0"/>
                <w:bCs w:val="0"/>
                <w:sz w:val="20"/>
                <w:szCs w:val="20"/>
              </w:rPr>
              <w:t>1. Feature Extraction</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D2230A">
            <w:r>
              <w:rPr>
                <w:rFonts w:ascii="Arial" w:hAnsi="Arial" w:eastAsia="Arial" w:cs="Arial"/>
                <w:b w:val="0"/>
                <w:bCs w:val="0"/>
                <w:sz w:val="20"/>
                <w:szCs w:val="20"/>
              </w:rPr>
              <w:t>~37% missing preserved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FBF121">
            <w:r>
              <w:rPr>
                <w:rFonts w:ascii="Arial" w:hAnsi="Arial" w:eastAsia="Arial" w:cs="Arial"/>
                <w:b w:val="0"/>
                <w:bCs w:val="0"/>
                <w:sz w:val="20"/>
                <w:szCs w:val="20"/>
              </w:rPr>
              <w:t>5-level discretisation balances resolution and noise</w:t>
            </w:r>
          </w:p>
        </w:tc>
      </w:tr>
      <w:tr w14:paraId="5912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71AB91">
            <w:r>
              <w:rPr>
                <w:rFonts w:ascii="Arial" w:hAnsi="Arial" w:eastAsia="Arial" w:cs="Arial"/>
                <w:b w:val="0"/>
                <w:bCs w:val="0"/>
                <w:sz w:val="20"/>
                <w:szCs w:val="20"/>
              </w:rPr>
              <w:t>2. BPMF/ALS Imputation</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36DA95">
            <w:r>
              <w:rPr>
                <w:rFonts w:ascii="Arial" w:hAnsi="Arial" w:eastAsia="Arial" w:cs="Arial"/>
                <w:b w:val="0"/>
                <w:bCs w:val="0"/>
                <w:sz w:val="20"/>
                <w:szCs w:val="20"/>
              </w:rPr>
              <w:t>Test RMSE=0.013</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4F38B2">
            <w:r>
              <w:rPr>
                <w:rFonts w:ascii="Arial" w:hAnsi="Arial" w:eastAsia="Arial" w:cs="Arial"/>
                <w:b w:val="0"/>
                <w:bCs w:val="0"/>
                <w:sz w:val="20"/>
                <w:szCs w:val="20"/>
              </w:rPr>
              <w:t>ALS fills all missing entries with excellent generalisation</w:t>
            </w:r>
          </w:p>
        </w:tc>
      </w:tr>
      <w:tr w14:paraId="116D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342005">
            <w:r>
              <w:rPr>
                <w:rFonts w:ascii="Arial" w:hAnsi="Arial" w:eastAsia="Arial" w:cs="Arial"/>
                <w:b w:val="0"/>
                <w:bCs w:val="0"/>
                <w:sz w:val="20"/>
                <w:szCs w:val="20"/>
              </w:rPr>
              <w:t>3. PCC Weighting</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1EF664">
            <w:r>
              <w:rPr>
                <w:rFonts w:ascii="Arial" w:hAnsi="Arial" w:eastAsia="Arial" w:cs="Arial"/>
                <w:b w:val="0"/>
                <w:bCs w:val="0"/>
                <w:sz w:val="20"/>
                <w:szCs w:val="20"/>
              </w:rPr>
              <w:t>EV weight=0.46</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9220F0">
            <w:r>
              <w:rPr>
                <w:rFonts w:ascii="Arial" w:hAnsi="Arial" w:eastAsia="Arial" w:cs="Arial"/>
                <w:b w:val="0"/>
                <w:bCs w:val="0"/>
                <w:sz w:val="20"/>
                <w:szCs w:val="20"/>
              </w:rPr>
              <w:t>High-power appliances correctly dominate similarity</w:t>
            </w:r>
          </w:p>
        </w:tc>
      </w:tr>
      <w:tr w14:paraId="1952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BAD7C8">
            <w:r>
              <w:rPr>
                <w:rFonts w:ascii="Arial" w:hAnsi="Arial" w:eastAsia="Arial" w:cs="Arial"/>
                <w:b w:val="0"/>
                <w:bCs w:val="0"/>
                <w:sz w:val="20"/>
                <w:szCs w:val="20"/>
              </w:rPr>
              <w:t>4. SVM Classification</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9980BC">
            <w:r>
              <w:rPr>
                <w:rFonts w:ascii="Arial" w:hAnsi="Arial" w:eastAsia="Arial" w:cs="Arial"/>
                <w:b w:val="0"/>
                <w:bCs w:val="0"/>
                <w:sz w:val="20"/>
                <w:szCs w:val="20"/>
              </w:rPr>
              <w:t>Test ERPS=3.16</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4D7F29">
            <w:r>
              <w:rPr>
                <w:rFonts w:ascii="Arial" w:hAnsi="Arial" w:eastAsia="Arial" w:cs="Arial"/>
                <w:b w:val="0"/>
                <w:bCs w:val="0"/>
                <w:sz w:val="20"/>
                <w:szCs w:val="20"/>
              </w:rPr>
              <w:t>Acceptable; class constraints improve KNN search 10x</w:t>
            </w:r>
          </w:p>
        </w:tc>
      </w:tr>
      <w:tr w14:paraId="3C8A8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01FC84">
            <w:r>
              <w:rPr>
                <w:rFonts w:ascii="Arial" w:hAnsi="Arial" w:eastAsia="Arial" w:cs="Arial"/>
                <w:b w:val="0"/>
                <w:bCs w:val="0"/>
                <w:sz w:val="20"/>
                <w:szCs w:val="20"/>
              </w:rPr>
              <w:t>5. Plan Ratings</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94886D">
            <w:r>
              <w:rPr>
                <w:rFonts w:ascii="Arial" w:hAnsi="Arial" w:eastAsia="Arial" w:cs="Arial"/>
                <w:b w:val="0"/>
                <w:bCs w:val="0"/>
                <w:sz w:val="20"/>
                <w:szCs w:val="20"/>
              </w:rPr>
              <w:t>Range [0,1]</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81564D">
            <w:r>
              <w:rPr>
                <w:rFonts w:ascii="Arial" w:hAnsi="Arial" w:eastAsia="Arial" w:cs="Arial"/>
                <w:b w:val="0"/>
                <w:bCs w:val="0"/>
                <w:sz w:val="20"/>
                <w:szCs w:val="20"/>
              </w:rPr>
              <w:t>Cost-derived ratings: objective, reproducible, no surveys</w:t>
            </w:r>
          </w:p>
        </w:tc>
      </w:tr>
      <w:tr w14:paraId="3A7E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E39758">
            <w:r>
              <w:rPr>
                <w:rFonts w:ascii="Arial" w:hAnsi="Arial" w:eastAsia="Arial" w:cs="Arial"/>
                <w:b w:val="0"/>
                <w:bCs w:val="0"/>
                <w:sz w:val="20"/>
                <w:szCs w:val="20"/>
              </w:rPr>
              <w:t>6. Cosine Similarity</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F12EFC">
            <w:r>
              <w:rPr>
                <w:rFonts w:ascii="Arial" w:hAnsi="Arial" w:eastAsia="Arial" w:cs="Arial"/>
                <w:b w:val="0"/>
                <w:bCs w:val="0"/>
                <w:sz w:val="20"/>
                <w:szCs w:val="20"/>
              </w:rPr>
              <w:t>Mean sim=0.68</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C14F1E">
            <w:r>
              <w:rPr>
                <w:rFonts w:ascii="Arial" w:hAnsi="Arial" w:eastAsia="Arial" w:cs="Arial"/>
                <w:b w:val="0"/>
                <w:bCs w:val="0"/>
                <w:sz w:val="20"/>
                <w:szCs w:val="20"/>
              </w:rPr>
              <w:t>PCC weights correctly amplify EV/AC signal</w:t>
            </w:r>
          </w:p>
        </w:tc>
      </w:tr>
      <w:tr w14:paraId="57A1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48A82A">
            <w:r>
              <w:rPr>
                <w:rFonts w:ascii="Arial" w:hAnsi="Arial" w:eastAsia="Arial" w:cs="Arial"/>
                <w:b w:val="0"/>
                <w:bCs w:val="0"/>
                <w:sz w:val="20"/>
                <w:szCs w:val="20"/>
              </w:rPr>
              <w:t>7. KNN Selection</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4C01B1">
            <w:r>
              <w:rPr>
                <w:rFonts w:ascii="Arial" w:hAnsi="Arial" w:eastAsia="Arial" w:cs="Arial"/>
                <w:b w:val="0"/>
                <w:bCs w:val="0"/>
                <w:sz w:val="20"/>
                <w:szCs w:val="20"/>
              </w:rPr>
              <w:t>K=8, 100% achieved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89E088">
            <w:r>
              <w:rPr>
                <w:rFonts w:ascii="Arial" w:hAnsi="Arial" w:eastAsia="Arial" w:cs="Arial"/>
                <w:b w:val="0"/>
                <w:bCs w:val="0"/>
                <w:sz w:val="20"/>
                <w:szCs w:val="20"/>
              </w:rPr>
              <w:t>Class constraint ensures semantically relevant neighbours</w:t>
            </w:r>
          </w:p>
        </w:tc>
      </w:tr>
      <w:tr w14:paraId="6779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1528BD">
            <w:r>
              <w:rPr>
                <w:rFonts w:ascii="Arial" w:hAnsi="Arial" w:eastAsia="Arial" w:cs="Arial"/>
                <w:b w:val="0"/>
                <w:bCs w:val="0"/>
                <w:sz w:val="20"/>
                <w:szCs w:val="20"/>
              </w:rPr>
              <w:t>8. Memory-Based CF</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4BDF6F">
            <w:r>
              <w:rPr>
                <w:rFonts w:ascii="Arial" w:hAnsi="Arial" w:eastAsia="Arial" w:cs="Arial"/>
                <w:b w:val="0"/>
                <w:bCs w:val="0"/>
                <w:sz w:val="20"/>
                <w:szCs w:val="20"/>
              </w:rPr>
              <w:t>RMSE=0.1105</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AB26FC">
            <w:r>
              <w:rPr>
                <w:rFonts w:ascii="Arial" w:hAnsi="Arial" w:eastAsia="Arial" w:cs="Arial"/>
                <w:b w:val="0"/>
                <w:bCs w:val="0"/>
                <w:sz w:val="20"/>
                <w:szCs w:val="20"/>
              </w:rPr>
              <w:t>Solid performance; Top-5 Precision near-perfect</w:t>
            </w:r>
          </w:p>
        </w:tc>
      </w:tr>
      <w:tr w14:paraId="07D48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253C5DE">
            <w:r>
              <w:rPr>
                <w:rFonts w:ascii="Arial" w:hAnsi="Arial" w:eastAsia="Arial" w:cs="Arial"/>
                <w:b w:val="0"/>
                <w:bCs w:val="0"/>
                <w:sz w:val="20"/>
                <w:szCs w:val="20"/>
              </w:rPr>
              <w:t>9. Model-Based CF</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56A192">
            <w:r>
              <w:rPr>
                <w:rFonts w:ascii="Arial" w:hAnsi="Arial" w:eastAsia="Arial" w:cs="Arial"/>
                <w:b w:val="0"/>
                <w:bCs w:val="0"/>
                <w:sz w:val="20"/>
                <w:szCs w:val="20"/>
              </w:rPr>
              <w:t>RMSE=0.6515</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568B15">
            <w:r>
              <w:rPr>
                <w:rFonts w:ascii="Arial" w:hAnsi="Arial" w:eastAsia="Arial" w:cs="Arial"/>
                <w:b w:val="0"/>
                <w:bCs w:val="0"/>
                <w:sz w:val="20"/>
                <w:szCs w:val="20"/>
              </w:rPr>
              <w:t>Expected weakness on small dense matrix; needed for hybrid</w:t>
            </w:r>
          </w:p>
        </w:tc>
      </w:tr>
      <w:tr w14:paraId="097F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598DCB">
            <w:r>
              <w:rPr>
                <w:rFonts w:ascii="Arial" w:hAnsi="Arial" w:eastAsia="Arial" w:cs="Arial"/>
                <w:b w:val="0"/>
                <w:bCs w:val="0"/>
                <w:sz w:val="20"/>
                <w:szCs w:val="20"/>
              </w:rPr>
              <w:t>10. Hybrid CF</w:t>
            </w:r>
          </w:p>
        </w:tc>
        <w:tc>
          <w:tcPr>
            <w:tcW w:w="2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4C99B1">
            <w:r>
              <w:rPr>
                <w:rFonts w:ascii="Arial" w:hAnsi="Arial" w:eastAsia="Arial" w:cs="Arial"/>
                <w:b w:val="0"/>
                <w:bCs w:val="0"/>
                <w:sz w:val="20"/>
                <w:szCs w:val="20"/>
              </w:rPr>
              <w:t>Precision=1.00</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7F2735">
            <w:r>
              <w:rPr>
                <w:rFonts w:ascii="Arial" w:hAnsi="Arial" w:eastAsia="Arial" w:cs="Arial"/>
                <w:b w:val="0"/>
                <w:bCs w:val="0"/>
                <w:sz w:val="20"/>
                <w:szCs w:val="20"/>
              </w:rPr>
              <w:t>Hybridisation corrects all model-only failures at alpha&gt;=0.1</w:t>
            </w:r>
          </w:p>
        </w:tc>
      </w:tr>
    </w:tbl>
    <w:p w14:paraId="10D9F409"/>
    <w:p w14:paraId="42CA541E">
      <w:pPr>
        <w:pStyle w:val="3"/>
      </w:pPr>
      <w:r>
        <w:rPr>
          <w:rFonts w:ascii="Arial" w:hAnsi="Arial" w:eastAsia="Arial" w:cs="Arial"/>
          <w:b/>
          <w:bCs/>
          <w:sz w:val="26"/>
          <w:szCs w:val="26"/>
        </w:rPr>
        <w:t>7.2 Real-World Applications</w:t>
      </w:r>
    </w:p>
    <w:p w14:paraId="24138BD5">
      <w:pPr>
        <w:spacing w:after="120"/>
      </w:pPr>
      <w:r>
        <w:rPr>
          <w:rFonts w:ascii="Arial" w:hAnsi="Arial" w:eastAsia="Arial" w:cs="Arial"/>
          <w:b w:val="0"/>
          <w:bCs w:val="0"/>
          <w:sz w:val="22"/>
          <w:szCs w:val="22"/>
        </w:rPr>
        <w:t>Newly deregulated electricity markets: Instantly deployable since no historical billing data is required — only a brief appliance usage questionnaire.</w:t>
      </w:r>
    </w:p>
    <w:p w14:paraId="69C42037">
      <w:pPr>
        <w:spacing w:after="120"/>
      </w:pPr>
      <w:r>
        <w:rPr>
          <w:rFonts w:ascii="Arial" w:hAnsi="Arial" w:eastAsia="Arial" w:cs="Arial"/>
          <w:b w:val="0"/>
          <w:bCs w:val="0"/>
          <w:sz w:val="22"/>
          <w:szCs w:val="22"/>
        </w:rPr>
        <w:t>Smart city energy management: Integration with smart-home platforms would allow automatic plan matching based on device usage data already collected.</w:t>
      </w:r>
    </w:p>
    <w:p w14:paraId="71470E5F">
      <w:pPr>
        <w:spacing w:after="120"/>
      </w:pPr>
      <w:r>
        <w:rPr>
          <w:rFonts w:ascii="Arial" w:hAnsi="Arial" w:eastAsia="Arial" w:cs="Arial"/>
          <w:b w:val="0"/>
          <w:bCs w:val="0"/>
          <w:sz w:val="22"/>
          <w:szCs w:val="22"/>
        </w:rPr>
        <w:t>Energy efficiency programs: The framework can recommend energy-saving actions by substituting appliance usage reduction recommendations for plan recommendations.</w:t>
      </w:r>
    </w:p>
    <w:p w14:paraId="63F6C751">
      <w:pPr>
        <w:spacing w:after="120"/>
      </w:pPr>
      <w:r>
        <w:rPr>
          <w:rFonts w:ascii="Arial" w:hAnsi="Arial" w:eastAsia="Arial" w:cs="Arial"/>
          <w:b w:val="0"/>
          <w:bCs w:val="0"/>
          <w:sz w:val="22"/>
          <w:szCs w:val="22"/>
        </w:rPr>
        <w:t>Rural electrification: In developing markets with limited historical data, the feature-based approach enables recommendations from day one of service.</w:t>
      </w:r>
    </w:p>
    <w:p w14:paraId="60EED6C3">
      <w:pPr>
        <w:pStyle w:val="3"/>
      </w:pPr>
      <w:r>
        <w:rPr>
          <w:rFonts w:ascii="Arial" w:hAnsi="Arial" w:eastAsia="Arial" w:cs="Arial"/>
          <w:b/>
          <w:bCs/>
          <w:sz w:val="26"/>
          <w:szCs w:val="26"/>
        </w:rPr>
        <w:t>7.3 Future Directions</w:t>
      </w:r>
    </w:p>
    <w:p w14:paraId="73AEA1DA">
      <w:pPr>
        <w:spacing w:after="120"/>
      </w:pPr>
      <w:r>
        <w:rPr>
          <w:rFonts w:ascii="Arial" w:hAnsi="Arial" w:eastAsia="Arial" w:cs="Arial"/>
          <w:b w:val="0"/>
          <w:bCs w:val="0"/>
          <w:sz w:val="22"/>
          <w:szCs w:val="22"/>
        </w:rPr>
        <w:t>Deep learning extensions: Replacing ALS with neural collaborative filtering (NCF, AutoRec) could capture non-linear latent interactions between users and plans.</w:t>
      </w:r>
    </w:p>
    <w:p w14:paraId="16293201">
      <w:pPr>
        <w:spacing w:after="120"/>
      </w:pPr>
      <w:r>
        <w:rPr>
          <w:rFonts w:ascii="Arial" w:hAnsi="Arial" w:eastAsia="Arial" w:cs="Arial"/>
          <w:b w:val="0"/>
          <w:bCs w:val="0"/>
          <w:sz w:val="22"/>
          <w:szCs w:val="22"/>
        </w:rPr>
        <w:t>Full probabilistic RVM: Replacing SVM with a true Relevance Vector Machine would provide probabilistic class assignments and uncertainty estimates.</w:t>
      </w:r>
    </w:p>
    <w:p w14:paraId="2EB1B2F0">
      <w:pPr>
        <w:spacing w:after="120"/>
      </w:pPr>
      <w:r>
        <w:rPr>
          <w:rFonts w:ascii="Arial" w:hAnsi="Arial" w:eastAsia="Arial" w:cs="Arial"/>
          <w:b w:val="0"/>
          <w:bCs w:val="0"/>
          <w:sz w:val="22"/>
          <w:szCs w:val="22"/>
        </w:rPr>
        <w:t>Real-time dynamic recommendations: Extending the system to update recommendations as appliance usage changes using online learning methods.</w:t>
      </w:r>
    </w:p>
    <w:p w14:paraId="039DE563">
      <w:pPr>
        <w:spacing w:after="120"/>
      </w:pPr>
      <w:r>
        <w:rPr>
          <w:rFonts w:ascii="Arial" w:hAnsi="Arial" w:eastAsia="Arial" w:cs="Arial"/>
          <w:b w:val="0"/>
          <w:bCs w:val="0"/>
          <w:sz w:val="22"/>
          <w:szCs w:val="22"/>
        </w:rPr>
        <w:t>Validation on real datasets: Testing on the public Ausgrid dataset or the full Dataport dataset to confirm results hold for real heterogeneous usage patterns.</w:t>
      </w:r>
    </w:p>
    <w:p w14:paraId="2EFA52BA">
      <w:pPr>
        <w:pStyle w:val="3"/>
      </w:pPr>
      <w:r>
        <w:rPr>
          <w:rFonts w:ascii="Arial" w:hAnsi="Arial" w:eastAsia="Arial" w:cs="Arial"/>
          <w:b/>
          <w:bCs/>
          <w:sz w:val="26"/>
          <w:szCs w:val="26"/>
        </w:rPr>
        <w:t>7.4 Ethical Considerations</w:t>
      </w:r>
    </w:p>
    <w:p w14:paraId="029BC6DA">
      <w:pPr>
        <w:spacing w:after="120"/>
      </w:pPr>
      <w:r>
        <w:rPr>
          <w:rFonts w:ascii="Arial" w:hAnsi="Arial" w:eastAsia="Arial" w:cs="Arial"/>
          <w:b w:val="0"/>
          <w:bCs w:val="0"/>
          <w:sz w:val="22"/>
          <w:szCs w:val="22"/>
        </w:rPr>
        <w:t>Data privacy: Appliance usage profiles are sensitive personal data. Production deployments must comply with GDPR, using data minimisation and anonymisation techniques.</w:t>
      </w:r>
    </w:p>
    <w:p w14:paraId="7AD849AA">
      <w:pPr>
        <w:spacing w:after="120"/>
      </w:pPr>
      <w:r>
        <w:rPr>
          <w:rFonts w:ascii="Arial" w:hAnsi="Arial" w:eastAsia="Arial" w:cs="Arial"/>
          <w:b w:val="0"/>
          <w:bCs w:val="0"/>
          <w:sz w:val="22"/>
          <w:szCs w:val="22"/>
        </w:rPr>
        <w:t>Algorithmic fairness: The system should be audited to ensure it does not systematically disadvantage certain demographic groups. Equal precision across consumption classes is a necessary but not sufficient fairness criterion.</w:t>
      </w:r>
    </w:p>
    <w:p w14:paraId="7D1BA047">
      <w:pPr>
        <w:spacing w:after="120"/>
      </w:pPr>
      <w:r>
        <w:rPr>
          <w:rFonts w:ascii="Arial" w:hAnsi="Arial" w:eastAsia="Arial" w:cs="Arial"/>
          <w:b w:val="0"/>
          <w:bCs w:val="0"/>
          <w:sz w:val="22"/>
          <w:szCs w:val="22"/>
        </w:rPr>
        <w:t>Energy equity: Recommending cheaper plans implicitly encourages higher consumption if the cheapest plan has a very low variable rate. Future work should incorporate carbon-footprint weighting alongside cost minimisation.</w:t>
      </w:r>
    </w:p>
    <w:p w14:paraId="0F8F634F">
      <w:pPr>
        <w:spacing w:after="120"/>
      </w:pPr>
      <w:r>
        <w:rPr>
          <w:rFonts w:ascii="Arial" w:hAnsi="Arial" w:eastAsia="Arial" w:cs="Arial"/>
          <w:b w:val="0"/>
          <w:bCs w:val="0"/>
          <w:sz w:val="22"/>
          <w:szCs w:val="22"/>
        </w:rPr>
        <w:t>Transparency: Users should be able to understand why a specific plan was recommended. Adding explanations (e.g., "P5 is best for you because you use your EV 18 hrs/week") would increase user trust.</w:t>
      </w:r>
    </w:p>
    <w:p w14:paraId="7055BE6F"/>
    <w:p w14:paraId="0FD2A638">
      <w:pPr>
        <w:pStyle w:val="2"/>
      </w:pPr>
      <w:r>
        <w:rPr>
          <w:rFonts w:ascii="Arial" w:hAnsi="Arial" w:eastAsia="Arial" w:cs="Arial"/>
          <w:b/>
          <w:bCs/>
          <w:sz w:val="32"/>
          <w:szCs w:val="32"/>
        </w:rPr>
        <w:t>8. References</w:t>
      </w:r>
    </w:p>
    <w:p w14:paraId="5DBD9415">
      <w:pPr>
        <w:spacing w:after="120"/>
      </w:pPr>
      <w:r>
        <w:rPr>
          <w:rFonts w:ascii="Arial" w:hAnsi="Arial" w:eastAsia="Arial" w:cs="Arial"/>
          <w:b w:val="0"/>
          <w:bCs w:val="0"/>
          <w:sz w:val="22"/>
          <w:szCs w:val="22"/>
        </w:rPr>
        <w:t>[1] Y. Zhang, K. Meng, W. Kong, Z. Y. Dong and F. Qian, "Bayesian Hybrid Collaborative Filtering-Based Residential Electricity Plan Recommender System," IEEE Trans. Ind. Informat., vol. 15, no. 8, pp. 4731-4741, Aug. 2019.</w:t>
      </w:r>
    </w:p>
    <w:p w14:paraId="780A7C1D">
      <w:pPr>
        <w:spacing w:after="120"/>
      </w:pPr>
      <w:r>
        <w:rPr>
          <w:rFonts w:ascii="Arial" w:hAnsi="Arial" w:eastAsia="Arial" w:cs="Arial"/>
          <w:b w:val="0"/>
          <w:bCs w:val="0"/>
          <w:sz w:val="22"/>
          <w:szCs w:val="22"/>
        </w:rPr>
        <w:t>[2] C. C. Aggarwal, Recommender Systems: The Textbook. Springer, 2016.</w:t>
      </w:r>
    </w:p>
    <w:p w14:paraId="3FAD369C">
      <w:pPr>
        <w:spacing w:after="120"/>
      </w:pPr>
      <w:r>
        <w:rPr>
          <w:rFonts w:ascii="Arial" w:hAnsi="Arial" w:eastAsia="Arial" w:cs="Arial"/>
          <w:b w:val="0"/>
          <w:bCs w:val="0"/>
          <w:sz w:val="22"/>
          <w:szCs w:val="22"/>
        </w:rPr>
        <w:t>[3] R. Salakhutdinov and A. Mnih, "Bayesian Probabilistic Matrix Factorization using Markov Chain Monte Carlo," in Proc. 25th ICML, 2008, pp. 880-887.</w:t>
      </w:r>
    </w:p>
    <w:p w14:paraId="1053A957">
      <w:pPr>
        <w:spacing w:after="120"/>
      </w:pPr>
      <w:r>
        <w:rPr>
          <w:rFonts w:ascii="Arial" w:hAnsi="Arial" w:eastAsia="Arial" w:cs="Arial"/>
          <w:b w:val="0"/>
          <w:bCs w:val="0"/>
          <w:sz w:val="22"/>
          <w:szCs w:val="22"/>
        </w:rPr>
        <w:t>[4] M. E. Tipping, "The Relevance Vector Machine," in Advances in NIPS, 2000, pp. 652-658.</w:t>
      </w:r>
    </w:p>
    <w:p w14:paraId="293EC85A">
      <w:pPr>
        <w:spacing w:after="120"/>
      </w:pPr>
      <w:r>
        <w:rPr>
          <w:rFonts w:ascii="Arial" w:hAnsi="Arial" w:eastAsia="Arial" w:cs="Arial"/>
          <w:b w:val="0"/>
          <w:bCs w:val="0"/>
          <w:sz w:val="22"/>
          <w:szCs w:val="22"/>
        </w:rPr>
        <w:t>[5] C. Cortes and V. Vapnik, "Support-Vector Networks," Mach. Learn., vol. 20, no. 3, pp. 273-297, Sep. 1995.</w:t>
      </w:r>
    </w:p>
    <w:p w14:paraId="016A22EF">
      <w:pPr>
        <w:spacing w:after="120"/>
      </w:pPr>
      <w:r>
        <w:rPr>
          <w:rFonts w:ascii="Arial" w:hAnsi="Arial" w:eastAsia="Arial" w:cs="Arial"/>
          <w:b w:val="0"/>
          <w:bCs w:val="0"/>
          <w:sz w:val="22"/>
          <w:szCs w:val="22"/>
        </w:rPr>
        <w:t>[6] Y. Koren, R. Bell and C. Volinsky, "Matrix Factorization Techniques for Recommender Systems," IEEE Comput., vol. 42, no. 8, pp. 30-37, Aug. 2009.</w:t>
      </w:r>
    </w:p>
    <w:p w14:paraId="58338084">
      <w:pPr>
        <w:spacing w:after="120"/>
      </w:pPr>
      <w:r>
        <w:rPr>
          <w:rFonts w:ascii="Arial" w:hAnsi="Arial" w:eastAsia="Arial" w:cs="Arial"/>
          <w:b w:val="0"/>
          <w:bCs w:val="0"/>
          <w:sz w:val="22"/>
          <w:szCs w:val="22"/>
        </w:rPr>
        <w:t>[7] J. Wei et al., "Collaborative Filtering and Deep Learning Based Recommendation System for Cold Start Items," Expert Syst. Appl., vol. 69, pp. 29-39, 2017.</w:t>
      </w:r>
    </w:p>
    <w:p w14:paraId="19C26DCF">
      <w:pPr>
        <w:spacing w:after="120"/>
      </w:pPr>
      <w:r>
        <w:rPr>
          <w:rFonts w:ascii="Arial" w:hAnsi="Arial" w:eastAsia="Arial" w:cs="Arial"/>
          <w:b w:val="0"/>
          <w:bCs w:val="0"/>
          <w:sz w:val="22"/>
          <w:szCs w:val="22"/>
        </w:rPr>
        <w:t>[8] D. Jannach et al., Recommender Systems: An Introduction. Cambridge Univ. Press, 2010.</w:t>
      </w:r>
    </w:p>
    <w:p w14:paraId="23DC62E1">
      <w:pPr>
        <w:spacing w:after="120"/>
      </w:pPr>
      <w:r>
        <w:rPr>
          <w:rFonts w:ascii="Arial" w:hAnsi="Arial" w:eastAsia="Arial" w:cs="Arial"/>
          <w:b w:val="0"/>
          <w:bCs w:val="0"/>
          <w:sz w:val="22"/>
          <w:szCs w:val="22"/>
        </w:rPr>
        <w:t>[9] H. Ko et al., "A Survey of Recommendation Systems," Electronics, vol. 11, no. 1, p. 141, Jan. 2022.</w:t>
      </w:r>
    </w:p>
    <w:p w14:paraId="1127E524">
      <w:pPr>
        <w:spacing w:after="120"/>
      </w:pPr>
      <w:r>
        <w:rPr>
          <w:rFonts w:ascii="Arial" w:hAnsi="Arial" w:eastAsia="Arial" w:cs="Arial"/>
          <w:b w:val="0"/>
          <w:bCs w:val="0"/>
          <w:sz w:val="22"/>
          <w:szCs w:val="22"/>
        </w:rPr>
        <w:t>[10] F. Zhang et al., "Collaborative Knowledge Base Embedding for Recommender Systems," in Proc. ACM SIGKDD, 2016, pp. 353-362.</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417F9">
    <w:pPr>
      <w:pBdr>
        <w:top w:val="single" w:color="2E75B6" w:sz="6" w:space="1"/>
      </w:pBdr>
    </w:pPr>
    <w:r>
      <w:rPr>
        <w:rFonts w:ascii="Arial" w:hAnsi="Arial" w:eastAsia="Arial" w:cs="Arial"/>
        <w:color w:val="666666"/>
        <w:sz w:val="18"/>
        <w:szCs w:val="18"/>
      </w:rPr>
      <w:t xml:space="preserve">BHCF-EPRS Final Report  |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960A8">
    <w:pPr>
      <w:pBdr>
        <w:bottom w:val="single" w:color="2E75B6" w:sz="6" w:space="1"/>
      </w:pBdr>
    </w:pPr>
    <w:r>
      <w:rPr>
        <w:rFonts w:ascii="Arial" w:hAnsi="Arial" w:eastAsia="Arial" w:cs="Arial"/>
        <w:color w:val="666666"/>
        <w:sz w:val="18"/>
        <w:szCs w:val="18"/>
      </w:rPr>
      <w:t>BHCF-EPRS  |  Final Project Report  |  Recommender Systems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334902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20"/>
      <w:outlineLvl w:val="0"/>
    </w:pPr>
    <w:rPr>
      <w:rFonts w:ascii="Arial" w:hAnsi="Arial" w:eastAsia="Arial" w:cs="Arial"/>
      <w:b/>
      <w:bCs/>
      <w:color w:val="1F3864"/>
      <w:sz w:val="32"/>
      <w:szCs w:val="32"/>
    </w:rPr>
  </w:style>
  <w:style w:type="paragraph" w:styleId="3">
    <w:name w:val="heading 2"/>
    <w:next w:val="1"/>
    <w:qFormat/>
    <w:uiPriority w:val="0"/>
    <w:pPr>
      <w:spacing w:before="200" w:after="100"/>
      <w:outlineLvl w:val="1"/>
    </w:pPr>
    <w:rPr>
      <w:rFonts w:ascii="Arial" w:hAnsi="Arial" w:eastAsia="Arial" w:cs="Arial"/>
      <w:b/>
      <w:bCs/>
      <w:color w:val="2E75B6"/>
      <w:sz w:val="26"/>
      <w:szCs w:val="26"/>
    </w:rPr>
  </w:style>
  <w:style w:type="paragraph" w:styleId="4">
    <w:name w:val="heading 3"/>
    <w:next w:val="1"/>
    <w:qFormat/>
    <w:uiPriority w:val="0"/>
    <w:pPr>
      <w:spacing w:before="160" w:after="80"/>
      <w:outlineLvl w:val="2"/>
    </w:pPr>
    <w:rPr>
      <w:rFonts w:ascii="Arial" w:hAnsi="Arial" w:eastAsia="Arial" w:cs="Arial"/>
      <w:b/>
      <w:bCs/>
      <w:color w:val="37562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2008</Words>
  <Characters>11797</Characters>
  <TotalTime>0</TotalTime>
  <ScaleCrop>false</ScaleCrop>
  <LinksUpToDate>false</LinksUpToDate>
  <CharactersWithSpaces>13624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2026-06-19T20:46:00Z</dcterms:created>
  <dc:creator>Un-named</dc:creator>
  <cp:lastModifiedBy>Nagihan</cp:lastModifiedBy>
  <dcterms:modified xsi:type="dcterms:W3CDTF">2026-07-07T23:25:34Z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eyJoZGlkIjoiYjJmM2ZjOGVjOTkxNzZmMWViMDNiZjdlMjVkNzhkNjYiLCJ1c2VySWQiOiI4ODEzODM3MTA1MzQxIn0=</vt:lpwstr>
  </property>
  <property fmtid="{D5CDD505-2E9C-101B-9397-08002B2CF9AE}" pid="3" name="KSOProductBuildVer">
    <vt:lpwstr>1033-12.1.0.26880</vt:lpwstr>
  </property>
  <property fmtid="{D5CDD505-2E9C-101B-9397-08002B2CF9AE}" pid="4" name="ICV">
    <vt:lpwstr>1CF2484D159C4DACB7DA74A88A22F38A_12</vt:lpwstr>
  </property>
</Properties>
</file>