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C221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Report 2 — One-Page Summary:</w:t>
      </w:r>
    </w:p>
    <w:p w14:paraId="505F7A39">
      <w:pPr>
        <w:spacing w:before="0" w:after="80"/>
        <w:jc w:val="center"/>
      </w:pPr>
      <w:r>
        <w:rPr>
          <w:rFonts w:ascii="Arial" w:hAnsi="Arial" w:eastAsia="Arial" w:cs="Arial"/>
          <w:b/>
          <w:bCs/>
          <w:sz w:val="30"/>
          <w:szCs w:val="30"/>
        </w:rPr>
        <w:t>Differences Between Midterm and Final Project</w:t>
      </w:r>
    </w:p>
    <w:p w14:paraId="39023BB8">
      <w:pPr>
        <w:spacing w:after="6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BHCF-EPRS</w:t>
      </w:r>
      <w:r>
        <w:rPr>
          <w:rFonts w:hint="default" w:cs="Arial"/>
          <w:color w:val="555555"/>
          <w:sz w:val="18"/>
          <w:szCs w:val="18"/>
          <w:lang w:val="tr-TR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color w:val="555555"/>
          <w:sz w:val="18"/>
          <w:szCs w:val="18"/>
        </w:rPr>
        <w:t xml:space="preserve"> Muhammed Miraç Taştan</w:t>
      </w:r>
    </w:p>
    <w:p w14:paraId="54A4429C"/>
    <w:p w14:paraId="643F38EB">
      <w:pPr>
        <w:spacing w:after="12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This document summarises the key changes made between the midterm project submission and the final project. Improvements span six dimensions: code architecture, evaluation rigour, analysis depth, visualisation completeness, report structure, and reproducibility.</w:t>
      </w:r>
    </w:p>
    <w:p w14:paraId="24A6E395"/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8"/>
        <w:gridCol w:w="1439"/>
        <w:gridCol w:w="3065"/>
        <w:gridCol w:w="3488"/>
      </w:tblGrid>
      <w:tr w14:paraId="5F39D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25D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2C0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E2A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Midterm Version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416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Final Version</w:t>
            </w:r>
          </w:p>
        </w:tc>
      </w:tr>
      <w:tr w14:paraId="12C38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0B6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Code Architecture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59E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Structure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0DF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Procedural scripts with global variables and inline concept blocks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9D6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OOP: all 10 concepts encapsulated in BHCF_EPRS_Recommender class with clean method interfaces</w:t>
            </w:r>
          </w:p>
        </w:tc>
      </w:tr>
      <w:tr w14:paraId="2A08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CF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Code Architecture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71C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Modularity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419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Concepts executed linearly; no reuse possible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C7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Each method independently callable: e.g., impute_missing_features() can be swapped for a different imputer without touching other methods</w:t>
            </w:r>
          </w:p>
        </w:tc>
      </w:tr>
      <w:tr w14:paraId="4619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E5F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Evaluation — BPMF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E3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RMSE tracking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980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Only training RMSE reported; no held-out convergence validation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D8C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Separate 20%-hold-out of observed entries tracked throughout ALS iterations. Both train and test RMSE plotted in Figure 2.</w:t>
            </w:r>
          </w:p>
        </w:tc>
      </w:tr>
      <w:tr w14:paraId="6AFA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55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Evaluation — BPMF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CF9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Result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AFD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Train RMSE ~0.0015; test RMSE ~0.362 (post-hoc estimate)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F0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Train RMSE 0.0151; test RMSE 0.0134 — honest within-training convergence validation</w:t>
            </w:r>
          </w:p>
        </w:tc>
      </w:tr>
      <w:tr w14:paraId="4F31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1D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Evaluation — Memory CF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CE1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 range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9E6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 sensitivity tested for K=1..8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7DC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 sensitivity extended to K=1..15 via k_sensitivity() method; confirms plateau persists to K=15</w:t>
            </w:r>
          </w:p>
        </w:tc>
      </w:tr>
      <w:tr w14:paraId="70C7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A59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Evaluation — Model CF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8B0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Convergence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9E6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Convergence not tracked per iteration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167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Train and test RMSE tracked every 30 iterations; plotted in Figure 9 to confirm model convergence</w:t>
            </w:r>
          </w:p>
        </w:tc>
      </w:tr>
      <w:tr w14:paraId="4541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B9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Sensitivity Analysis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12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Coverage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A69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Covered D, lambda, alpha (qualitative description)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09C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quantitative grid: D in {2,4,6,8,10,12,15,20}; lambda in {0.001,0.005,0.01,0.02,0.05,0.1,0.2}; alpha=0..1; K=1..15; SVM C=0.1..10</w:t>
            </w:r>
          </w:p>
        </w:tc>
      </w:tr>
      <w:tr w14:paraId="4E54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C4B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Visualisations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DA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Count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5C2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 figures described in text; not all generated programmatically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D6B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 figures all generated and saved by the pipeline: fig01..fig12. All referenced in Report_1.</w:t>
            </w:r>
          </w:p>
        </w:tc>
      </w:tr>
      <w:tr w14:paraId="41FD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CB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Visualisations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29D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Figure 2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47F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Showed only training RMSE convergence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6F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Shows both train and test RMSE on separate held-out observed subset</w:t>
            </w:r>
          </w:p>
        </w:tc>
      </w:tr>
      <w:tr w14:paraId="6ED2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AFC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Visualisations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11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Figure 8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84F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 vs RMSE for K=1..8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474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 vs RMSE for K=1..15; scatter plot of true vs predicted ratings for full test set</w:t>
            </w:r>
          </w:p>
        </w:tc>
      </w:tr>
      <w:tr w14:paraId="2A70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1E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 Structure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11B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 1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A4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Single combined midterm report (Methodology + Results combined)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1E9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Report_1 reorganised into: Abstract, Introduction, Related Work (via references), Proposed Approach, Experiment Design, Performance Analysis, Conclusion, References</w:t>
            </w:r>
          </w:p>
        </w:tc>
      </w:tr>
      <w:tr w14:paraId="7137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67D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 Structure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285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New reports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1A3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Report_2 or Report_3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64D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Report_2 (this document) and Report_3 (line-by-line code explanation) added as required</w:t>
            </w:r>
          </w:p>
        </w:tc>
      </w:tr>
      <w:tr w14:paraId="4A8A2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2C1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Reproducibility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B8E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Seeds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044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Seeds 42 and 0 used but not consolidated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2A2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Seeds explicitly documented in code header and README; all random calls traceable to a single global np.random.seed(42)</w:t>
            </w:r>
          </w:p>
        </w:tc>
      </w:tr>
      <w:tr w14:paraId="5282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20D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Reproducibility</w:t>
            </w:r>
          </w:p>
        </w:tc>
        <w:tc>
          <w:tcPr>
            <w:tcW w:w="1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79F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README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015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README provided</w:t>
            </w:r>
          </w:p>
        </w:tc>
        <w:tc>
          <w:tcPr>
            <w:tcW w:w="32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C69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README.md added: full installation steps, dependency list, run instructions, expected outputs</w:t>
            </w:r>
          </w:p>
        </w:tc>
      </w:tr>
    </w:tbl>
    <w:p w14:paraId="5EAF8F80"/>
    <w:p w14:paraId="7255875F">
      <w:pPr>
        <w:spacing w:after="12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Summary: The final project represents a substantial improvement in engineering quality, evaluation rigour, and documentation completeness. The core algorithmic approach remains identical to the midterm — the BHCF-EPRS pipeline with all 10 concepts — but every component has been hardened, validated more rigorously, and documented more thoroughly. The Top-5 Precision of 1.00 at alpha &gt;= 0.1 is confirmed under stricter evaluation conditions.</w:t>
      </w:r>
    </w:p>
    <w:p w14:paraId="2B5C176D"/>
    <w:p w14:paraId="26EECF79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>What did NOT change from midterm to final:</w:t>
      </w:r>
    </w:p>
    <w:p w14:paraId="0FA679A1">
      <w:pPr>
        <w:spacing w:after="12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(1) The ten core concepts and their algorithms remain unchanged. (2) The synthetic dataset generation procedure is identical. (3) The mathematical formulas for PCC, cosine similarity, ALS, hybrid CF, and Top-N precision are the same. (4) The final recommendation output format is unchanged. (5) The reference paper (Zhang et al. 2019) and textbook (Aggarwal 2016) remain the primary sources.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0C4D8">
    <w:pPr>
      <w:pBdr>
        <w:top w:val="single" w:color="2E75B6" w:sz="6" w:space="1"/>
      </w:pBdr>
    </w:pPr>
    <w:r>
      <w:rPr>
        <w:rFonts w:ascii="Arial" w:hAnsi="Arial" w:eastAsia="Arial" w:cs="Arial"/>
        <w:color w:val="666666"/>
        <w:sz w:val="18"/>
        <w:szCs w:val="18"/>
      </w:rPr>
      <w:t xml:space="preserve">BHCF-EPRS  |  Report 2  |  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4D35E">
    <w:pPr>
      <w:pBdr>
        <w:bottom w:val="single" w:color="2E75B6" w:sz="6" w:space="1"/>
      </w:pBdr>
    </w:pPr>
    <w:r>
      <w:rPr>
        <w:rFonts w:ascii="Arial" w:hAnsi="Arial" w:eastAsia="Arial" w:cs="Arial"/>
        <w:color w:val="666666"/>
        <w:sz w:val="18"/>
        <w:szCs w:val="18"/>
      </w:rPr>
      <w:t>BHCF-EPRS  |  Report 2 — Midterm vs Final Comparison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2385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528</Words>
  <Characters>3321</Characters>
  <TotalTime>0</TotalTime>
  <ScaleCrop>false</ScaleCrop>
  <LinksUpToDate>false</LinksUpToDate>
  <CharactersWithSpaces>3782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2026-06-19T20:47:00Z</dcterms:created>
  <dc:creator>Un-named</dc:creator>
  <cp:lastModifiedBy>Nagihan</cp:lastModifiedBy>
  <dcterms:modified xsi:type="dcterms:W3CDTF">2026-07-07T23:26:09Z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eyJoZGlkIjoiYjJmM2ZjOGVjOTkxNzZmMWViMDNiZjdlMjVkNzhkNjYiLCJ1c2VySWQiOiI4ODEzODM3MTA1MzQxIn0=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A6A021FA4D1A4997B5B3592251615E8F_13</vt:lpwstr>
  </property>
</Properties>
</file>