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A2B4A"/>
          <w:sz w:val="34"/>
          <w:szCs w:val="34"/>
        </w:rPr>
        <w:t xml:space="preserve">INFORMATION SECURITY COMPLIANCE DECLARATION</w:t>
      </w:r>
    </w:p>
    <w:p>
      <w:pPr>
        <w:spacing w:before="0" w:after="60"/>
        <w:jc w:val="center"/>
      </w:pPr>
      <w:r>
        <w:rPr>
          <w:rFonts w:ascii="Arial" w:cs="Arial" w:eastAsia="Arial" w:hAnsi="Arial"/>
          <w:b/>
          <w:bCs/>
          <w:color w:val="0D9488"/>
          <w:sz w:val="26"/>
          <w:szCs w:val="26"/>
        </w:rPr>
        <w:t xml:space="preserve">RFPDraft Solutions Pvt. Ltd.</w:t>
      </w:r>
    </w:p>
    <w:p>
      <w:pPr>
        <w:spacing w:before="0" w:after="200"/>
        <w:jc w:val="center"/>
      </w:pPr>
      <w:r>
        <w:rPr>
          <w:rFonts w:ascii="Arial" w:cs="Arial" w:eastAsia="Arial" w:hAnsi="Arial"/>
          <w:i/>
          <w:iCs/>
          <w:color w:val="64748B"/>
          <w:sz w:val="18"/>
          <w:szCs w:val="18"/>
        </w:rPr>
        <w:t xml:space="preserve">Document Ref: RFP-COMP-2025-007 | Issued: 10 January 2025 | Valid through: 31 December 2025</w:t>
      </w:r>
    </w:p>
    <w:p>
      <w:pPr>
        <w:pStyle w:val="Heading1"/>
        <w:pBdr>
          <w:bottom w:val="single" w:color="0D9488" w:sz="4" w:space="4"/>
        </w:pBdr>
        <w:spacing w:before="320" w:after="120"/>
      </w:pPr>
      <w:r>
        <w:rPr>
          <w:rFonts w:ascii="Arial" w:cs="Arial" w:eastAsia="Arial" w:hAnsi="Arial"/>
          <w:b/>
          <w:bCs/>
          <w:color w:val="1A2B4A"/>
          <w:sz w:val="30"/>
          <w:szCs w:val="30"/>
        </w:rPr>
        <w:t xml:space="preserve">1. ISO/IEC 27001:2022 Certification</w:t>
      </w:r>
    </w:p>
    <w:p>
      <w:pPr>
        <w:spacing w:before="60" w:after="80"/>
      </w:pPr>
      <w:r>
        <w:rPr>
          <w:rFonts w:ascii="Arial" w:cs="Arial" w:eastAsia="Arial" w:hAnsi="Arial"/>
          <w:b/>
          <w:bCs/>
          <w:color w:val="1A2B4A"/>
          <w:sz w:val="21"/>
          <w:szCs w:val="21"/>
        </w:rPr>
        <w:t xml:space="preserve">Certification Status: </w:t>
      </w:r>
      <w:r>
        <w:rPr>
          <w:rFonts w:ascii="Arial" w:cs="Arial" w:eastAsia="Arial" w:hAnsi="Arial"/>
          <w:color w:val="1E293B"/>
          <w:sz w:val="21"/>
          <w:szCs w:val="21"/>
        </w:rPr>
        <w:t xml:space="preserve">CERTIFIED — Active</w:t>
      </w:r>
    </w:p>
    <w:p>
      <w:pPr>
        <w:spacing w:before="60" w:after="80"/>
      </w:pPr>
      <w:r>
        <w:rPr>
          <w:rFonts w:ascii="Arial" w:cs="Arial" w:eastAsia="Arial" w:hAnsi="Arial"/>
          <w:b/>
          <w:bCs/>
          <w:color w:val="1A2B4A"/>
          <w:sz w:val="21"/>
          <w:szCs w:val="21"/>
        </w:rPr>
        <w:t xml:space="preserve">Certification Body: </w:t>
      </w:r>
      <w:r>
        <w:rPr>
          <w:rFonts w:ascii="Arial" w:cs="Arial" w:eastAsia="Arial" w:hAnsi="Arial"/>
          <w:color w:val="1E293B"/>
          <w:sz w:val="21"/>
          <w:szCs w:val="21"/>
        </w:rPr>
        <w:t xml:space="preserve">Bureau Veritas Certification India Pvt. Ltd.</w:t>
      </w:r>
    </w:p>
    <w:p>
      <w:pPr>
        <w:spacing w:before="60" w:after="80"/>
      </w:pPr>
      <w:r>
        <w:rPr>
          <w:rFonts w:ascii="Arial" w:cs="Arial" w:eastAsia="Arial" w:hAnsi="Arial"/>
          <w:b/>
          <w:bCs/>
          <w:color w:val="1A2B4A"/>
          <w:sz w:val="21"/>
          <w:szCs w:val="21"/>
        </w:rPr>
        <w:t xml:space="preserve">Certificate Number: </w:t>
      </w:r>
      <w:r>
        <w:rPr>
          <w:rFonts w:ascii="Arial" w:cs="Arial" w:eastAsia="Arial" w:hAnsi="Arial"/>
          <w:color w:val="1E293B"/>
          <w:sz w:val="21"/>
          <w:szCs w:val="21"/>
        </w:rPr>
        <w:t xml:space="preserve">BV-IS27K-2024-IN-00412</w:t>
      </w:r>
    </w:p>
    <w:p>
      <w:pPr>
        <w:spacing w:before="60" w:after="80"/>
      </w:pPr>
      <w:r>
        <w:rPr>
          <w:rFonts w:ascii="Arial" w:cs="Arial" w:eastAsia="Arial" w:hAnsi="Arial"/>
          <w:b/>
          <w:bCs/>
          <w:color w:val="1A2B4A"/>
          <w:sz w:val="21"/>
          <w:szCs w:val="21"/>
        </w:rPr>
        <w:t xml:space="preserve">Initial Certification Date: </w:t>
      </w:r>
      <w:r>
        <w:rPr>
          <w:rFonts w:ascii="Arial" w:cs="Arial" w:eastAsia="Arial" w:hAnsi="Arial"/>
          <w:color w:val="1E293B"/>
          <w:sz w:val="21"/>
          <w:szCs w:val="21"/>
        </w:rPr>
        <w:t xml:space="preserve">14 March 2023</w:t>
      </w:r>
    </w:p>
    <w:p>
      <w:pPr>
        <w:spacing w:before="60" w:after="80"/>
      </w:pPr>
      <w:r>
        <w:rPr>
          <w:rFonts w:ascii="Arial" w:cs="Arial" w:eastAsia="Arial" w:hAnsi="Arial"/>
          <w:b/>
          <w:bCs/>
          <w:color w:val="1A2B4A"/>
          <w:sz w:val="21"/>
          <w:szCs w:val="21"/>
        </w:rPr>
        <w:t xml:space="preserve">Current Certificate Expiry: </w:t>
      </w:r>
      <w:r>
        <w:rPr>
          <w:rFonts w:ascii="Arial" w:cs="Arial" w:eastAsia="Arial" w:hAnsi="Arial"/>
          <w:color w:val="1E293B"/>
          <w:sz w:val="21"/>
          <w:szCs w:val="21"/>
        </w:rPr>
        <w:t xml:space="preserve">13 March 2026</w:t>
      </w:r>
    </w:p>
    <w:p>
      <w:pPr>
        <w:spacing w:before="60" w:after="80"/>
      </w:pPr>
      <w:r>
        <w:rPr>
          <w:rFonts w:ascii="Arial" w:cs="Arial" w:eastAsia="Arial" w:hAnsi="Arial"/>
          <w:b/>
          <w:bCs/>
          <w:color w:val="1A2B4A"/>
          <w:sz w:val="21"/>
          <w:szCs w:val="21"/>
        </w:rPr>
        <w:t xml:space="preserve">Scope: </w:t>
      </w:r>
      <w:r>
        <w:rPr>
          <w:rFonts w:ascii="Arial" w:cs="Arial" w:eastAsia="Arial" w:hAnsi="Arial"/>
          <w:color w:val="1E293B"/>
          <w:sz w:val="21"/>
          <w:szCs w:val="21"/>
        </w:rPr>
        <w:t xml:space="preserve">Design, development, and operation of the RFPDraft SaaS platform, including cloud infrastructure, data processing, and customer support operations</w:t>
      </w:r>
    </w:p>
    <w:p>
      <w:pPr>
        <w:spacing w:before="60" w:after="100"/>
      </w:pPr>
      <w:r>
        <w:rPr>
          <w:rFonts w:ascii="Arial" w:cs="Arial" w:eastAsia="Arial" w:hAnsi="Arial"/>
          <w:color w:val="1E293B"/>
          <w:sz w:val="21"/>
          <w:szCs w:val="21"/>
        </w:rPr>
        <w:t xml:space="preserve">ISO 27001:2022 certification confirms that RFPDraft maintains a comprehensive Information Security Management System (ISMS) covering risk assessment, asset management, access control, cryptography, physical security, operations security, communications security, and incident management.</w:t>
      </w:r>
    </w:p>
    <w:p>
      <w:pPr>
        <w:pStyle w:val="Heading1"/>
        <w:pBdr>
          <w:bottom w:val="single" w:color="0D9488" w:sz="4" w:space="4"/>
        </w:pBdr>
        <w:spacing w:before="320" w:after="120"/>
      </w:pPr>
      <w:r>
        <w:rPr>
          <w:rFonts w:ascii="Arial" w:cs="Arial" w:eastAsia="Arial" w:hAnsi="Arial"/>
          <w:b/>
          <w:bCs/>
          <w:color w:val="1A2B4A"/>
          <w:sz w:val="30"/>
          <w:szCs w:val="30"/>
        </w:rPr>
        <w:t xml:space="preserve">2. SOC 2 Type II Compliance</w:t>
      </w:r>
    </w:p>
    <w:p>
      <w:pPr>
        <w:spacing w:before="60" w:after="80"/>
      </w:pPr>
      <w:r>
        <w:rPr>
          <w:rFonts w:ascii="Arial" w:cs="Arial" w:eastAsia="Arial" w:hAnsi="Arial"/>
          <w:b/>
          <w:bCs/>
          <w:color w:val="1A2B4A"/>
          <w:sz w:val="21"/>
          <w:szCs w:val="21"/>
        </w:rPr>
        <w:t xml:space="preserve">Status: </w:t>
      </w:r>
      <w:r>
        <w:rPr>
          <w:rFonts w:ascii="Arial" w:cs="Arial" w:eastAsia="Arial" w:hAnsi="Arial"/>
          <w:color w:val="1E293B"/>
          <w:sz w:val="21"/>
          <w:szCs w:val="21"/>
        </w:rPr>
        <w:t xml:space="preserve">SOC 2 Type II Report Available — Under NDA</w:t>
      </w:r>
    </w:p>
    <w:p>
      <w:pPr>
        <w:spacing w:before="60" w:after="80"/>
      </w:pPr>
      <w:r>
        <w:rPr>
          <w:rFonts w:ascii="Arial" w:cs="Arial" w:eastAsia="Arial" w:hAnsi="Arial"/>
          <w:b/>
          <w:bCs/>
          <w:color w:val="1A2B4A"/>
          <w:sz w:val="21"/>
          <w:szCs w:val="21"/>
        </w:rPr>
        <w:t xml:space="preserve">Audit Period: </w:t>
      </w:r>
      <w:r>
        <w:rPr>
          <w:rFonts w:ascii="Arial" w:cs="Arial" w:eastAsia="Arial" w:hAnsi="Arial"/>
          <w:color w:val="1E293B"/>
          <w:sz w:val="21"/>
          <w:szCs w:val="21"/>
        </w:rPr>
        <w:t xml:space="preserve">1 October 2023 – 30 September 2024</w:t>
      </w:r>
    </w:p>
    <w:p>
      <w:pPr>
        <w:spacing w:before="60" w:after="80"/>
      </w:pPr>
      <w:r>
        <w:rPr>
          <w:rFonts w:ascii="Arial" w:cs="Arial" w:eastAsia="Arial" w:hAnsi="Arial"/>
          <w:b/>
          <w:bCs/>
          <w:color w:val="1A2B4A"/>
          <w:sz w:val="21"/>
          <w:szCs w:val="21"/>
        </w:rPr>
        <w:t xml:space="preserve">Auditing Firm: </w:t>
      </w:r>
      <w:r>
        <w:rPr>
          <w:rFonts w:ascii="Arial" w:cs="Arial" w:eastAsia="Arial" w:hAnsi="Arial"/>
          <w:color w:val="1E293B"/>
          <w:sz w:val="21"/>
          <w:szCs w:val="21"/>
        </w:rPr>
        <w:t xml:space="preserve">KPMG Assurance and Consulting Services LLP</w:t>
      </w:r>
    </w:p>
    <w:p>
      <w:pPr>
        <w:spacing w:before="60" w:after="80"/>
      </w:pPr>
      <w:r>
        <w:rPr>
          <w:rFonts w:ascii="Arial" w:cs="Arial" w:eastAsia="Arial" w:hAnsi="Arial"/>
          <w:b/>
          <w:bCs/>
          <w:color w:val="1A2B4A"/>
          <w:sz w:val="21"/>
          <w:szCs w:val="21"/>
        </w:rPr>
        <w:t xml:space="preserve">Trust Service Categories: </w:t>
      </w:r>
      <w:r>
        <w:rPr>
          <w:rFonts w:ascii="Arial" w:cs="Arial" w:eastAsia="Arial" w:hAnsi="Arial"/>
          <w:color w:val="1E293B"/>
          <w:sz w:val="21"/>
          <w:szCs w:val="21"/>
        </w:rPr>
        <w:t xml:space="preserve">Security, Availability, Confidentiality</w:t>
      </w:r>
    </w:p>
    <w:p>
      <w:pPr>
        <w:spacing w:before="60" w:after="80"/>
      </w:pPr>
      <w:r>
        <w:rPr>
          <w:rFonts w:ascii="Arial" w:cs="Arial" w:eastAsia="Arial" w:hAnsi="Arial"/>
          <w:b/>
          <w:bCs/>
          <w:color w:val="1A2B4A"/>
          <w:sz w:val="21"/>
          <w:szCs w:val="21"/>
        </w:rPr>
        <w:t xml:space="preserve">Report Availability: </w:t>
      </w:r>
      <w:r>
        <w:rPr>
          <w:rFonts w:ascii="Arial" w:cs="Arial" w:eastAsia="Arial" w:hAnsi="Arial"/>
          <w:color w:val="1E293B"/>
          <w:sz w:val="21"/>
          <w:szCs w:val="21"/>
        </w:rPr>
        <w:t xml:space="preserve">Available to qualified enterprise prospects upon execution of NDA</w:t>
      </w:r>
    </w:p>
    <w:p>
      <w:pPr>
        <w:spacing w:before="60" w:after="100"/>
      </w:pPr>
      <w:r>
        <w:rPr>
          <w:rFonts w:ascii="Arial" w:cs="Arial" w:eastAsia="Arial" w:hAnsi="Arial"/>
          <w:color w:val="1E293B"/>
          <w:sz w:val="21"/>
          <w:szCs w:val="21"/>
        </w:rPr>
        <w:t xml:space="preserve">The SOC 2 Type II examination covered a 12-month period and assessed the design and operating effectiveness of controls related to the Security, Availability, and Confidentiality trust service criteria. No exceptions were noted in the final report.</w:t>
      </w:r>
    </w:p>
    <w:p>
      <w:pPr>
        <w:pStyle w:val="Heading1"/>
        <w:pBdr>
          <w:bottom w:val="single" w:color="0D9488" w:sz="4" w:space="4"/>
        </w:pBdr>
        <w:spacing w:before="320" w:after="120"/>
      </w:pPr>
      <w:r>
        <w:rPr>
          <w:rFonts w:ascii="Arial" w:cs="Arial" w:eastAsia="Arial" w:hAnsi="Arial"/>
          <w:b/>
          <w:bCs/>
          <w:color w:val="1A2B4A"/>
          <w:sz w:val="30"/>
          <w:szCs w:val="30"/>
        </w:rPr>
        <w:t xml:space="preserve">3. Data Protection &amp; Privacy Compliance</w:t>
      </w:r>
    </w:p>
    <w:p>
      <w:pPr>
        <w:pStyle w:val="Heading2"/>
        <w:spacing w:before="200" w:after="80"/>
      </w:pPr>
      <w:r>
        <w:rPr>
          <w:rFonts w:ascii="Arial" w:cs="Arial" w:eastAsia="Arial" w:hAnsi="Arial"/>
          <w:b/>
          <w:bCs/>
          <w:color w:val="0D9488"/>
          <w:sz w:val="24"/>
          <w:szCs w:val="24"/>
        </w:rPr>
        <w:t xml:space="preserve">3.1 India DPDP Act, 2023</w:t>
      </w:r>
    </w:p>
    <w:p>
      <w:pPr>
        <w:spacing w:before="60" w:after="100"/>
      </w:pPr>
      <w:r>
        <w:rPr>
          <w:rFonts w:ascii="Arial" w:cs="Arial" w:eastAsia="Arial" w:hAnsi="Arial"/>
          <w:color w:val="1E293B"/>
          <w:sz w:val="21"/>
          <w:szCs w:val="21"/>
        </w:rPr>
        <w:t xml:space="preserve">RFPDraft is fully compliant with the Digital Personal Data Protection Act, 2023 (India). Key measures in place:</w:t>
      </w:r>
    </w:p>
    <w:p>
      <w:pPr>
        <w:pStyle w:val="ListParagraph"/>
        <w:numPr>
          <w:ilvl w:val="0"/>
          <w:numId w:val="2"/>
        </w:numPr>
        <w:spacing w:before="40" w:after="60"/>
      </w:pPr>
      <w:r>
        <w:rPr>
          <w:rFonts w:ascii="Arial" w:cs="Arial" w:eastAsia="Arial" w:hAnsi="Arial"/>
          <w:color w:val="1E293B"/>
          <w:sz w:val="21"/>
          <w:szCs w:val="21"/>
        </w:rPr>
        <w:t xml:space="preserve">Explicit consent mechanisms for all personal data collection</w:t>
      </w:r>
    </w:p>
    <w:p>
      <w:pPr>
        <w:pStyle w:val="ListParagraph"/>
        <w:numPr>
          <w:ilvl w:val="0"/>
          <w:numId w:val="2"/>
        </w:numPr>
        <w:spacing w:before="40" w:after="60"/>
      </w:pPr>
      <w:r>
        <w:rPr>
          <w:rFonts w:ascii="Arial" w:cs="Arial" w:eastAsia="Arial" w:hAnsi="Arial"/>
          <w:color w:val="1E293B"/>
          <w:sz w:val="21"/>
          <w:szCs w:val="21"/>
        </w:rPr>
        <w:t xml:space="preserve">Data Principal rights: access, correction, erasure, and grievance redressal</w:t>
      </w:r>
    </w:p>
    <w:p>
      <w:pPr>
        <w:pStyle w:val="ListParagraph"/>
        <w:numPr>
          <w:ilvl w:val="0"/>
          <w:numId w:val="2"/>
        </w:numPr>
        <w:spacing w:before="40" w:after="60"/>
      </w:pPr>
      <w:r>
        <w:rPr>
          <w:rFonts w:ascii="Arial" w:cs="Arial" w:eastAsia="Arial" w:hAnsi="Arial"/>
          <w:color w:val="1E293B"/>
          <w:sz w:val="21"/>
          <w:szCs w:val="21"/>
        </w:rPr>
        <w:t xml:space="preserve">Data Fiduciary obligations: purpose limitation, storage limitation, and security safeguards</w:t>
      </w:r>
    </w:p>
    <w:p>
      <w:pPr>
        <w:pStyle w:val="ListParagraph"/>
        <w:numPr>
          <w:ilvl w:val="0"/>
          <w:numId w:val="2"/>
        </w:numPr>
        <w:spacing w:before="40" w:after="60"/>
      </w:pPr>
      <w:r>
        <w:rPr>
          <w:rFonts w:ascii="Arial" w:cs="Arial" w:eastAsia="Arial" w:hAnsi="Arial"/>
          <w:color w:val="1E293B"/>
          <w:sz w:val="21"/>
          <w:szCs w:val="21"/>
        </w:rPr>
        <w:t xml:space="preserve">Designated Data Protection Officer: Meera Krishnan (dpo@rfpdraft.ai)</w:t>
      </w:r>
    </w:p>
    <w:p>
      <w:pPr>
        <w:pStyle w:val="ListParagraph"/>
        <w:numPr>
          <w:ilvl w:val="0"/>
          <w:numId w:val="2"/>
        </w:numPr>
        <w:spacing w:before="40" w:after="60"/>
      </w:pPr>
      <w:r>
        <w:rPr>
          <w:rFonts w:ascii="Arial" w:cs="Arial" w:eastAsia="Arial" w:hAnsi="Arial"/>
          <w:color w:val="1E293B"/>
          <w:sz w:val="21"/>
          <w:szCs w:val="21"/>
        </w:rPr>
        <w:t xml:space="preserve">India-region data residency option available for all customer data</w:t>
      </w:r>
    </w:p>
    <w:p>
      <w:pPr>
        <w:pStyle w:val="Heading2"/>
        <w:spacing w:before="200" w:after="80"/>
      </w:pPr>
      <w:r>
        <w:rPr>
          <w:rFonts w:ascii="Arial" w:cs="Arial" w:eastAsia="Arial" w:hAnsi="Arial"/>
          <w:b/>
          <w:bCs/>
          <w:color w:val="0D9488"/>
          <w:sz w:val="24"/>
          <w:szCs w:val="24"/>
        </w:rPr>
        <w:t xml:space="preserve">3.2 GDPR Readiness</w:t>
      </w:r>
    </w:p>
    <w:p>
      <w:pPr>
        <w:spacing w:before="60" w:after="100"/>
      </w:pPr>
      <w:r>
        <w:rPr>
          <w:rFonts w:ascii="Arial" w:cs="Arial" w:eastAsia="Arial" w:hAnsi="Arial"/>
          <w:color w:val="1E293B"/>
          <w:sz w:val="21"/>
          <w:szCs w:val="21"/>
        </w:rPr>
        <w:t xml:space="preserve">For customers operating in or processing data from EU/EEA jurisdictions, RFPDraft maintains GDPR-aligned data processing practices including:</w:t>
      </w:r>
    </w:p>
    <w:p>
      <w:pPr>
        <w:pStyle w:val="ListParagraph"/>
        <w:numPr>
          <w:ilvl w:val="0"/>
          <w:numId w:val="2"/>
        </w:numPr>
        <w:spacing w:before="40" w:after="60"/>
      </w:pPr>
      <w:r>
        <w:rPr>
          <w:rFonts w:ascii="Arial" w:cs="Arial" w:eastAsia="Arial" w:hAnsi="Arial"/>
          <w:color w:val="1E293B"/>
          <w:sz w:val="21"/>
          <w:szCs w:val="21"/>
        </w:rPr>
        <w:t xml:space="preserve">Standard Contractual Clauses (SCCs) available for international data transfers</w:t>
      </w:r>
    </w:p>
    <w:p>
      <w:pPr>
        <w:pStyle w:val="ListParagraph"/>
        <w:numPr>
          <w:ilvl w:val="0"/>
          <w:numId w:val="2"/>
        </w:numPr>
        <w:spacing w:before="40" w:after="60"/>
      </w:pPr>
      <w:r>
        <w:rPr>
          <w:rFonts w:ascii="Arial" w:cs="Arial" w:eastAsia="Arial" w:hAnsi="Arial"/>
          <w:color w:val="1E293B"/>
          <w:sz w:val="21"/>
          <w:szCs w:val="21"/>
        </w:rPr>
        <w:t xml:space="preserve">Data Processing Agreements (DPAs) executed with all sub-processors</w:t>
      </w:r>
    </w:p>
    <w:p>
      <w:pPr>
        <w:pStyle w:val="ListParagraph"/>
        <w:numPr>
          <w:ilvl w:val="0"/>
          <w:numId w:val="2"/>
        </w:numPr>
        <w:spacing w:before="40" w:after="60"/>
      </w:pPr>
      <w:r>
        <w:rPr>
          <w:rFonts w:ascii="Arial" w:cs="Arial" w:eastAsia="Arial" w:hAnsi="Arial"/>
          <w:color w:val="1E293B"/>
          <w:sz w:val="21"/>
          <w:szCs w:val="21"/>
        </w:rPr>
        <w:t xml:space="preserve">Right to erasure and data portability implemented in-platform</w:t>
      </w:r>
    </w:p>
    <w:p>
      <w:pPr>
        <w:pStyle w:val="ListParagraph"/>
        <w:numPr>
          <w:ilvl w:val="0"/>
          <w:numId w:val="2"/>
        </w:numPr>
        <w:spacing w:before="40" w:after="60"/>
      </w:pPr>
      <w:r>
        <w:rPr>
          <w:rFonts w:ascii="Arial" w:cs="Arial" w:eastAsia="Arial" w:hAnsi="Arial"/>
          <w:color w:val="1E293B"/>
          <w:sz w:val="21"/>
          <w:szCs w:val="21"/>
        </w:rPr>
        <w:t xml:space="preserve">72-hour breach notification process in place</w:t>
      </w:r>
    </w:p>
    <w:p>
      <w:pPr>
        <w:pStyle w:val="Heading1"/>
        <w:pBdr>
          <w:bottom w:val="single" w:color="0D9488" w:sz="4" w:space="4"/>
        </w:pBdr>
        <w:spacing w:before="320" w:after="120"/>
      </w:pPr>
      <w:r>
        <w:rPr>
          <w:rFonts w:ascii="Arial" w:cs="Arial" w:eastAsia="Arial" w:hAnsi="Arial"/>
          <w:b/>
          <w:bCs/>
          <w:color w:val="1A2B4A"/>
          <w:sz w:val="30"/>
          <w:szCs w:val="30"/>
        </w:rPr>
        <w:t xml:space="preserve">4. Cloud Infrastructure Security</w:t>
      </w:r>
    </w:p>
    <w:p>
      <w:pPr>
        <w:spacing w:before="60" w:after="80"/>
      </w:pPr>
      <w:r>
        <w:rPr>
          <w:rFonts w:ascii="Arial" w:cs="Arial" w:eastAsia="Arial" w:hAnsi="Arial"/>
          <w:b/>
          <w:bCs/>
          <w:color w:val="1A2B4A"/>
          <w:sz w:val="21"/>
          <w:szCs w:val="21"/>
        </w:rPr>
        <w:t xml:space="preserve">Cloud Provider: </w:t>
      </w:r>
      <w:r>
        <w:rPr>
          <w:rFonts w:ascii="Arial" w:cs="Arial" w:eastAsia="Arial" w:hAnsi="Arial"/>
          <w:color w:val="1E293B"/>
          <w:sz w:val="21"/>
          <w:szCs w:val="21"/>
        </w:rPr>
        <w:t xml:space="preserve">Amazon Web Services (AWS)</w:t>
      </w:r>
    </w:p>
    <w:p>
      <w:pPr>
        <w:spacing w:before="60" w:after="80"/>
      </w:pPr>
      <w:r>
        <w:rPr>
          <w:rFonts w:ascii="Arial" w:cs="Arial" w:eastAsia="Arial" w:hAnsi="Arial"/>
          <w:b/>
          <w:bCs/>
          <w:color w:val="1A2B4A"/>
          <w:sz w:val="21"/>
          <w:szCs w:val="21"/>
        </w:rPr>
        <w:t xml:space="preserve">Primary Region: </w:t>
      </w:r>
      <w:r>
        <w:rPr>
          <w:rFonts w:ascii="Arial" w:cs="Arial" w:eastAsia="Arial" w:hAnsi="Arial"/>
          <w:color w:val="1E293B"/>
          <w:sz w:val="21"/>
          <w:szCs w:val="21"/>
        </w:rPr>
        <w:t xml:space="preserve">Asia Pacific (Mumbai) — ap-south-1</w:t>
      </w:r>
    </w:p>
    <w:p>
      <w:pPr>
        <w:spacing w:before="60" w:after="80"/>
      </w:pPr>
      <w:r>
        <w:rPr>
          <w:rFonts w:ascii="Arial" w:cs="Arial" w:eastAsia="Arial" w:hAnsi="Arial"/>
          <w:b/>
          <w:bCs/>
          <w:color w:val="1A2B4A"/>
          <w:sz w:val="21"/>
          <w:szCs w:val="21"/>
        </w:rPr>
        <w:t xml:space="preserve">Backup Region: </w:t>
      </w:r>
      <w:r>
        <w:rPr>
          <w:rFonts w:ascii="Arial" w:cs="Arial" w:eastAsia="Arial" w:hAnsi="Arial"/>
          <w:color w:val="1E293B"/>
          <w:sz w:val="21"/>
          <w:szCs w:val="21"/>
        </w:rPr>
        <w:t xml:space="preserve">Asia Pacific (Singapore) — ap-southeast-1</w:t>
      </w:r>
    </w:p>
    <w:p>
      <w:pPr>
        <w:spacing w:before="60" w:after="80"/>
      </w:pPr>
      <w:r>
        <w:rPr>
          <w:rFonts w:ascii="Arial" w:cs="Arial" w:eastAsia="Arial" w:hAnsi="Arial"/>
          <w:b/>
          <w:bCs/>
          <w:color w:val="1A2B4A"/>
          <w:sz w:val="21"/>
          <w:szCs w:val="21"/>
        </w:rPr>
        <w:t xml:space="preserve">Data Encryption at Rest: </w:t>
      </w:r>
      <w:r>
        <w:rPr>
          <w:rFonts w:ascii="Arial" w:cs="Arial" w:eastAsia="Arial" w:hAnsi="Arial"/>
          <w:color w:val="1E293B"/>
          <w:sz w:val="21"/>
          <w:szCs w:val="21"/>
        </w:rPr>
        <w:t xml:space="preserve">AES-256 via AWS KMS (customer-managed keys available on Enterprise tier)</w:t>
      </w:r>
    </w:p>
    <w:p>
      <w:pPr>
        <w:spacing w:before="60" w:after="80"/>
      </w:pPr>
      <w:r>
        <w:rPr>
          <w:rFonts w:ascii="Arial" w:cs="Arial" w:eastAsia="Arial" w:hAnsi="Arial"/>
          <w:b/>
          <w:bCs/>
          <w:color w:val="1A2B4A"/>
          <w:sz w:val="21"/>
          <w:szCs w:val="21"/>
        </w:rPr>
        <w:t xml:space="preserve">Data Encryption in Transit: </w:t>
      </w:r>
      <w:r>
        <w:rPr>
          <w:rFonts w:ascii="Arial" w:cs="Arial" w:eastAsia="Arial" w:hAnsi="Arial"/>
          <w:color w:val="1E293B"/>
          <w:sz w:val="21"/>
          <w:szCs w:val="21"/>
        </w:rPr>
        <w:t xml:space="preserve">TLS 1.2 minimum | TLS 1.3 preferred</w:t>
      </w:r>
    </w:p>
    <w:p>
      <w:pPr>
        <w:spacing w:before="60" w:after="80"/>
      </w:pPr>
      <w:r>
        <w:rPr>
          <w:rFonts w:ascii="Arial" w:cs="Arial" w:eastAsia="Arial" w:hAnsi="Arial"/>
          <w:b/>
          <w:bCs/>
          <w:color w:val="1A2B4A"/>
          <w:sz w:val="21"/>
          <w:szCs w:val="21"/>
        </w:rPr>
        <w:t xml:space="preserve">Network Security: </w:t>
      </w:r>
      <w:r>
        <w:rPr>
          <w:rFonts w:ascii="Arial" w:cs="Arial" w:eastAsia="Arial" w:hAnsi="Arial"/>
          <w:color w:val="1E293B"/>
          <w:sz w:val="21"/>
          <w:szCs w:val="21"/>
        </w:rPr>
        <w:t xml:space="preserve">VPC isolation, WAF (AWS), DDoS protection via AWS Shield Standard</w:t>
      </w:r>
    </w:p>
    <w:p>
      <w:pPr>
        <w:spacing w:before="60" w:after="80"/>
      </w:pPr>
      <w:r>
        <w:rPr>
          <w:rFonts w:ascii="Arial" w:cs="Arial" w:eastAsia="Arial" w:hAnsi="Arial"/>
          <w:b/>
          <w:bCs/>
          <w:color w:val="1A2B4A"/>
          <w:sz w:val="21"/>
          <w:szCs w:val="21"/>
        </w:rPr>
        <w:t xml:space="preserve">Penetration Testing: </w:t>
      </w:r>
      <w:r>
        <w:rPr>
          <w:rFonts w:ascii="Arial" w:cs="Arial" w:eastAsia="Arial" w:hAnsi="Arial"/>
          <w:color w:val="1E293B"/>
          <w:sz w:val="21"/>
          <w:szCs w:val="21"/>
        </w:rPr>
        <w:t xml:space="preserve">Annual third-party pentest | Last conducted: August 2024 | No critical findings</w:t>
      </w:r>
    </w:p>
    <w:p>
      <w:pPr>
        <w:spacing w:before="60" w:after="80"/>
      </w:pPr>
      <w:r>
        <w:rPr>
          <w:rFonts w:ascii="Arial" w:cs="Arial" w:eastAsia="Arial" w:hAnsi="Arial"/>
          <w:b/>
          <w:bCs/>
          <w:color w:val="1A2B4A"/>
          <w:sz w:val="21"/>
          <w:szCs w:val="21"/>
        </w:rPr>
        <w:t xml:space="preserve">Vulnerability Management: </w:t>
      </w:r>
      <w:r>
        <w:rPr>
          <w:rFonts w:ascii="Arial" w:cs="Arial" w:eastAsia="Arial" w:hAnsi="Arial"/>
          <w:color w:val="1E293B"/>
          <w:sz w:val="21"/>
          <w:szCs w:val="21"/>
        </w:rPr>
        <w:t xml:space="preserve">Continuous scanning via Snyk and AWS Inspector | Critical patches applied within 24 hours</w:t>
      </w:r>
    </w:p>
    <w:p>
      <w:pPr>
        <w:pStyle w:val="Heading1"/>
        <w:pBdr>
          <w:bottom w:val="single" w:color="0D9488" w:sz="4" w:space="4"/>
        </w:pBdr>
        <w:spacing w:before="320" w:after="120"/>
      </w:pPr>
      <w:r>
        <w:rPr>
          <w:rFonts w:ascii="Arial" w:cs="Arial" w:eastAsia="Arial" w:hAnsi="Arial"/>
          <w:b/>
          <w:bCs/>
          <w:color w:val="1A2B4A"/>
          <w:sz w:val="30"/>
          <w:szCs w:val="30"/>
        </w:rPr>
        <w:t xml:space="preserve">5. Access Control &amp; Authentication</w:t>
      </w:r>
    </w:p>
    <w:p>
      <w:pPr>
        <w:pStyle w:val="ListParagraph"/>
        <w:numPr>
          <w:ilvl w:val="0"/>
          <w:numId w:val="2"/>
        </w:numPr>
        <w:spacing w:before="40" w:after="60"/>
      </w:pPr>
      <w:r>
        <w:rPr>
          <w:rFonts w:ascii="Arial" w:cs="Arial" w:eastAsia="Arial" w:hAnsi="Arial"/>
          <w:color w:val="1E293B"/>
          <w:sz w:val="21"/>
          <w:szCs w:val="21"/>
        </w:rPr>
        <w:t xml:space="preserve">Multi-factor authentication (MFA) enforced for all platform users</w:t>
      </w:r>
    </w:p>
    <w:p>
      <w:pPr>
        <w:pStyle w:val="ListParagraph"/>
        <w:numPr>
          <w:ilvl w:val="0"/>
          <w:numId w:val="2"/>
        </w:numPr>
        <w:spacing w:before="40" w:after="60"/>
      </w:pPr>
      <w:r>
        <w:rPr>
          <w:rFonts w:ascii="Arial" w:cs="Arial" w:eastAsia="Arial" w:hAnsi="Arial"/>
          <w:color w:val="1E293B"/>
          <w:sz w:val="21"/>
          <w:szCs w:val="21"/>
        </w:rPr>
        <w:t xml:space="preserve">Role-based access control (RBAC) with principle of least privilege</w:t>
      </w:r>
    </w:p>
    <w:p>
      <w:pPr>
        <w:pStyle w:val="ListParagraph"/>
        <w:numPr>
          <w:ilvl w:val="0"/>
          <w:numId w:val="2"/>
        </w:numPr>
        <w:spacing w:before="40" w:after="60"/>
      </w:pPr>
      <w:r>
        <w:rPr>
          <w:rFonts w:ascii="Arial" w:cs="Arial" w:eastAsia="Arial" w:hAnsi="Arial"/>
          <w:color w:val="1E293B"/>
          <w:sz w:val="21"/>
          <w:szCs w:val="21"/>
        </w:rPr>
        <w:t xml:space="preserve">Privileged access management (PAM) for all infrastructure access</w:t>
      </w:r>
    </w:p>
    <w:p>
      <w:pPr>
        <w:pStyle w:val="ListParagraph"/>
        <w:numPr>
          <w:ilvl w:val="0"/>
          <w:numId w:val="2"/>
        </w:numPr>
        <w:spacing w:before="40" w:after="60"/>
      </w:pPr>
      <w:r>
        <w:rPr>
          <w:rFonts w:ascii="Arial" w:cs="Arial" w:eastAsia="Arial" w:hAnsi="Arial"/>
          <w:color w:val="1E293B"/>
          <w:sz w:val="21"/>
          <w:szCs w:val="21"/>
        </w:rPr>
        <w:t xml:space="preserve">All access logs retained for minimum 12 months</w:t>
      </w:r>
    </w:p>
    <w:p>
      <w:pPr>
        <w:pStyle w:val="ListParagraph"/>
        <w:numPr>
          <w:ilvl w:val="0"/>
          <w:numId w:val="2"/>
        </w:numPr>
        <w:spacing w:before="40" w:after="60"/>
      </w:pPr>
      <w:r>
        <w:rPr>
          <w:rFonts w:ascii="Arial" w:cs="Arial" w:eastAsia="Arial" w:hAnsi="Arial"/>
          <w:color w:val="1E293B"/>
          <w:sz w:val="21"/>
          <w:szCs w:val="21"/>
        </w:rPr>
        <w:t xml:space="preserve">Background verification for all employees with data access</w:t>
      </w:r>
    </w:p>
    <w:p>
      <w:pPr>
        <w:pStyle w:val="ListParagraph"/>
        <w:numPr>
          <w:ilvl w:val="0"/>
          <w:numId w:val="2"/>
        </w:numPr>
        <w:spacing w:before="40" w:after="60"/>
      </w:pPr>
      <w:r>
        <w:rPr>
          <w:rFonts w:ascii="Arial" w:cs="Arial" w:eastAsia="Arial" w:hAnsi="Arial"/>
          <w:color w:val="1E293B"/>
          <w:sz w:val="21"/>
          <w:szCs w:val="21"/>
        </w:rPr>
        <w:t xml:space="preserve">Zero-trust network architecture for internal systems</w:t>
      </w:r>
    </w:p>
    <w:p>
      <w:pPr>
        <w:pStyle w:val="Heading1"/>
        <w:pBdr>
          <w:bottom w:val="single" w:color="0D9488" w:sz="4" w:space="4"/>
        </w:pBdr>
        <w:spacing w:before="320" w:after="120"/>
      </w:pPr>
      <w:r>
        <w:rPr>
          <w:rFonts w:ascii="Arial" w:cs="Arial" w:eastAsia="Arial" w:hAnsi="Arial"/>
          <w:b/>
          <w:bCs/>
          <w:color w:val="1A2B4A"/>
          <w:sz w:val="30"/>
          <w:szCs w:val="30"/>
        </w:rPr>
        <w:t xml:space="preserve">6. Business Continuity &amp; Disaster Recovery</w:t>
      </w:r>
    </w:p>
    <w:p>
      <w:pPr>
        <w:spacing w:before="60" w:after="80"/>
      </w:pPr>
      <w:r>
        <w:rPr>
          <w:rFonts w:ascii="Arial" w:cs="Arial" w:eastAsia="Arial" w:hAnsi="Arial"/>
          <w:b/>
          <w:bCs/>
          <w:color w:val="1A2B4A"/>
          <w:sz w:val="21"/>
          <w:szCs w:val="21"/>
        </w:rPr>
        <w:t xml:space="preserve">Recovery Time Objective (RTO): </w:t>
      </w:r>
      <w:r>
        <w:rPr>
          <w:rFonts w:ascii="Arial" w:cs="Arial" w:eastAsia="Arial" w:hAnsi="Arial"/>
          <w:color w:val="1E293B"/>
          <w:sz w:val="21"/>
          <w:szCs w:val="21"/>
        </w:rPr>
        <w:t xml:space="preserve">&lt; 4 hours</w:t>
      </w:r>
    </w:p>
    <w:p>
      <w:pPr>
        <w:spacing w:before="60" w:after="80"/>
      </w:pPr>
      <w:r>
        <w:rPr>
          <w:rFonts w:ascii="Arial" w:cs="Arial" w:eastAsia="Arial" w:hAnsi="Arial"/>
          <w:b/>
          <w:bCs/>
          <w:color w:val="1A2B4A"/>
          <w:sz w:val="21"/>
          <w:szCs w:val="21"/>
        </w:rPr>
        <w:t xml:space="preserve">Recovery Point Objective (RPO): </w:t>
      </w:r>
      <w:r>
        <w:rPr>
          <w:rFonts w:ascii="Arial" w:cs="Arial" w:eastAsia="Arial" w:hAnsi="Arial"/>
          <w:color w:val="1E293B"/>
          <w:sz w:val="21"/>
          <w:szCs w:val="21"/>
        </w:rPr>
        <w:t xml:space="preserve">&lt; 1 hour</w:t>
      </w:r>
    </w:p>
    <w:p>
      <w:pPr>
        <w:spacing w:before="60" w:after="80"/>
      </w:pPr>
      <w:r>
        <w:rPr>
          <w:rFonts w:ascii="Arial" w:cs="Arial" w:eastAsia="Arial" w:hAnsi="Arial"/>
          <w:b/>
          <w:bCs/>
          <w:color w:val="1A2B4A"/>
          <w:sz w:val="21"/>
          <w:szCs w:val="21"/>
        </w:rPr>
        <w:t xml:space="preserve">Backup Frequency: </w:t>
      </w:r>
      <w:r>
        <w:rPr>
          <w:rFonts w:ascii="Arial" w:cs="Arial" w:eastAsia="Arial" w:hAnsi="Arial"/>
          <w:color w:val="1E293B"/>
          <w:sz w:val="21"/>
          <w:szCs w:val="21"/>
        </w:rPr>
        <w:t xml:space="preserve">Continuous replication | Full backup every 24 hours</w:t>
      </w:r>
    </w:p>
    <w:p>
      <w:pPr>
        <w:spacing w:before="60" w:after="80"/>
      </w:pPr>
      <w:r>
        <w:rPr>
          <w:rFonts w:ascii="Arial" w:cs="Arial" w:eastAsia="Arial" w:hAnsi="Arial"/>
          <w:b/>
          <w:bCs/>
          <w:color w:val="1A2B4A"/>
          <w:sz w:val="21"/>
          <w:szCs w:val="21"/>
        </w:rPr>
        <w:t xml:space="preserve">Backup Retention: </w:t>
      </w:r>
      <w:r>
        <w:rPr>
          <w:rFonts w:ascii="Arial" w:cs="Arial" w:eastAsia="Arial" w:hAnsi="Arial"/>
          <w:color w:val="1E293B"/>
          <w:sz w:val="21"/>
          <w:szCs w:val="21"/>
        </w:rPr>
        <w:t xml:space="preserve">30 days standard | 1 year on Enterprise tier</w:t>
      </w:r>
    </w:p>
    <w:p>
      <w:pPr>
        <w:spacing w:before="60" w:after="80"/>
      </w:pPr>
      <w:r>
        <w:rPr>
          <w:rFonts w:ascii="Arial" w:cs="Arial" w:eastAsia="Arial" w:hAnsi="Arial"/>
          <w:b/>
          <w:bCs/>
          <w:color w:val="1A2B4A"/>
          <w:sz w:val="21"/>
          <w:szCs w:val="21"/>
        </w:rPr>
        <w:t xml:space="preserve">DR Test Frequency: </w:t>
      </w:r>
      <w:r>
        <w:rPr>
          <w:rFonts w:ascii="Arial" w:cs="Arial" w:eastAsia="Arial" w:hAnsi="Arial"/>
          <w:color w:val="1E293B"/>
          <w:sz w:val="21"/>
          <w:szCs w:val="21"/>
        </w:rPr>
        <w:t xml:space="preserve">Quarterly | Last tested: November 2024</w:t>
      </w:r>
    </w:p>
    <w:p>
      <w:pPr>
        <w:spacing w:before="60" w:after="80"/>
      </w:pPr>
      <w:r>
        <w:rPr>
          <w:rFonts w:ascii="Arial" w:cs="Arial" w:eastAsia="Arial" w:hAnsi="Arial"/>
          <w:b/>
          <w:bCs/>
          <w:color w:val="1A2B4A"/>
          <w:sz w:val="21"/>
          <w:szCs w:val="21"/>
        </w:rPr>
        <w:t xml:space="preserve">Uptime SLA: </w:t>
      </w:r>
      <w:r>
        <w:rPr>
          <w:rFonts w:ascii="Arial" w:cs="Arial" w:eastAsia="Arial" w:hAnsi="Arial"/>
          <w:color w:val="1E293B"/>
          <w:sz w:val="21"/>
          <w:szCs w:val="21"/>
        </w:rPr>
        <w:t xml:space="preserve">99.9% monthly | Status page: status.rfpdraft.ai</w:t>
      </w:r>
    </w:p>
    <w:p>
      <w:pPr>
        <w:pStyle w:val="Heading1"/>
        <w:pBdr>
          <w:bottom w:val="single" w:color="0D9488" w:sz="4" w:space="4"/>
        </w:pBdr>
        <w:spacing w:before="320" w:after="120"/>
      </w:pPr>
      <w:r>
        <w:rPr>
          <w:rFonts w:ascii="Arial" w:cs="Arial" w:eastAsia="Arial" w:hAnsi="Arial"/>
          <w:b/>
          <w:bCs/>
          <w:color w:val="1A2B4A"/>
          <w:sz w:val="30"/>
          <w:szCs w:val="30"/>
        </w:rPr>
        <w:t xml:space="preserve">7. Declaration</w:t>
      </w:r>
    </w:p>
    <w:p>
      <w:pPr>
        <w:spacing w:before="60" w:after="100"/>
      </w:pPr>
      <w:r>
        <w:rPr>
          <w:rFonts w:ascii="Arial" w:cs="Arial" w:eastAsia="Arial" w:hAnsi="Arial"/>
          <w:color w:val="1E293B"/>
          <w:sz w:val="21"/>
          <w:szCs w:val="21"/>
        </w:rPr>
        <w:t xml:space="preserve">I, the undersigned, being a duly authorized representative of RFPDraft Solutions Pvt. Ltd., hereby declare that the information provided in this document is accurate and complete to the best of my knowledge, as of the date of issue.</w:t>
      </w:r>
    </w:p>
    <w:p>
      <w:pPr>
        <w:spacing w:before="200" w:after="60"/>
      </w:pPr>
    </w:p>
    <w:p>
      <w:pPr>
        <w:spacing w:before="60" w:after="80"/>
      </w:pPr>
      <w:r>
        <w:rPr>
          <w:rFonts w:ascii="Arial" w:cs="Arial" w:eastAsia="Arial" w:hAnsi="Arial"/>
          <w:b/>
          <w:bCs/>
          <w:color w:val="1A2B4A"/>
          <w:sz w:val="21"/>
          <w:szCs w:val="21"/>
        </w:rPr>
        <w:t xml:space="preserve">Authorized Signatory: </w:t>
      </w:r>
      <w:r>
        <w:rPr>
          <w:rFonts w:ascii="Arial" w:cs="Arial" w:eastAsia="Arial" w:hAnsi="Arial"/>
          <w:color w:val="1E293B"/>
          <w:sz w:val="21"/>
          <w:szCs w:val="21"/>
        </w:rPr>
        <w:t xml:space="preserve">Aditya Rajan, Chief Technology Officer</w:t>
      </w:r>
    </w:p>
    <w:p>
      <w:pPr>
        <w:spacing w:before="60" w:after="80"/>
      </w:pPr>
      <w:r>
        <w:rPr>
          <w:rFonts w:ascii="Arial" w:cs="Arial" w:eastAsia="Arial" w:hAnsi="Arial"/>
          <w:b/>
          <w:bCs/>
          <w:color w:val="1A2B4A"/>
          <w:sz w:val="21"/>
          <w:szCs w:val="21"/>
        </w:rPr>
        <w:t xml:space="preserve">Email: </w:t>
      </w:r>
      <w:r>
        <w:rPr>
          <w:rFonts w:ascii="Arial" w:cs="Arial" w:eastAsia="Arial" w:hAnsi="Arial"/>
          <w:color w:val="1E293B"/>
          <w:sz w:val="21"/>
          <w:szCs w:val="21"/>
        </w:rPr>
        <w:t xml:space="preserve">cto@rfpdraft.ai</w:t>
      </w:r>
    </w:p>
    <w:p>
      <w:pPr>
        <w:spacing w:before="60" w:after="80"/>
      </w:pPr>
      <w:r>
        <w:rPr>
          <w:rFonts w:ascii="Arial" w:cs="Arial" w:eastAsia="Arial" w:hAnsi="Arial"/>
          <w:b/>
          <w:bCs/>
          <w:color w:val="1A2B4A"/>
          <w:sz w:val="21"/>
          <w:szCs w:val="21"/>
        </w:rPr>
        <w:t xml:space="preserve">Date of Issue: </w:t>
      </w:r>
      <w:r>
        <w:rPr>
          <w:rFonts w:ascii="Arial" w:cs="Arial" w:eastAsia="Arial" w:hAnsi="Arial"/>
          <w:color w:val="1E293B"/>
          <w:sz w:val="21"/>
          <w:szCs w:val="21"/>
        </w:rPr>
        <w:t xml:space="preserve">10 January 2025</w:t>
      </w:r>
    </w:p>
    <w:p>
      <w:pPr>
        <w:spacing w:before="60" w:after="80"/>
      </w:pPr>
      <w:r>
        <w:rPr>
          <w:rFonts w:ascii="Arial" w:cs="Arial" w:eastAsia="Arial" w:hAnsi="Arial"/>
          <w:b/>
          <w:bCs/>
          <w:color w:val="1A2B4A"/>
          <w:sz w:val="21"/>
          <w:szCs w:val="21"/>
        </w:rPr>
        <w:t xml:space="preserve">Document Valid Until: </w:t>
      </w:r>
      <w:r>
        <w:rPr>
          <w:rFonts w:ascii="Arial" w:cs="Arial" w:eastAsia="Arial" w:hAnsi="Arial"/>
          <w:color w:val="1E293B"/>
          <w:sz w:val="21"/>
          <w:szCs w:val="21"/>
        </w:rPr>
        <w:t xml:space="preserve">31 December 2025</w:t>
      </w:r>
    </w:p>
    <w:p>
      <w:pPr>
        <w:pBdr>
          <w:top w:val="single" w:color="0D9488" w:sz="4" w:space="4"/>
        </w:pBdr>
        <w:spacing w:before="280" w:after="80"/>
      </w:pPr>
      <w:r>
        <w:rPr>
          <w:rFonts w:ascii="Arial" w:cs="Arial" w:eastAsia="Arial" w:hAnsi="Arial"/>
          <w:color w:val="94A3B8"/>
          <w:sz w:val="17"/>
          <w:szCs w:val="17"/>
        </w:rPr>
        <w:t xml:space="preserve">This document is provided for vendor evaluation purposes only. RFPDraft Solutions Pvt. Ltd. | Compliance queries: compliance@rfpdraft.ai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B4A"/>
      <w:sz w:val="30"/>
      <w:szCs w:val="30"/>
    </w:rPr>
  </w:style>
  <w:style w:type="paragraph" w:styleId="Heading2">
    <w:name w:val="Heading 2"/>
    <w:basedOn w:val="Normal"/>
    <w:next w:val="Normal"/>
    <w:qFormat/>
    <w:pPr>
      <w:spacing w:before="200" w:after="80"/>
      <w:outlineLvl w:val="1"/>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2026-02-26T04:16:05.126Z</dcterms:created>
  <dcterms:modified xsi:type="dcterms:W3CDTF">2026-02-26T04:16:05.126Z</dcterms:modified>
</cp:coreProperties>
</file>

<file path=docProps/custom.xml><?xml version="1.0" encoding="utf-8"?>
<Properties xmlns="http://schemas.openxmlformats.org/officeDocument/2006/custom-properties" xmlns:vt="http://schemas.openxmlformats.org/officeDocument/2006/docPropsVTypes"/>
</file>