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Sample Final Examination #2 — ME 3: Organizational Economics</w:t>
      </w:r>
    </w:p>
    <w:p>
      <w:pPr>
        <w:spacing w:after="80"/>
      </w:pPr>
      <w:r>
        <w:rPr>
          <w:b w:val="0"/>
          <w:i/>
          <w:sz w:val="22"/>
        </w:rPr>
        <w:t>(Prof. Aguiar, UZH, FS26)  •  Second practice exam — new papers, new model, concept-first MC. Built for self-assessment under exam time-pressure.</w:t>
      </w:r>
    </w:p>
    <w:p>
      <w:pPr>
        <w:spacing w:after="80"/>
      </w:pPr>
      <w:r>
        <w:rPr>
          <w:b w:val="0"/>
          <w:i w:val="0"/>
          <w:sz w:val="22"/>
        </w:rPr>
      </w:r>
    </w:p>
    <w:p>
      <w:pPr>
        <w:pStyle w:val="Heading2"/>
      </w:pPr>
      <w:r>
        <w:rPr>
          <w:color w:val="1F3A5F"/>
        </w:rPr>
        <w:t>Instructions</w:t>
      </w:r>
    </w:p>
    <w:p>
      <w:pPr>
        <w:ind w:left="283"/>
      </w:pPr>
      <w:r>
        <w:rPr>
          <w:b/>
          <w:sz w:val="22"/>
        </w:rPr>
        <w:t xml:space="preserve">Duration &amp; weighting.  </w:t>
      </w:r>
      <w:r>
        <w:rPr>
          <w:sz w:val="22"/>
        </w:rPr>
        <w:t>90 minutes  •  88 points total  •  Part A: 28 pts (7 × 4)  •  Part B: 30 pts  •  Part C: 30 pts. (Note: the real exam likely uses 7–8 four-point MC items; we use 7 here.)</w:t>
      </w:r>
    </w:p>
    <w:p>
      <w:pPr>
        <w:ind w:left="283"/>
      </w:pPr>
      <w:r>
        <w:rPr>
          <w:b/>
          <w:sz w:val="22"/>
        </w:rPr>
        <w:t xml:space="preserve">Language.  </w:t>
      </w:r>
      <w:r>
        <w:rPr>
          <w:sz w:val="22"/>
        </w:rPr>
        <w:t>Answer in English.</w:t>
      </w:r>
    </w:p>
    <w:p>
      <w:pPr>
        <w:ind w:left="283"/>
      </w:pPr>
      <w:r>
        <w:rPr>
          <w:b/>
          <w:sz w:val="22"/>
        </w:rPr>
        <w:t xml:space="preserve">Answer keys.  </w:t>
      </w:r>
      <w:r>
        <w:rPr>
          <w:sz w:val="22"/>
        </w:rPr>
        <w:t>All solutions are at the very end of the document. Do the whole paper under time pressure before scrolling down.</w:t>
      </w:r>
    </w:p>
    <w:p>
      <w:pPr>
        <w:ind w:left="283"/>
      </w:pPr>
      <w:r>
        <w:rPr>
          <w:b/>
          <w:sz w:val="22"/>
        </w:rPr>
        <w:t xml:space="preserve">Aids.  </w:t>
      </w:r>
      <w:r>
        <w:rPr>
          <w:sz w:val="22"/>
        </w:rPr>
        <w:t>Closed-book. Arithmetic in Part C is kept clean — no calculator needed.</w:t>
      </w:r>
    </w:p>
    <w:p>
      <w:pPr>
        <w:spacing w:after="80"/>
      </w:pPr>
      <w:r>
        <w:rPr>
          <w:b w:val="0"/>
          <w:i w:val="0"/>
          <w:sz w:val="22"/>
        </w:rPr>
      </w:r>
    </w:p>
    <w:p>
      <w:pPr>
        <w:pStyle w:val="Heading2"/>
      </w:pPr>
      <w:r>
        <w:rPr>
          <w:color w:val="1F3A5F"/>
        </w:rPr>
        <w:t>Part A — Format Note</w:t>
      </w:r>
    </w:p>
    <w:p>
      <w:pPr>
        <w:spacing w:after="80"/>
      </w:pPr>
      <w:r>
        <w:rPr>
          <w:b w:val="0"/>
          <w:i w:val="0"/>
          <w:sz w:val="22"/>
        </w:rPr>
        <w:t>Each MC item lists four statements (A–D). Any subset of {A, B, C, D} may be correct, including zero or all four. Full credit only if every box is correct. No partial credit. These items target ECONOMIC INTUITION and MECHANISMS — they do not require you to remember the exact contents of any specific slide, table, or figure from the lectures.</w:t>
      </w:r>
    </w:p>
    <w:p>
      <w:r>
        <w:br w:type="page"/>
      </w:r>
    </w:p>
    <w:p>
      <w:pPr>
        <w:pStyle w:val="Heading1"/>
      </w:pPr>
      <w:r>
        <w:rPr>
          <w:color w:val="1F3A5F"/>
        </w:rPr>
        <w:t>Part A — Multiple Choice (28 pts, 7 questions × 4 pts)</w:t>
      </w:r>
    </w:p>
    <w:p>
      <w:pPr>
        <w:spacing w:after="80"/>
      </w:pPr>
      <w:r>
        <w:rPr>
          <w:b w:val="0"/>
          <w:i/>
          <w:sz w:val="20"/>
        </w:rPr>
        <w:t>Section coverage: S1 (1), S2 (2), S3 (1), S4 (2), S5 (1).</w:t>
      </w:r>
    </w:p>
    <w:p>
      <w:pPr>
        <w:spacing w:before="160" w:after="40"/>
      </w:pPr>
      <w:r>
        <w:rPr>
          <w:b/>
          <w:sz w:val="22"/>
        </w:rPr>
        <w:t xml:space="preserve">Question 1 (4 pts)  </w:t>
      </w:r>
      <w:r>
        <w:rPr>
          <w:i/>
          <w:color w:val="555555"/>
          <w:sz w:val="18"/>
        </w:rPr>
        <w:t>[S1: What qualifies as a platform?]</w:t>
      </w:r>
    </w:p>
    <w:p>
      <w:pPr>
        <w:spacing w:after="40"/>
      </w:pPr>
      <w:r>
        <w:rPr>
          <w:sz w:val="22"/>
        </w:rPr>
        <w:t>A new online marketplace claims to be a 'platform'. Which of the following observations would JUSTIFY classifying it as a platform in Aguiar's sense, as opposed to a classical reseller or a supermarket?</w:t>
      </w:r>
    </w:p>
    <w:p>
      <w:pPr>
        <w:spacing w:after="20"/>
        <w:ind w:left="454"/>
      </w:pPr>
      <w:r>
        <w:rPr>
          <w:sz w:val="22"/>
        </w:rPr>
        <w:t xml:space="preserve">☐  </w:t>
      </w:r>
      <w:r>
        <w:rPr>
          <w:sz w:val="22"/>
        </w:rPr>
        <w:t>A.  The marketplace brings buyers and sellers together in a single venue.</w:t>
      </w:r>
    </w:p>
    <w:p>
      <w:pPr>
        <w:spacing w:after="20"/>
        <w:ind w:left="454"/>
      </w:pPr>
      <w:r>
        <w:rPr>
          <w:sz w:val="22"/>
        </w:rPr>
        <w:t xml:space="preserve">☐  </w:t>
      </w:r>
      <w:r>
        <w:rPr>
          <w:sz w:val="22"/>
        </w:rPr>
        <w:t>B.  Network effects — at least one demand-side externality between users — are present, and the marketplace actively shapes them via pricing, rankings, or moderation.</w:t>
      </w:r>
    </w:p>
    <w:p>
      <w:pPr>
        <w:spacing w:after="20"/>
        <w:ind w:left="454"/>
      </w:pPr>
      <w:r>
        <w:rPr>
          <w:sz w:val="22"/>
        </w:rPr>
        <w:t xml:space="preserve">☐  </w:t>
      </w:r>
      <w:r>
        <w:rPr>
          <w:sz w:val="22"/>
        </w:rPr>
        <w:t>C.  The marketplace generates strictly higher profit per employee than a classical reseller in the same product category.</w:t>
      </w:r>
    </w:p>
    <w:p>
      <w:pPr>
        <w:spacing w:after="20"/>
        <w:ind w:left="454"/>
      </w:pPr>
      <w:r>
        <w:rPr>
          <w:sz w:val="22"/>
        </w:rPr>
        <w:t xml:space="preserve">☐  </w:t>
      </w:r>
      <w:r>
        <w:rPr>
          <w:sz w:val="22"/>
        </w:rPr>
        <w:t>D.  Buyers cannot easily walk away to a single-firm alternative because doing so would forgo the surplus the marketplace creates by reducing transaction costs.</w:t>
      </w:r>
    </w:p>
    <w:p>
      <w:pPr>
        <w:spacing w:after="40"/>
      </w:pPr>
      <w:r>
        <w:rPr>
          <w:sz w:val="22"/>
        </w:rPr>
      </w:r>
    </w:p>
    <w:p>
      <w:pPr>
        <w:spacing w:after="40"/>
      </w:pPr>
      <w:r>
        <w:rPr>
          <w:sz w:val="22"/>
        </w:rPr>
      </w:r>
    </w:p>
    <w:p>
      <w:pPr>
        <w:spacing w:before="160" w:after="40"/>
      </w:pPr>
      <w:r>
        <w:rPr>
          <w:b/>
          <w:sz w:val="22"/>
        </w:rPr>
        <w:t xml:space="preserve">Question 2 (4 pts)  </w:t>
      </w:r>
      <w:r>
        <w:rPr>
          <w:i/>
          <w:color w:val="555555"/>
          <w:sz w:val="18"/>
        </w:rPr>
        <w:t>[S2: Why demand for a network good can be 'weird']</w:t>
      </w:r>
    </w:p>
    <w:p>
      <w:pPr>
        <w:spacing w:after="40"/>
      </w:pPr>
      <w:r>
        <w:rPr>
          <w:sz w:val="22"/>
        </w:rPr>
        <w:t>In a one-sided continuum model with WGNE, the fulfilled-expectations demand curve can be locally UPWARD-sloping in p. Which of the following statements correctly characterize WHY this can happen and what it implies?</w:t>
      </w:r>
    </w:p>
    <w:p>
      <w:pPr>
        <w:spacing w:after="20"/>
        <w:ind w:left="454"/>
      </w:pPr>
      <w:r>
        <w:rPr>
          <w:sz w:val="22"/>
        </w:rPr>
        <w:t xml:space="preserve">☐  </w:t>
      </w:r>
      <w:r>
        <w:rPr>
          <w:sz w:val="22"/>
        </w:rPr>
        <w:t>A.  It happens whenever the network-effect intensity β dominates the heterogeneity in stand-alone valuations (i.e. β &gt; V in the heterogeneous-stand-alone setup): the marginal joiner has a strong network preference, and her decision pivots on what she expects others to do.</w:t>
      </w:r>
    </w:p>
    <w:p>
      <w:pPr>
        <w:spacing w:after="20"/>
        <w:ind w:left="454"/>
      </w:pPr>
      <w:r>
        <w:rPr>
          <w:sz w:val="22"/>
        </w:rPr>
        <w:t xml:space="preserve">☐  </w:t>
      </w:r>
      <w:r>
        <w:rPr>
          <w:sz w:val="22"/>
        </w:rPr>
        <w:t>B.  It implies that for a range of intermediate prices three different equilibria of the network size n can coexist (n = 0, n = n_S, n = 1), so the platform faces fundamental coordination uncertainty.</w:t>
      </w:r>
    </w:p>
    <w:p>
      <w:pPr>
        <w:spacing w:after="20"/>
        <w:ind w:left="454"/>
      </w:pPr>
      <w:r>
        <w:rPr>
          <w:sz w:val="22"/>
        </w:rPr>
        <w:t xml:space="preserve">☐  </w:t>
      </w:r>
      <w:r>
        <w:rPr>
          <w:sz w:val="22"/>
        </w:rPr>
        <w:t>C.  It implies that the 'critical-mass' equilibrium n_S is locally stable, because small perturbations are dampened back toward it.</w:t>
      </w:r>
    </w:p>
    <w:p>
      <w:pPr>
        <w:spacing w:after="20"/>
        <w:ind w:left="454"/>
      </w:pPr>
      <w:r>
        <w:rPr>
          <w:sz w:val="22"/>
        </w:rPr>
        <w:t xml:space="preserve">☐  </w:t>
      </w:r>
      <w:r>
        <w:rPr>
          <w:sz w:val="22"/>
        </w:rPr>
        <w:t>D.  It is incompatible with rational expectations: an upward-sloping demand under fulfilled expectations would require consumers to systematically misforecast n.</w:t>
      </w:r>
    </w:p>
    <w:p>
      <w:pPr>
        <w:spacing w:after="40"/>
      </w:pPr>
      <w:r>
        <w:rPr>
          <w:sz w:val="22"/>
        </w:rPr>
      </w:r>
    </w:p>
    <w:p>
      <w:pPr>
        <w:spacing w:after="40"/>
      </w:pPr>
      <w:r>
        <w:rPr>
          <w:sz w:val="22"/>
        </w:rPr>
      </w:r>
    </w:p>
    <w:p>
      <w:pPr>
        <w:spacing w:before="160" w:after="40"/>
      </w:pPr>
      <w:r>
        <w:rPr>
          <w:b/>
          <w:sz w:val="22"/>
        </w:rPr>
        <w:t xml:space="preserve">Question 3 (4 pts)  </w:t>
      </w:r>
      <w:r>
        <w:rPr>
          <w:i/>
          <w:color w:val="555555"/>
          <w:sz w:val="18"/>
        </w:rPr>
        <w:t>[S2: What hardens — or softens — defensibility?]</w:t>
      </w:r>
    </w:p>
    <w:p>
      <w:pPr>
        <w:spacing w:after="40"/>
      </w:pPr>
      <w:r>
        <w:rPr>
          <w:sz w:val="22"/>
        </w:rPr>
        <w:t>An established platform learns that a technically superior rival is about to enter. Which of the following factors would STRUCTURALLY HARDEN the incumbent's defensibility against being displaced?</w:t>
      </w:r>
    </w:p>
    <w:p>
      <w:pPr>
        <w:spacing w:after="20"/>
        <w:ind w:left="454"/>
      </w:pPr>
      <w:r>
        <w:rPr>
          <w:sz w:val="22"/>
        </w:rPr>
        <w:t xml:space="preserve">☐  </w:t>
      </w:r>
      <w:r>
        <w:rPr>
          <w:sz w:val="22"/>
        </w:rPr>
        <w:t>A.  Users have to invest considerable learning to use the platform productively, and those skills are not transferable to the rival's interface.</w:t>
      </w:r>
    </w:p>
    <w:p>
      <w:pPr>
        <w:spacing w:after="20"/>
        <w:ind w:left="454"/>
      </w:pPr>
      <w:r>
        <w:rPr>
          <w:sz w:val="22"/>
        </w:rPr>
        <w:t xml:space="preserve">☐  </w:t>
      </w:r>
      <w:r>
        <w:rPr>
          <w:sz w:val="22"/>
        </w:rPr>
        <w:t>B.  Network effects on the incumbent are mostly LOCAL (e.g. tied to a city) rather than global, so the rival would have to build density city-by-city.</w:t>
      </w:r>
    </w:p>
    <w:p>
      <w:pPr>
        <w:spacing w:after="20"/>
        <w:ind w:left="454"/>
      </w:pPr>
      <w:r>
        <w:rPr>
          <w:sz w:val="22"/>
        </w:rPr>
        <w:t xml:space="preserve">☐  </w:t>
      </w:r>
      <w:r>
        <w:rPr>
          <w:sz w:val="22"/>
        </w:rPr>
        <w:t>C.  Multi-homing on the user side is cheap — every user is happy to keep an account on both platforms at the same time.</w:t>
      </w:r>
    </w:p>
    <w:p>
      <w:pPr>
        <w:spacing w:after="20"/>
        <w:ind w:left="454"/>
      </w:pPr>
      <w:r>
        <w:rPr>
          <w:sz w:val="22"/>
        </w:rPr>
        <w:t xml:space="preserve">☐  </w:t>
      </w:r>
      <w:r>
        <w:rPr>
          <w:sz w:val="22"/>
        </w:rPr>
        <w:t>D.  Data the incumbent accumulates from past activity meaningfully improves the service for OTHER users (not only the same user), and the data itself is proprietary and hard for the rival to replicate.</w:t>
      </w:r>
    </w:p>
    <w:p>
      <w:pPr>
        <w:spacing w:after="40"/>
      </w:pPr>
      <w:r>
        <w:rPr>
          <w:sz w:val="22"/>
        </w:rPr>
      </w:r>
    </w:p>
    <w:p>
      <w:pPr>
        <w:spacing w:after="40"/>
      </w:pPr>
      <w:r>
        <w:rPr>
          <w:sz w:val="22"/>
        </w:rPr>
      </w:r>
    </w:p>
    <w:p>
      <w:pPr>
        <w:spacing w:before="160" w:after="40"/>
      </w:pPr>
      <w:r>
        <w:rPr>
          <w:b/>
          <w:sz w:val="22"/>
        </w:rPr>
        <w:t xml:space="preserve">Question 4 (4 pts)  </w:t>
      </w:r>
      <w:r>
        <w:rPr>
          <w:i/>
          <w:color w:val="555555"/>
          <w:sz w:val="18"/>
        </w:rPr>
        <w:t>[S3: When is a launch strategy a valid solution to chicken-and-egg?]</w:t>
      </w:r>
    </w:p>
    <w:p>
      <w:pPr>
        <w:spacing w:after="40"/>
      </w:pPr>
      <w:r>
        <w:rPr>
          <w:sz w:val="22"/>
        </w:rPr>
        <w:t>Which of the following launch strategies plausibly help a new two-sided platform escape the (0, 0)-equilibrium of the chicken-and-egg problem?</w:t>
      </w:r>
    </w:p>
    <w:p>
      <w:pPr>
        <w:spacing w:after="20"/>
        <w:ind w:left="454"/>
      </w:pPr>
      <w:r>
        <w:rPr>
          <w:sz w:val="22"/>
        </w:rPr>
        <w:t xml:space="preserve">☐  </w:t>
      </w:r>
      <w:r>
        <w:rPr>
          <w:sz w:val="22"/>
        </w:rPr>
        <w:t>A.  Launching in a tightly bounded niche (geographic, demographic, or vertical) where critical mass is small enough to engineer manually.</w:t>
      </w:r>
    </w:p>
    <w:p>
      <w:pPr>
        <w:spacing w:after="20"/>
        <w:ind w:left="454"/>
      </w:pPr>
      <w:r>
        <w:rPr>
          <w:sz w:val="22"/>
        </w:rPr>
        <w:t xml:space="preserve">☐  </w:t>
      </w:r>
      <w:r>
        <w:rPr>
          <w:sz w:val="22"/>
        </w:rPr>
        <w:t>B.  Operating initially as a pure reseller, then opening up to third-party sellers once a buyer base is established — i.e. starting as a pipeline and converting later.</w:t>
      </w:r>
    </w:p>
    <w:p>
      <w:pPr>
        <w:spacing w:after="20"/>
        <w:ind w:left="454"/>
      </w:pPr>
      <w:r>
        <w:rPr>
          <w:sz w:val="22"/>
        </w:rPr>
        <w:t xml:space="preserve">☐  </w:t>
      </w:r>
      <w:r>
        <w:rPr>
          <w:sz w:val="22"/>
        </w:rPr>
        <w:t>C.  Hosting the platform on top of an existing larger network (auto-cross-posting, API-piggybacking) so the new platform inherits a transaction flow from day one.</w:t>
      </w:r>
    </w:p>
    <w:p>
      <w:pPr>
        <w:spacing w:after="20"/>
        <w:ind w:left="454"/>
      </w:pPr>
      <w:r>
        <w:rPr>
          <w:sz w:val="22"/>
        </w:rPr>
        <w:t xml:space="preserve">☐  </w:t>
      </w:r>
      <w:r>
        <w:rPr>
          <w:sz w:val="22"/>
        </w:rPr>
        <w:t>D.  Charging the same high subscription fee to both sides from day one to credibly signal that the platform is a commercial venture, not a free experiment.</w:t>
      </w:r>
    </w:p>
    <w:p>
      <w:pPr>
        <w:spacing w:after="40"/>
      </w:pPr>
      <w:r>
        <w:rPr>
          <w:sz w:val="22"/>
        </w:rPr>
      </w:r>
    </w:p>
    <w:p>
      <w:pPr>
        <w:spacing w:after="40"/>
      </w:pPr>
      <w:r>
        <w:rPr>
          <w:sz w:val="22"/>
        </w:rPr>
      </w:r>
    </w:p>
    <w:p>
      <w:pPr>
        <w:spacing w:before="160" w:after="40"/>
      </w:pPr>
      <w:r>
        <w:rPr>
          <w:b/>
          <w:sz w:val="22"/>
        </w:rPr>
        <w:t xml:space="preserve">Question 5 (4 pts)  </w:t>
      </w:r>
      <w:r>
        <w:rPr>
          <w:i/>
          <w:color w:val="555555"/>
          <w:sz w:val="18"/>
        </w:rPr>
        <w:t>[S4: How the two-sided Lerner pins down WHO pays less]</w:t>
      </w:r>
    </w:p>
    <w:p>
      <w:pPr>
        <w:spacing w:after="40"/>
      </w:pPr>
      <w:r>
        <w:rPr>
          <w:sz w:val="22"/>
        </w:rPr>
        <w:t>Consider a two-sided platform with positive cross-group network effects on both sides. Which of the following statements about its optimal price structure are CORRECT?</w:t>
      </w:r>
    </w:p>
    <w:p>
      <w:pPr>
        <w:spacing w:after="20"/>
        <w:ind w:left="454"/>
      </w:pPr>
      <w:r>
        <w:rPr>
          <w:sz w:val="22"/>
        </w:rPr>
        <w:t xml:space="preserve">☐  </w:t>
      </w:r>
      <w:r>
        <w:rPr>
          <w:sz w:val="22"/>
        </w:rPr>
        <w:t>A.  At a symmetric stand-alone valuation, the platform optimally charges a LOWER fee on the side that acts as the 'magnet' for the other side — i.e. the side whose presence exerts the bigger cross-group effect on the partner side.</w:t>
      </w:r>
    </w:p>
    <w:p>
      <w:pPr>
        <w:spacing w:after="20"/>
        <w:ind w:left="454"/>
      </w:pPr>
      <w:r>
        <w:rPr>
          <w:sz w:val="22"/>
        </w:rPr>
        <w:t xml:space="preserve">☐  </w:t>
      </w:r>
      <w:r>
        <w:rPr>
          <w:sz w:val="22"/>
        </w:rPr>
        <w:t>B.  The platform-Lerner formula behaves AS IF the cross-group benefit on the other side were a NEGATIVE marginal cost on this side — so cross-group effects pull prices DOWN relative to a single-sided monopoly with the same elasticity.</w:t>
      </w:r>
    </w:p>
    <w:p>
      <w:pPr>
        <w:spacing w:after="20"/>
        <w:ind w:left="454"/>
      </w:pPr>
      <w:r>
        <w:rPr>
          <w:sz w:val="22"/>
        </w:rPr>
        <w:t xml:space="preserve">☐  </w:t>
      </w:r>
      <w:r>
        <w:rPr>
          <w:sz w:val="22"/>
        </w:rPr>
        <w:t>C.  The total fee revenue is invariant to how a given total tax burden is split between the two sides — only the SUM (a_b + a_s) matters, not the SPLIT.</w:t>
      </w:r>
    </w:p>
    <w:p>
      <w:pPr>
        <w:spacing w:after="20"/>
        <w:ind w:left="454"/>
      </w:pPr>
      <w:r>
        <w:rPr>
          <w:sz w:val="22"/>
        </w:rPr>
        <w:t xml:space="preserve">☐  </w:t>
      </w:r>
      <w:r>
        <w:rPr>
          <w:sz w:val="22"/>
        </w:rPr>
        <w:t>D.  The platform may optimally set a NEGATIVE fee on one side (a genuine subsidy) — even when this implies negative isolated profit on that side — if doing so expands the partner side enough.</w:t>
      </w:r>
    </w:p>
    <w:p>
      <w:pPr>
        <w:spacing w:after="40"/>
      </w:pPr>
      <w:r>
        <w:rPr>
          <w:sz w:val="22"/>
        </w:rPr>
      </w:r>
    </w:p>
    <w:p>
      <w:pPr>
        <w:spacing w:after="40"/>
      </w:pPr>
      <w:r>
        <w:rPr>
          <w:sz w:val="22"/>
        </w:rPr>
      </w:r>
    </w:p>
    <w:p>
      <w:pPr>
        <w:spacing w:before="160" w:after="40"/>
      </w:pPr>
      <w:r>
        <w:rPr>
          <w:b/>
          <w:sz w:val="22"/>
        </w:rPr>
        <w:t xml:space="preserve">Question 6 (4 pts)  </w:t>
      </w:r>
      <w:r>
        <w:rPr>
          <w:i/>
          <w:color w:val="555555"/>
          <w:sz w:val="18"/>
        </w:rPr>
        <w:t>[S4: What structurally shields a platform from disintermediation?]</w:t>
      </w:r>
    </w:p>
    <w:p>
      <w:pPr>
        <w:spacing w:after="40"/>
      </w:pPr>
      <w:r>
        <w:rPr>
          <w:sz w:val="22"/>
        </w:rPr>
        <w:t>Which of the following PLATFORM SETTINGS have STRUCTURALLY LOW disintermediation risk? (I.e. it is structurally difficult for the two sides to leave the platform and transact directly with each other.)</w:t>
      </w:r>
    </w:p>
    <w:p>
      <w:pPr>
        <w:spacing w:after="20"/>
        <w:ind w:left="454"/>
      </w:pPr>
      <w:r>
        <w:rPr>
          <w:sz w:val="22"/>
        </w:rPr>
        <w:t xml:space="preserve">☐  </w:t>
      </w:r>
      <w:r>
        <w:rPr>
          <w:sz w:val="22"/>
        </w:rPr>
        <w:t>A.  A ride-hailing service where each rider faces a different driver every trip and no contact details need to be exchanged.</w:t>
      </w:r>
    </w:p>
    <w:p>
      <w:pPr>
        <w:spacing w:after="20"/>
        <w:ind w:left="454"/>
      </w:pPr>
      <w:r>
        <w:rPr>
          <w:sz w:val="22"/>
        </w:rPr>
        <w:t xml:space="preserve">☐  </w:t>
      </w:r>
      <w:r>
        <w:rPr>
          <w:sz w:val="22"/>
        </w:rPr>
        <w:t>B.  A platform that provides proprietary escrow, fraud insurance, and dispute resolution — services that disappear off-platform.</w:t>
      </w:r>
    </w:p>
    <w:p>
      <w:pPr>
        <w:spacing w:after="20"/>
        <w:ind w:left="454"/>
      </w:pPr>
      <w:r>
        <w:rPr>
          <w:sz w:val="22"/>
        </w:rPr>
        <w:t xml:space="preserve">☐  </w:t>
      </w:r>
      <w:r>
        <w:rPr>
          <w:sz w:val="22"/>
        </w:rPr>
        <w:t>C.  A platform for booking long-term, high-value, low-frequency services (e.g. wedding planning) requiring extensive pre-transaction communication between the parties.</w:t>
      </w:r>
    </w:p>
    <w:p>
      <w:pPr>
        <w:spacing w:after="20"/>
        <w:ind w:left="454"/>
      </w:pPr>
      <w:r>
        <w:rPr>
          <w:sz w:val="22"/>
        </w:rPr>
        <w:t xml:space="preserve">☐  </w:t>
      </w:r>
      <w:r>
        <w:rPr>
          <w:sz w:val="22"/>
        </w:rPr>
        <w:t>D.  A platform whose typical transaction is completed entirely online, with payments automatically settled by the platform's own payment rail.</w:t>
      </w:r>
    </w:p>
    <w:p>
      <w:pPr>
        <w:spacing w:after="40"/>
      </w:pPr>
      <w:r>
        <w:rPr>
          <w:sz w:val="22"/>
        </w:rPr>
      </w:r>
    </w:p>
    <w:p>
      <w:pPr>
        <w:spacing w:after="40"/>
      </w:pPr>
      <w:r>
        <w:rPr>
          <w:sz w:val="22"/>
        </w:rPr>
      </w:r>
    </w:p>
    <w:p>
      <w:pPr>
        <w:spacing w:before="160" w:after="40"/>
      </w:pPr>
      <w:r>
        <w:rPr>
          <w:b/>
          <w:sz w:val="22"/>
        </w:rPr>
        <w:t xml:space="preserve">Question 7 (4 pts)  </w:t>
      </w:r>
      <w:r>
        <w:rPr>
          <w:i/>
          <w:color w:val="555555"/>
          <w:sz w:val="18"/>
        </w:rPr>
        <w:t>[S5: How reputation disciplines one-shot interactions]</w:t>
      </w:r>
    </w:p>
    <w:p>
      <w:pPr>
        <w:spacing w:after="40"/>
      </w:pPr>
      <w:r>
        <w:rPr>
          <w:sz w:val="22"/>
        </w:rPr>
        <w:t>Online platforms typically match each buyer with each seller only ONCE, so the standard 'fear of losing repeat business' threat is absent at the dyadic level. Which of the following mechanisms explain why a well-designed rating system can STILL discipline sellers in this one-shot setting?</w:t>
      </w:r>
    </w:p>
    <w:p>
      <w:pPr>
        <w:spacing w:after="20"/>
        <w:ind w:left="454"/>
      </w:pPr>
      <w:r>
        <w:rPr>
          <w:sz w:val="22"/>
        </w:rPr>
        <w:t xml:space="preserve">☐  </w:t>
      </w:r>
      <w:r>
        <w:rPr>
          <w:sz w:val="22"/>
        </w:rPr>
        <w:t>A.  Reputation substitutes for repeated bilateral interaction by replacing it with repeated interaction with the MARKET: today's bad behaviour is visible to every future buyer in the form of a rating.</w:t>
      </w:r>
    </w:p>
    <w:p>
      <w:pPr>
        <w:spacing w:after="20"/>
        <w:ind w:left="454"/>
      </w:pPr>
      <w:r>
        <w:rPr>
          <w:sz w:val="22"/>
        </w:rPr>
        <w:t xml:space="preserve">☐  </w:t>
      </w:r>
      <w:r>
        <w:rPr>
          <w:sz w:val="22"/>
        </w:rPr>
        <w:t>B.  Reputation defuses ADVERSE SELECTION: persistently low-quality sellers are identified by reviews and either exit voluntarily or get demoted by the ranking algorithm.</w:t>
      </w:r>
    </w:p>
    <w:p>
      <w:pPr>
        <w:spacing w:after="20"/>
        <w:ind w:left="454"/>
      </w:pPr>
      <w:r>
        <w:rPr>
          <w:sz w:val="22"/>
        </w:rPr>
        <w:t xml:space="preserve">☐  </w:t>
      </w:r>
      <w:r>
        <w:rPr>
          <w:sz w:val="22"/>
        </w:rPr>
        <w:t>C.  Reputation defuses MORAL HAZARD: sellers internalise that effort today translates into a higher rating tomorrow, which raises future willingness-to-pay among subsequent buyers.</w:t>
      </w:r>
    </w:p>
    <w:p>
      <w:pPr>
        <w:spacing w:after="20"/>
        <w:ind w:left="454"/>
      </w:pPr>
      <w:r>
        <w:rPr>
          <w:sz w:val="22"/>
        </w:rPr>
        <w:t xml:space="preserve">☐  </w:t>
      </w:r>
      <w:r>
        <w:rPr>
          <w:sz w:val="22"/>
        </w:rPr>
        <w:t>D.  Reputation systems work only when buyer and seller transact repeatedly with each other; in pure one-shot platform markets, ratings carry no incentive value.</w:t>
      </w:r>
    </w:p>
    <w:p>
      <w:pPr>
        <w:spacing w:after="40"/>
      </w:pPr>
      <w:r>
        <w:rPr>
          <w:sz w:val="22"/>
        </w:rPr>
      </w:r>
    </w:p>
    <w:p>
      <w:pPr>
        <w:spacing w:after="40"/>
      </w:pPr>
      <w:r>
        <w:rPr>
          <w:sz w:val="22"/>
        </w:rPr>
      </w:r>
    </w:p>
    <w:p>
      <w:r>
        <w:br w:type="page"/>
      </w:r>
    </w:p>
    <w:p>
      <w:pPr>
        <w:pStyle w:val="Heading1"/>
      </w:pPr>
      <w:r>
        <w:rPr>
          <w:color w:val="1F3A5F"/>
        </w:rPr>
        <w:t>Part B — Empirical interpretation (30 pts, 2 papers × 15 pts)</w:t>
      </w:r>
    </w:p>
    <w:p>
      <w:pPr>
        <w:spacing w:after="80"/>
      </w:pPr>
      <w:r>
        <w:rPr>
          <w:b w:val="0"/>
          <w:i/>
          <w:sz w:val="20"/>
        </w:rPr>
        <w:t>Each paper has three sub-tasks (5 pts each). Stay within the sentence limits.</w:t>
      </w:r>
    </w:p>
    <w:p>
      <w:pPr>
        <w:pStyle w:val="Heading2"/>
      </w:pPr>
      <w:r>
        <w:rPr>
          <w:color w:val="1F3A5F"/>
        </w:rPr>
        <w:t>Paper B1 — Seamans &amp; Zhu (2014, Management Science)</w:t>
      </w:r>
    </w:p>
    <w:p>
      <w:pPr>
        <w:spacing w:after="80"/>
      </w:pPr>
      <w:r>
        <w:rPr>
          <w:b w:val="0"/>
          <w:i w:val="0"/>
          <w:sz w:val="22"/>
        </w:rPr>
        <w:t>Setting. Newspapers are a three-sided platform connecting (i) classified-ad buyers, (ii) subscribers, and (iii) display-ad buyers. Craigslist (founded 1995) is a free online platform for classified ads that entered different local U.S. newspaper markets at different times. Seamans &amp; Zhu use that staggered entry as a DiD design, comparing newspapers WITH a classified-ad manager (treated, since classifieds matter for them) to those WITHOUT (control). They estimate how Craigslist's entry affects FIVE outcomes: log classified-ad rate, log subscription price, circulation share, differentiation from competitors, and log display-ad rate. Dependent variables in logs should be read as percentage changes.</w:t>
      </w:r>
    </w:p>
    <w:p>
      <w:pPr>
        <w:spacing w:after="80"/>
      </w:pPr>
      <w:r>
        <w:rPr>
          <w:b w:val="0"/>
          <w:i w:val="0"/>
          <w:sz w:val="22"/>
        </w:rPr>
      </w:r>
    </w:p>
    <w:p>
      <w:pPr>
        <w:spacing w:after="80"/>
      </w:pPr>
      <w:r>
        <w:rPr>
          <w:b w:val="0"/>
          <w:i/>
          <w:sz w:val="20"/>
        </w:rPr>
        <w:t>Table 3 (excerpt) — Effect of Craigslist entry on newspapers, OLS with newspaper and year fixed effects. The DiD coefficient of interest is on Craigslist entry × Classified. Standard errors (clustered at the newspaper level) in parentheses; * 10 %, ** 5 %, *** 1 % significance.</w:t>
      </w:r>
    </w:p>
    <w:tbl>
      <w:tblPr>
        <w:tblStyle w:val="LightList"/>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DDDDDD"/>
          </w:tcPr>
          <w:p>
            <w:pPr>
              <w:jc w:val="center"/>
            </w:pPr>
            <w:r>
              <w:rPr>
                <w:b/>
                <w:sz w:val="20"/>
              </w:rPr>
            </w:r>
          </w:p>
        </w:tc>
        <w:tc>
          <w:tcPr>
            <w:tcW w:type="dxa" w:w="1624"/>
            <w:shd w:val="clear" w:color="auto" w:fill="DDDDDD"/>
          </w:tcPr>
          <w:p>
            <w:pPr>
              <w:jc w:val="center"/>
            </w:pPr>
            <w:r>
              <w:rPr>
                <w:b/>
                <w:sz w:val="20"/>
              </w:rPr>
              <w:t>Log classified-ad rate</w:t>
            </w:r>
          </w:p>
        </w:tc>
        <w:tc>
          <w:tcPr>
            <w:tcW w:type="dxa" w:w="1624"/>
            <w:shd w:val="clear" w:color="auto" w:fill="DDDDDD"/>
          </w:tcPr>
          <w:p>
            <w:pPr>
              <w:jc w:val="center"/>
            </w:pPr>
            <w:r>
              <w:rPr>
                <w:b/>
                <w:sz w:val="20"/>
              </w:rPr>
              <w:t>Log subscription price</w:t>
            </w:r>
          </w:p>
        </w:tc>
        <w:tc>
          <w:tcPr>
            <w:tcW w:type="dxa" w:w="1624"/>
            <w:shd w:val="clear" w:color="auto" w:fill="DDDDDD"/>
          </w:tcPr>
          <w:p>
            <w:pPr>
              <w:jc w:val="center"/>
            </w:pPr>
            <w:r>
              <w:rPr>
                <w:b/>
                <w:sz w:val="20"/>
              </w:rPr>
              <w:t>Circulation share</w:t>
            </w:r>
          </w:p>
        </w:tc>
        <w:tc>
          <w:tcPr>
            <w:tcW w:type="dxa" w:w="1624"/>
            <w:shd w:val="clear" w:color="auto" w:fill="DDDDDD"/>
          </w:tcPr>
          <w:p>
            <w:pPr>
              <w:jc w:val="center"/>
            </w:pPr>
            <w:r>
              <w:rPr>
                <w:b/>
                <w:sz w:val="20"/>
              </w:rPr>
              <w:t>Differentiation</w:t>
            </w:r>
          </w:p>
        </w:tc>
        <w:tc>
          <w:tcPr>
            <w:tcW w:type="dxa" w:w="1624"/>
            <w:shd w:val="clear" w:color="auto" w:fill="DDDDDD"/>
          </w:tcPr>
          <w:p>
            <w:pPr>
              <w:jc w:val="center"/>
            </w:pPr>
            <w:r>
              <w:rPr>
                <w:b/>
                <w:sz w:val="20"/>
              </w:rPr>
              <w:t>Log display-ad rate</w:t>
            </w:r>
          </w:p>
        </w:tc>
      </w:tr>
      <w:tr>
        <w:tc>
          <w:tcPr>
            <w:tcW w:type="dxa" w:w="1624"/>
          </w:tcPr>
          <w:p>
            <w:pPr>
              <w:jc w:val="center"/>
            </w:pPr>
            <w:r>
              <w:rPr>
                <w:sz w:val="20"/>
              </w:rPr>
              <w:t>Craigslist entry × Classified</w:t>
            </w:r>
          </w:p>
        </w:tc>
        <w:tc>
          <w:tcPr>
            <w:tcW w:type="dxa" w:w="1624"/>
          </w:tcPr>
          <w:p>
            <w:pPr>
              <w:jc w:val="center"/>
            </w:pPr>
            <w:r>
              <w:rPr>
                <w:sz w:val="20"/>
              </w:rPr>
              <w:t>−0.207**</w:t>
            </w:r>
          </w:p>
        </w:tc>
        <w:tc>
          <w:tcPr>
            <w:tcW w:type="dxa" w:w="1624"/>
          </w:tcPr>
          <w:p>
            <w:pPr>
              <w:jc w:val="center"/>
            </w:pPr>
            <w:r>
              <w:rPr>
                <w:sz w:val="20"/>
              </w:rPr>
              <w:t>+0.033***</w:t>
            </w:r>
          </w:p>
        </w:tc>
        <w:tc>
          <w:tcPr>
            <w:tcW w:type="dxa" w:w="1624"/>
          </w:tcPr>
          <w:p>
            <w:pPr>
              <w:jc w:val="center"/>
            </w:pPr>
            <w:r>
              <w:rPr>
                <w:sz w:val="20"/>
              </w:rPr>
              <w:t>−0.006**</w:t>
            </w:r>
          </w:p>
        </w:tc>
        <w:tc>
          <w:tcPr>
            <w:tcW w:type="dxa" w:w="1624"/>
          </w:tcPr>
          <w:p>
            <w:pPr>
              <w:jc w:val="center"/>
            </w:pPr>
            <w:r>
              <w:rPr>
                <w:sz w:val="20"/>
              </w:rPr>
              <w:t>+0.074***</w:t>
            </w:r>
          </w:p>
        </w:tc>
        <w:tc>
          <w:tcPr>
            <w:tcW w:type="dxa" w:w="1624"/>
          </w:tcPr>
          <w:p>
            <w:pPr>
              <w:jc w:val="center"/>
            </w:pPr>
            <w:r>
              <w:rPr>
                <w:sz w:val="20"/>
              </w:rPr>
              <w:t>−0.031**</w:t>
            </w:r>
          </w:p>
        </w:tc>
      </w:tr>
      <w:tr>
        <w:tc>
          <w:tcPr>
            <w:tcW w:type="dxa" w:w="1624"/>
          </w:tcPr>
          <w:p>
            <w:pPr>
              <w:jc w:val="center"/>
            </w:pPr>
            <w:r>
              <w:rPr>
                <w:sz w:val="20"/>
              </w:rPr>
            </w:r>
          </w:p>
        </w:tc>
        <w:tc>
          <w:tcPr>
            <w:tcW w:type="dxa" w:w="1624"/>
          </w:tcPr>
          <w:p>
            <w:pPr>
              <w:jc w:val="center"/>
            </w:pPr>
            <w:r>
              <w:rPr>
                <w:sz w:val="20"/>
              </w:rPr>
              <w:t>(0.091)</w:t>
            </w:r>
          </w:p>
        </w:tc>
        <w:tc>
          <w:tcPr>
            <w:tcW w:type="dxa" w:w="1624"/>
          </w:tcPr>
          <w:p>
            <w:pPr>
              <w:jc w:val="center"/>
            </w:pPr>
            <w:r>
              <w:rPr>
                <w:sz w:val="20"/>
              </w:rPr>
              <w:t>(0.011)</w:t>
            </w:r>
          </w:p>
        </w:tc>
        <w:tc>
          <w:tcPr>
            <w:tcW w:type="dxa" w:w="1624"/>
          </w:tcPr>
          <w:p>
            <w:pPr>
              <w:jc w:val="center"/>
            </w:pPr>
            <w:r>
              <w:rPr>
                <w:sz w:val="20"/>
              </w:rPr>
              <w:t>(0.003)</w:t>
            </w:r>
          </w:p>
        </w:tc>
        <w:tc>
          <w:tcPr>
            <w:tcW w:type="dxa" w:w="1624"/>
          </w:tcPr>
          <w:p>
            <w:pPr>
              <w:jc w:val="center"/>
            </w:pPr>
            <w:r>
              <w:rPr>
                <w:sz w:val="20"/>
              </w:rPr>
              <w:t>(0.023)</w:t>
            </w:r>
          </w:p>
        </w:tc>
        <w:tc>
          <w:tcPr>
            <w:tcW w:type="dxa" w:w="1624"/>
          </w:tcPr>
          <w:p>
            <w:pPr>
              <w:jc w:val="center"/>
            </w:pPr>
            <w:r>
              <w:rPr>
                <w:sz w:val="20"/>
              </w:rPr>
              <w:t>(0.015)</w:t>
            </w:r>
          </w:p>
        </w:tc>
      </w:tr>
      <w:tr>
        <w:tc>
          <w:tcPr>
            <w:tcW w:type="dxa" w:w="1624"/>
          </w:tcPr>
          <w:p>
            <w:pPr>
              <w:jc w:val="center"/>
            </w:pPr>
            <w:r>
              <w:rPr>
                <w:sz w:val="20"/>
              </w:rPr>
              <w:t>Craigslist entry (alone)</w:t>
            </w:r>
          </w:p>
        </w:tc>
        <w:tc>
          <w:tcPr>
            <w:tcW w:type="dxa" w:w="1624"/>
          </w:tcPr>
          <w:p>
            <w:pPr>
              <w:jc w:val="center"/>
            </w:pPr>
            <w:r>
              <w:rPr>
                <w:sz w:val="20"/>
              </w:rPr>
              <w:t>+0.068</w:t>
            </w:r>
          </w:p>
        </w:tc>
        <w:tc>
          <w:tcPr>
            <w:tcW w:type="dxa" w:w="1624"/>
          </w:tcPr>
          <w:p>
            <w:pPr>
              <w:jc w:val="center"/>
            </w:pPr>
            <w:r>
              <w:rPr>
                <w:sz w:val="20"/>
              </w:rPr>
              <w:t>−0.013</w:t>
            </w:r>
          </w:p>
        </w:tc>
        <w:tc>
          <w:tcPr>
            <w:tcW w:type="dxa" w:w="1624"/>
          </w:tcPr>
          <w:p>
            <w:pPr>
              <w:jc w:val="center"/>
            </w:pPr>
            <w:r>
              <w:rPr>
                <w:sz w:val="20"/>
              </w:rPr>
              <w:t>+0.000</w:t>
            </w:r>
          </w:p>
        </w:tc>
        <w:tc>
          <w:tcPr>
            <w:tcW w:type="dxa" w:w="1624"/>
          </w:tcPr>
          <w:p>
            <w:pPr>
              <w:jc w:val="center"/>
            </w:pPr>
            <w:r>
              <w:rPr>
                <w:sz w:val="20"/>
              </w:rPr>
              <w:t>−0.032</w:t>
            </w:r>
          </w:p>
        </w:tc>
        <w:tc>
          <w:tcPr>
            <w:tcW w:type="dxa" w:w="1624"/>
          </w:tcPr>
          <w:p>
            <w:pPr>
              <w:jc w:val="center"/>
            </w:pPr>
            <w:r>
              <w:rPr>
                <w:sz w:val="20"/>
              </w:rPr>
              <w:t>+0.011</w:t>
            </w:r>
          </w:p>
        </w:tc>
      </w:tr>
      <w:tr>
        <w:tc>
          <w:tcPr>
            <w:tcW w:type="dxa" w:w="1624"/>
          </w:tcPr>
          <w:p>
            <w:pPr>
              <w:jc w:val="center"/>
            </w:pPr>
            <w:r>
              <w:rPr>
                <w:sz w:val="20"/>
              </w:rPr>
            </w:r>
          </w:p>
        </w:tc>
        <w:tc>
          <w:tcPr>
            <w:tcW w:type="dxa" w:w="1624"/>
          </w:tcPr>
          <w:p>
            <w:pPr>
              <w:jc w:val="center"/>
            </w:pPr>
            <w:r>
              <w:rPr>
                <w:sz w:val="20"/>
              </w:rPr>
              <w:t>(0.071)</w:t>
            </w:r>
          </w:p>
        </w:tc>
        <w:tc>
          <w:tcPr>
            <w:tcW w:type="dxa" w:w="1624"/>
          </w:tcPr>
          <w:p>
            <w:pPr>
              <w:jc w:val="center"/>
            </w:pPr>
            <w:r>
              <w:rPr>
                <w:sz w:val="20"/>
              </w:rPr>
              <w:t>(0.008)</w:t>
            </w:r>
          </w:p>
        </w:tc>
        <w:tc>
          <w:tcPr>
            <w:tcW w:type="dxa" w:w="1624"/>
          </w:tcPr>
          <w:p>
            <w:pPr>
              <w:jc w:val="center"/>
            </w:pPr>
            <w:r>
              <w:rPr>
                <w:sz w:val="20"/>
              </w:rPr>
              <w:t>(0.001)</w:t>
            </w:r>
          </w:p>
        </w:tc>
        <w:tc>
          <w:tcPr>
            <w:tcW w:type="dxa" w:w="1624"/>
          </w:tcPr>
          <w:p>
            <w:pPr>
              <w:jc w:val="center"/>
            </w:pPr>
            <w:r>
              <w:rPr>
                <w:sz w:val="20"/>
              </w:rPr>
              <w:t>(0.022)</w:t>
            </w:r>
          </w:p>
        </w:tc>
        <w:tc>
          <w:tcPr>
            <w:tcW w:type="dxa" w:w="1624"/>
          </w:tcPr>
          <w:p>
            <w:pPr>
              <w:jc w:val="center"/>
            </w:pPr>
            <w:r>
              <w:rPr>
                <w:sz w:val="20"/>
              </w:rPr>
              <w:t>(0.012)</w:t>
            </w:r>
          </w:p>
        </w:tc>
      </w:tr>
      <w:tr>
        <w:tc>
          <w:tcPr>
            <w:tcW w:type="dxa" w:w="1624"/>
          </w:tcPr>
          <w:p>
            <w:pPr>
              <w:jc w:val="center"/>
            </w:pPr>
            <w:r>
              <w:rPr>
                <w:sz w:val="20"/>
              </w:rPr>
              <w:t>Newspaper FE</w:t>
            </w:r>
          </w:p>
        </w:tc>
        <w:tc>
          <w:tcPr>
            <w:tcW w:type="dxa" w:w="1624"/>
          </w:tcPr>
          <w:p>
            <w:pPr>
              <w:jc w:val="center"/>
            </w:pPr>
            <w:r>
              <w:rPr>
                <w:sz w:val="20"/>
              </w:rPr>
              <w:t>Yes</w:t>
            </w:r>
          </w:p>
        </w:tc>
        <w:tc>
          <w:tcPr>
            <w:tcW w:type="dxa" w:w="1624"/>
          </w:tcPr>
          <w:p>
            <w:pPr>
              <w:jc w:val="center"/>
            </w:pPr>
            <w:r>
              <w:rPr>
                <w:sz w:val="20"/>
              </w:rPr>
              <w:t>Yes</w:t>
            </w:r>
          </w:p>
        </w:tc>
        <w:tc>
          <w:tcPr>
            <w:tcW w:type="dxa" w:w="1624"/>
          </w:tcPr>
          <w:p>
            <w:pPr>
              <w:jc w:val="center"/>
            </w:pPr>
            <w:r>
              <w:rPr>
                <w:sz w:val="20"/>
              </w:rPr>
              <w:t>Yes</w:t>
            </w:r>
          </w:p>
        </w:tc>
        <w:tc>
          <w:tcPr>
            <w:tcW w:type="dxa" w:w="1624"/>
          </w:tcPr>
          <w:p>
            <w:pPr>
              <w:jc w:val="center"/>
            </w:pPr>
            <w:r>
              <w:rPr>
                <w:sz w:val="20"/>
              </w:rPr>
              <w:t>Yes</w:t>
            </w:r>
          </w:p>
        </w:tc>
        <w:tc>
          <w:tcPr>
            <w:tcW w:type="dxa" w:w="1624"/>
          </w:tcPr>
          <w:p>
            <w:pPr>
              <w:jc w:val="center"/>
            </w:pPr>
            <w:r>
              <w:rPr>
                <w:sz w:val="20"/>
              </w:rPr>
              <w:t>Yes</w:t>
            </w:r>
          </w:p>
        </w:tc>
      </w:tr>
      <w:tr>
        <w:tc>
          <w:tcPr>
            <w:tcW w:type="dxa" w:w="1624"/>
          </w:tcPr>
          <w:p>
            <w:pPr>
              <w:jc w:val="center"/>
            </w:pPr>
            <w:r>
              <w:rPr>
                <w:sz w:val="20"/>
              </w:rPr>
              <w:t>Year FE</w:t>
            </w:r>
          </w:p>
        </w:tc>
        <w:tc>
          <w:tcPr>
            <w:tcW w:type="dxa" w:w="1624"/>
          </w:tcPr>
          <w:p>
            <w:pPr>
              <w:jc w:val="center"/>
            </w:pPr>
            <w:r>
              <w:rPr>
                <w:sz w:val="20"/>
              </w:rPr>
              <w:t>Yes</w:t>
            </w:r>
          </w:p>
        </w:tc>
        <w:tc>
          <w:tcPr>
            <w:tcW w:type="dxa" w:w="1624"/>
          </w:tcPr>
          <w:p>
            <w:pPr>
              <w:jc w:val="center"/>
            </w:pPr>
            <w:r>
              <w:rPr>
                <w:sz w:val="20"/>
              </w:rPr>
              <w:t>Yes</w:t>
            </w:r>
          </w:p>
        </w:tc>
        <w:tc>
          <w:tcPr>
            <w:tcW w:type="dxa" w:w="1624"/>
          </w:tcPr>
          <w:p>
            <w:pPr>
              <w:jc w:val="center"/>
            </w:pPr>
            <w:r>
              <w:rPr>
                <w:sz w:val="20"/>
              </w:rPr>
              <w:t>Yes</w:t>
            </w:r>
          </w:p>
        </w:tc>
        <w:tc>
          <w:tcPr>
            <w:tcW w:type="dxa" w:w="1624"/>
          </w:tcPr>
          <w:p>
            <w:pPr>
              <w:jc w:val="center"/>
            </w:pPr>
            <w:r>
              <w:rPr>
                <w:sz w:val="20"/>
              </w:rPr>
              <w:t>Yes</w:t>
            </w:r>
          </w:p>
        </w:tc>
        <w:tc>
          <w:tcPr>
            <w:tcW w:type="dxa" w:w="1624"/>
          </w:tcPr>
          <w:p>
            <w:pPr>
              <w:jc w:val="center"/>
            </w:pPr>
            <w:r>
              <w:rPr>
                <w:sz w:val="20"/>
              </w:rPr>
              <w:t>Yes</w:t>
            </w:r>
          </w:p>
        </w:tc>
      </w:tr>
      <w:tr>
        <w:tc>
          <w:tcPr>
            <w:tcW w:type="dxa" w:w="1624"/>
          </w:tcPr>
          <w:p>
            <w:pPr>
              <w:jc w:val="center"/>
            </w:pPr>
            <w:r>
              <w:rPr>
                <w:sz w:val="20"/>
              </w:rPr>
              <w:t>Observations</w:t>
            </w:r>
          </w:p>
        </w:tc>
        <w:tc>
          <w:tcPr>
            <w:tcW w:type="dxa" w:w="1624"/>
          </w:tcPr>
          <w:p>
            <w:pPr>
              <w:jc w:val="center"/>
            </w:pPr>
            <w:r>
              <w:rPr>
                <w:sz w:val="20"/>
              </w:rPr>
              <w:t>4,098</w:t>
            </w:r>
          </w:p>
        </w:tc>
        <w:tc>
          <w:tcPr>
            <w:tcW w:type="dxa" w:w="1624"/>
          </w:tcPr>
          <w:p>
            <w:pPr>
              <w:jc w:val="center"/>
            </w:pPr>
            <w:r>
              <w:rPr>
                <w:sz w:val="20"/>
              </w:rPr>
              <w:t>6,802</w:t>
            </w:r>
          </w:p>
        </w:tc>
        <w:tc>
          <w:tcPr>
            <w:tcW w:type="dxa" w:w="1624"/>
          </w:tcPr>
          <w:p>
            <w:pPr>
              <w:jc w:val="center"/>
            </w:pPr>
            <w:r>
              <w:rPr>
                <w:sz w:val="20"/>
              </w:rPr>
              <w:t>4,427</w:t>
            </w:r>
          </w:p>
        </w:tc>
        <w:tc>
          <w:tcPr>
            <w:tcW w:type="dxa" w:w="1624"/>
          </w:tcPr>
          <w:p>
            <w:pPr>
              <w:jc w:val="center"/>
            </w:pPr>
            <w:r>
              <w:rPr>
                <w:sz w:val="20"/>
              </w:rPr>
              <w:t>4,194</w:t>
            </w:r>
          </w:p>
        </w:tc>
        <w:tc>
          <w:tcPr>
            <w:tcW w:type="dxa" w:w="1624"/>
          </w:tcPr>
          <w:p>
            <w:pPr>
              <w:jc w:val="center"/>
            </w:pPr>
            <w:r>
              <w:rPr>
                <w:sz w:val="20"/>
              </w:rPr>
              <w:t>4,918</w:t>
            </w:r>
          </w:p>
        </w:tc>
      </w:tr>
    </w:tbl>
    <w:p>
      <w:pPr>
        <w:spacing w:after="80"/>
      </w:pPr>
      <w:r>
        <w:rPr>
          <w:b w:val="0"/>
          <w:i/>
          <w:sz w:val="18"/>
        </w:rPr>
        <w:t>Source: Seamans &amp; Zhu (2014), Management Science 60(2), Table 3, p. 484. Coefficients shown are from Models (2), (4), (6), (8), (10), which include Average ISPs as a control. Classified is a dummy = 1 if the newspaper has a classified-ad manager.</w:t>
      </w:r>
    </w:p>
    <w:p>
      <w:pPr>
        <w:spacing w:after="80"/>
      </w:pPr>
      <w:r>
        <w:rPr>
          <w:b w:val="0"/>
          <w:i w:val="0"/>
          <w:sz w:val="22"/>
        </w:rPr>
      </w:r>
    </w:p>
    <w:p>
      <w:pPr>
        <w:spacing w:after="80"/>
      </w:pPr>
      <w:r>
        <w:rPr>
          <w:b w:val="0"/>
          <w:i w:val="0"/>
          <w:sz w:val="22"/>
        </w:rPr>
        <w:t>Sub-task 1 (5 pts).  Describe the identification strategy in two sentences: what is the treatment, what is the control, and what is the key assumption (state it precisely — not 'parallel pre-trends').</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2 (5 pts).  Interpret the coefficient −0.207** on Craigslist × Classified in column 1 (Log classified-ad rate). In two to four sentences: (i) state the sign and approximate percentage magnitude (the log transformation matters here — be explicit), (ii) state its significance level, and (iii) explain why the SAME coefficient is NEGATIVE on column 1 but POSITIVE on column 2 (Log subscription price), connecting both to the two-sided-market story of price propagation across sides.</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3 (5 pts).  Connect this paper to lecture material in three sentences: (i) the rate-cut on the classified side and the rate-rise on the subscriber side are an empirical realisation of WHICH theoretical property of two-sided pricing covered in Section 4, and (ii) what does the +0.074*** coefficient on differentiation tell us about how an incumbent two-sided platform reacts to competitive entry on ONE of its sides?</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r>
        <w:br w:type="page"/>
      </w:r>
    </w:p>
    <w:p>
      <w:pPr>
        <w:pStyle w:val="Heading2"/>
      </w:pPr>
      <w:r>
        <w:rPr>
          <w:color w:val="1F3A5F"/>
        </w:rPr>
        <w:t>Paper B2 — Freimane (2025, Job Market Paper)</w:t>
      </w:r>
    </w:p>
    <w:p>
      <w:pPr>
        <w:spacing w:after="80"/>
      </w:pPr>
      <w:r>
        <w:rPr>
          <w:b w:val="0"/>
          <w:i w:val="0"/>
          <w:sz w:val="22"/>
        </w:rPr>
        <w:t>Setting. YouTube creators (video uploaders) used to receive both public LIKE counts and public DISLIKE counts on each video. In November 2021, YouTube made the dislike count private (creators still see it; the public does not). Freimane uses this design change as a DiD with creators as units, gender as the treatment dimension, and the policy date as the time split. The motivation: prior to the change, female creators received more negative feedback than male creators for comparable content (a documented gender bias in dislikes).</w:t>
      </w:r>
    </w:p>
    <w:p>
      <w:pPr>
        <w:spacing w:after="80"/>
      </w:pPr>
      <w:r>
        <w:rPr>
          <w:b w:val="0"/>
          <w:i w:val="0"/>
          <w:sz w:val="22"/>
        </w:rPr>
      </w:r>
    </w:p>
    <w:p>
      <w:pPr>
        <w:spacing w:after="80"/>
      </w:pPr>
      <w:r>
        <w:rPr>
          <w:b w:val="0"/>
          <w:i/>
          <w:sz w:val="20"/>
        </w:rPr>
        <w:t>Table 7 (Effect on dislikes) and Table 11 (Effect on video supply). Standard errors clustered by channel in Table 7; wild-cluster bootstrap CIs in Table 11. *** 1 %, ** 5 %, * 10 %. The dependent variables in Table 7 are in logs, so coefficients are approximately percentage changes.</w:t>
      </w:r>
    </w:p>
    <w:tbl>
      <w:tblPr>
        <w:tblStyle w:val="LightList"/>
        <w:tblW w:type="auto" w:w="0"/>
        <w:jc w:val="center"/>
        <w:tblLook w:firstColumn="1" w:firstRow="1" w:lastColumn="0" w:lastRow="0" w:noHBand="0" w:noVBand="1" w:val="04A0"/>
      </w:tblPr>
      <w:tblGrid>
        <w:gridCol w:w="2436"/>
        <w:gridCol w:w="2436"/>
        <w:gridCol w:w="2436"/>
        <w:gridCol w:w="2436"/>
      </w:tblGrid>
      <w:tr>
        <w:tc>
          <w:tcPr>
            <w:tcW w:type="dxa" w:w="2436"/>
            <w:shd w:val="clear" w:color="auto" w:fill="DDDDDD"/>
          </w:tcPr>
          <w:p>
            <w:pPr>
              <w:jc w:val="center"/>
            </w:pPr>
            <w:r>
              <w:rPr>
                <w:b/>
                <w:sz w:val="20"/>
              </w:rPr>
            </w:r>
          </w:p>
        </w:tc>
        <w:tc>
          <w:tcPr>
            <w:tcW w:type="dxa" w:w="2436"/>
            <w:shd w:val="clear" w:color="auto" w:fill="DDDDDD"/>
          </w:tcPr>
          <w:p>
            <w:pPr>
              <w:jc w:val="center"/>
            </w:pPr>
            <w:r>
              <w:rPr>
                <w:b/>
                <w:sz w:val="20"/>
              </w:rPr>
              <w:t>Table 7 col 1 — ln(Dislikes)</w:t>
            </w:r>
          </w:p>
        </w:tc>
        <w:tc>
          <w:tcPr>
            <w:tcW w:type="dxa" w:w="2436"/>
            <w:shd w:val="clear" w:color="auto" w:fill="DDDDDD"/>
          </w:tcPr>
          <w:p>
            <w:pPr>
              <w:jc w:val="center"/>
            </w:pPr>
            <w:r>
              <w:rPr>
                <w:b/>
                <w:sz w:val="20"/>
              </w:rPr>
              <w:t>Table 7 col 2 — ln(Dislikes) + controls</w:t>
            </w:r>
          </w:p>
        </w:tc>
        <w:tc>
          <w:tcPr>
            <w:tcW w:type="dxa" w:w="2436"/>
            <w:shd w:val="clear" w:color="auto" w:fill="DDDDDD"/>
          </w:tcPr>
          <w:p>
            <w:pPr>
              <w:jc w:val="center"/>
            </w:pPr>
            <w:r>
              <w:rPr>
                <w:b/>
                <w:sz w:val="20"/>
              </w:rPr>
              <w:t>Table 11 — ln(Videos per month)</w:t>
            </w:r>
          </w:p>
        </w:tc>
      </w:tr>
      <w:tr>
        <w:tc>
          <w:tcPr>
            <w:tcW w:type="dxa" w:w="2436"/>
          </w:tcPr>
          <w:p>
            <w:pPr>
              <w:jc w:val="center"/>
            </w:pPr>
            <w:r>
              <w:rPr>
                <w:sz w:val="20"/>
              </w:rPr>
              <w:t>Post × Female</w:t>
            </w:r>
          </w:p>
        </w:tc>
        <w:tc>
          <w:tcPr>
            <w:tcW w:type="dxa" w:w="2436"/>
          </w:tcPr>
          <w:p>
            <w:pPr>
              <w:jc w:val="center"/>
            </w:pPr>
            <w:r>
              <w:rPr>
                <w:sz w:val="20"/>
              </w:rPr>
              <w:t>−0.30**</w:t>
            </w:r>
          </w:p>
        </w:tc>
        <w:tc>
          <w:tcPr>
            <w:tcW w:type="dxa" w:w="2436"/>
          </w:tcPr>
          <w:p>
            <w:pPr>
              <w:jc w:val="center"/>
            </w:pPr>
            <w:r>
              <w:rPr>
                <w:sz w:val="20"/>
              </w:rPr>
              <w:t>−0.21**</w:t>
            </w:r>
          </w:p>
        </w:tc>
        <w:tc>
          <w:tcPr>
            <w:tcW w:type="dxa" w:w="2436"/>
          </w:tcPr>
          <w:p>
            <w:pPr>
              <w:jc w:val="center"/>
            </w:pPr>
            <w:r>
              <w:rPr>
                <w:sz w:val="20"/>
              </w:rPr>
              <w:t>+0.084  [0.011, 0.180]</w:t>
            </w:r>
          </w:p>
        </w:tc>
      </w:tr>
      <w:tr>
        <w:tc>
          <w:tcPr>
            <w:tcW w:type="dxa" w:w="2436"/>
          </w:tcPr>
          <w:p>
            <w:pPr>
              <w:jc w:val="center"/>
            </w:pPr>
            <w:r>
              <w:rPr>
                <w:sz w:val="20"/>
              </w:rPr>
            </w:r>
          </w:p>
        </w:tc>
        <w:tc>
          <w:tcPr>
            <w:tcW w:type="dxa" w:w="2436"/>
          </w:tcPr>
          <w:p>
            <w:pPr>
              <w:jc w:val="center"/>
            </w:pPr>
            <w:r>
              <w:rPr>
                <w:sz w:val="20"/>
              </w:rPr>
              <w:t>(0.12)</w:t>
            </w:r>
          </w:p>
        </w:tc>
        <w:tc>
          <w:tcPr>
            <w:tcW w:type="dxa" w:w="2436"/>
          </w:tcPr>
          <w:p>
            <w:pPr>
              <w:jc w:val="center"/>
            </w:pPr>
            <w:r>
              <w:rPr>
                <w:sz w:val="20"/>
              </w:rPr>
              <w:t>(0.10)</w:t>
            </w:r>
          </w:p>
        </w:tc>
        <w:tc>
          <w:tcPr>
            <w:tcW w:type="dxa" w:w="2436"/>
          </w:tcPr>
          <w:p>
            <w:pPr>
              <w:jc w:val="center"/>
            </w:pPr>
            <w:r>
              <w:rPr>
                <w:sz w:val="20"/>
              </w:rPr>
              <w:t>(95 % CI)</w:t>
            </w:r>
          </w:p>
        </w:tc>
      </w:tr>
      <w:tr>
        <w:tc>
          <w:tcPr>
            <w:tcW w:type="dxa" w:w="2436"/>
          </w:tcPr>
          <w:p>
            <w:pPr>
              <w:jc w:val="center"/>
            </w:pPr>
            <w:r>
              <w:rPr>
                <w:sz w:val="20"/>
              </w:rPr>
              <w:t>Channel FE</w:t>
            </w:r>
          </w:p>
        </w:tc>
        <w:tc>
          <w:tcPr>
            <w:tcW w:type="dxa" w:w="2436"/>
          </w:tcPr>
          <w:p>
            <w:pPr>
              <w:jc w:val="center"/>
            </w:pPr>
            <w:r>
              <w:rPr>
                <w:sz w:val="20"/>
              </w:rPr>
              <w:t>Yes</w:t>
            </w:r>
          </w:p>
        </w:tc>
        <w:tc>
          <w:tcPr>
            <w:tcW w:type="dxa" w:w="2436"/>
          </w:tcPr>
          <w:p>
            <w:pPr>
              <w:jc w:val="center"/>
            </w:pPr>
            <w:r>
              <w:rPr>
                <w:sz w:val="20"/>
              </w:rPr>
              <w:t>Yes</w:t>
            </w:r>
          </w:p>
        </w:tc>
        <w:tc>
          <w:tcPr>
            <w:tcW w:type="dxa" w:w="2436"/>
          </w:tcPr>
          <w:p>
            <w:pPr>
              <w:jc w:val="center"/>
            </w:pPr>
            <w:r>
              <w:rPr>
                <w:sz w:val="20"/>
              </w:rPr>
              <w:t>Yes</w:t>
            </w:r>
          </w:p>
        </w:tc>
      </w:tr>
      <w:tr>
        <w:tc>
          <w:tcPr>
            <w:tcW w:type="dxa" w:w="2436"/>
          </w:tcPr>
          <w:p>
            <w:pPr>
              <w:jc w:val="center"/>
            </w:pPr>
            <w:r>
              <w:rPr>
                <w:sz w:val="20"/>
              </w:rPr>
              <w:t>Time FE</w:t>
            </w:r>
          </w:p>
        </w:tc>
        <w:tc>
          <w:tcPr>
            <w:tcW w:type="dxa" w:w="2436"/>
          </w:tcPr>
          <w:p>
            <w:pPr>
              <w:jc w:val="center"/>
            </w:pPr>
            <w:r>
              <w:rPr>
                <w:sz w:val="20"/>
              </w:rPr>
              <w:t>Yes</w:t>
            </w:r>
          </w:p>
        </w:tc>
        <w:tc>
          <w:tcPr>
            <w:tcW w:type="dxa" w:w="2436"/>
          </w:tcPr>
          <w:p>
            <w:pPr>
              <w:jc w:val="center"/>
            </w:pPr>
            <w:r>
              <w:rPr>
                <w:sz w:val="20"/>
              </w:rPr>
              <w:t>Yes</w:t>
            </w:r>
          </w:p>
        </w:tc>
        <w:tc>
          <w:tcPr>
            <w:tcW w:type="dxa" w:w="2436"/>
          </w:tcPr>
          <w:p>
            <w:pPr>
              <w:jc w:val="center"/>
            </w:pPr>
            <w:r>
              <w:rPr>
                <w:sz w:val="20"/>
              </w:rPr>
              <w:t>Yes</w:t>
            </w:r>
          </w:p>
        </w:tc>
      </w:tr>
      <w:tr>
        <w:tc>
          <w:tcPr>
            <w:tcW w:type="dxa" w:w="2436"/>
          </w:tcPr>
          <w:p>
            <w:pPr>
              <w:jc w:val="center"/>
            </w:pPr>
            <w:r>
              <w:rPr>
                <w:sz w:val="20"/>
              </w:rPr>
              <w:t>Observations</w:t>
            </w:r>
          </w:p>
        </w:tc>
        <w:tc>
          <w:tcPr>
            <w:tcW w:type="dxa" w:w="2436"/>
          </w:tcPr>
          <w:p>
            <w:pPr>
              <w:jc w:val="center"/>
            </w:pPr>
            <w:r>
              <w:rPr>
                <w:sz w:val="20"/>
              </w:rPr>
              <w:t>49,759</w:t>
            </w:r>
          </w:p>
        </w:tc>
        <w:tc>
          <w:tcPr>
            <w:tcW w:type="dxa" w:w="2436"/>
          </w:tcPr>
          <w:p>
            <w:pPr>
              <w:jc w:val="center"/>
            </w:pPr>
            <w:r>
              <w:rPr>
                <w:sz w:val="20"/>
              </w:rPr>
              <w:t>49,759</w:t>
            </w:r>
          </w:p>
        </w:tc>
        <w:tc>
          <w:tcPr>
            <w:tcW w:type="dxa" w:w="2436"/>
          </w:tcPr>
          <w:p>
            <w:pPr>
              <w:jc w:val="center"/>
            </w:pPr>
            <w:r>
              <w:rPr>
                <w:sz w:val="20"/>
              </w:rPr>
              <w:t>37,992</w:t>
            </w:r>
          </w:p>
        </w:tc>
      </w:tr>
    </w:tbl>
    <w:p>
      <w:pPr>
        <w:spacing w:after="80"/>
      </w:pPr>
      <w:r>
        <w:rPr>
          <w:b w:val="0"/>
          <w:i/>
          <w:sz w:val="18"/>
        </w:rPr>
        <w:t>Source: Freimane (2025), Tables 7 and 11. The mean treatment-effect text reports: female creators experience a ≈30 % drop in dislikes (≈21 % once video-level controls are added), produce 8.4 % more videos per month, and see a 15.5 % increase in demand (views) after the policy change, all relative to male creators.</w:t>
      </w:r>
    </w:p>
    <w:p>
      <w:pPr>
        <w:spacing w:after="80"/>
      </w:pPr>
      <w:r>
        <w:rPr>
          <w:b w:val="0"/>
          <w:i w:val="0"/>
          <w:sz w:val="22"/>
        </w:rPr>
      </w:r>
    </w:p>
    <w:p>
      <w:pPr>
        <w:spacing w:after="80"/>
      </w:pPr>
      <w:r>
        <w:rPr>
          <w:b w:val="0"/>
          <w:i w:val="0"/>
          <w:sz w:val="22"/>
        </w:rPr>
        <w:t>Sub-task 1 (5 pts).  Describe the identification strategy in two sentences. Be explicit about (i) what the treatment IS (it is NOT 'the dislike-removal policy' tout court — both genders were exposed to that), and (ii) why a difference-in-differences across GENDER is the right design when both groups see the same calendar shock.</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2 (5 pts).  In two to four sentences, interpret the difference between column 1 (−0.30**) and column 2 (−0.21**) of Table 7: (i) translate each into the implied percentage change, (ii) explain what economic content the additional controls in column 2 absorb, and (iii) say whether the smaller controlled estimate strengthens or weakens the paper's causal claim.</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3 (5 pts).  Connect this paper to Section 5 (rating systems) in three sentences. (i) Identify which dysfunction of a rating system — the lecture mentioned three (selection bias, reciprocity, truthfulness/strategic manipulation) — the dislike count was generating in YouTube's environment. (ii) Explain why removing the PUBLIC display of dislikes — while keeping the PRIVATE count for the creator — is a more targeted fix than removing dislikes altogether. (iii) Relate the +8.4 % video-supply effect to the Section-1 idea that platforms shape contribution incentives via design.</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r>
        <w:br w:type="page"/>
      </w:r>
    </w:p>
    <w:p>
      <w:pPr>
        <w:pStyle w:val="Heading1"/>
      </w:pPr>
      <w:r>
        <w:rPr>
          <w:color w:val="1F3A5F"/>
        </w:rPr>
        <w:t>Part C — Model task (30 pts, 5 sub-tasks × 6 pts)</w:t>
      </w:r>
    </w:p>
    <w:p>
      <w:pPr>
        <w:spacing w:after="80"/>
      </w:pPr>
      <w:r>
        <w:rPr>
          <w:b w:val="0"/>
          <w:i w:val="0"/>
          <w:sz w:val="22"/>
        </w:rPr>
        <w:t>Setting. A two-sided MONOPOLY platform attracts two heterogeneous user groups: buyers (side b) and sellers (side s). Each user has an idiosyncratic opportunity cost τ drawn from U[0, 1] that captures how much it costs her to be active on the platform. Platform design and content quality are SYMMETRIC across sides — the stand-alone value is r_b = r_s = 1 and the cross-group network-effect intensity is β_b = β_s = 1/2. The TWIST relative to the standard Set-4 problem: the platform's MARGINAL COST of supporting one extra user is ASYMMETRIC across sides. Supporting one extra buyer is free (c_b = 0) but supporting one extra seller costs the platform c_s = 1/2 in fraud-monitoring, escrow, etc. The platform sets two membership fees, P_b and P_s.</w:t>
        <w:br/>
        <w:br/>
        <w:t>Utilities and platform profit:</w:t>
        <w:br/>
        <w:t xml:space="preserve">    u_b = 1 + (1/2) · n_s − P_b − τ_b,        τ_b ~ U[0, 1],</w:t>
        <w:br/>
        <w:t xml:space="preserve">    u_s = 1 + (1/2) · n_b − P_s − τ_s,        τ_s ~ U[0, 1],</w:t>
        <w:br/>
        <w:t xml:space="preserve">    π   = P_b · n_b  +  (P_s − 1/2) · n_s.</w:t>
        <w:br/>
        <w:br/>
        <w:t>All parameter values are picked so that the algebra is clean; you will not need a calculator.</w:t>
      </w:r>
    </w:p>
    <w:p>
      <w:pPr>
        <w:spacing w:after="80"/>
      </w:pPr>
      <w:r>
        <w:rPr>
          <w:b w:val="0"/>
          <w:i w:val="0"/>
          <w:sz w:val="22"/>
        </w:rPr>
      </w:r>
    </w:p>
    <w:p>
      <w:pPr>
        <w:spacing w:after="80"/>
      </w:pPr>
      <w:r>
        <w:rPr>
          <w:b w:val="0"/>
          <w:i w:val="0"/>
          <w:sz w:val="22"/>
        </w:rPr>
        <w:t>Sub-task 1 (6 pts).  Find the indifferent user on each side (τ̂_b and τ̂_s) as functions of P_b, P_s, and the EXPECTED partner-side masses (n_b, n_s). Imposing fulfilled expectations on both sides, derive the system that determines (n_b, n_s) given (P_b, P_s), and solve it to get n_b and n_s as explicit linear functions of P_b and P_s.</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2 (6 pts).  Write down the platform's profit explicitly, taking the asymmetric marginal costs into account. Derive the FIRST-ORDER CONDITIONS in P_b and P_s — i.e. simplify ∂π/∂P_b = 0 and ∂π/∂P_s = 0 into the two best-response equations.</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3 (6 pts).  Solve the two best-response equations simultaneously to obtain the equilibrium fees P_b* and P_s*. Plug them back in to get the equilibrium masses n_b*, n_s* and the platform's profit π*.</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4 (6 pts).  Compare your equilibrium with the BASELINE case c_b = c_s = 0 (everything else identical). (a) Solve the baseline equilibrium: P_b^0, P_s^0, n_b^0, n_s^0, π^0. (b) Compute Δ P_s = P_s* − P_s^0 and Δ P_b = P_b* − P_b^0. State which fraction of c_s the platform passes through to sellers, and what fraction it absorbs itself. (c) Comment in one or two sentences on the Δ P_b you obtained — does the buyer-side fee move? If not, explain why the cross-group channel does not force it to.</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80"/>
      </w:pPr>
      <w:r>
        <w:rPr>
          <w:b w:val="0"/>
          <w:i w:val="0"/>
          <w:sz w:val="22"/>
        </w:rPr>
        <w:t>Sub-task 5 (6 pts).  Verbal bridge. The seller-side marginal cost c_s = 1/2 represents, e.g., fraud-monitoring effort that the platform pays for. Now suppose the platform is considering DROPPING that fraud-monitoring service to save c_s. (i) Using your Section-5 (reputation) framework, name ONE channel through which dropping fraud monitoring would degrade the platform's value proposition to BUYERS — and translate that degradation into a change in either r_b or β_b in the model above. (ii) Name ONE channel through which it would INCREASE the platform's disintermediation risk (Section 4) and briefly justify.</w:t>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pPr>
        <w:spacing w:after="40"/>
      </w:pPr>
      <w:r>
        <w:rPr>
          <w:sz w:val="22"/>
        </w:rPr>
      </w:r>
    </w:p>
    <w:p>
      <w:r>
        <w:br w:type="page"/>
      </w:r>
    </w:p>
    <w:p>
      <w:pPr>
        <w:pStyle w:val="Heading2"/>
      </w:pPr>
      <w:r>
        <w:rPr>
          <w:color w:val="1F3A5F"/>
        </w:rPr>
        <w:t>—— End of question paper. Solutions follow. ——</w:t>
      </w:r>
    </w:p>
    <w:p>
      <w:pPr>
        <w:spacing w:after="80"/>
      </w:pPr>
      <w:r>
        <w:rPr>
          <w:b w:val="0"/>
          <w:i/>
          <w:sz w:val="22"/>
        </w:rPr>
        <w:t>Time yourself, then continue.</w:t>
      </w:r>
    </w:p>
    <w:p>
      <w:r>
        <w:br w:type="page"/>
      </w:r>
    </w:p>
    <w:p>
      <w:pPr>
        <w:pStyle w:val="Heading1"/>
      </w:pPr>
      <w:r>
        <w:rPr>
          <w:color w:val="1F3A5F"/>
        </w:rPr>
        <w:t>Solutions and rubric</w:t>
      </w:r>
    </w:p>
    <w:p>
      <w:pPr>
        <w:spacing w:after="80"/>
      </w:pPr>
      <w:r>
        <w:rPr>
          <w:b w:val="0"/>
          <w:i/>
          <w:sz w:val="20"/>
        </w:rPr>
        <w:t>Per MC item: correct set, one-line justification, one-line distractor note. Free-text answers in Part B: model answer at the sentence limit plus key terms for full marks. Part C: complete derivation.</w:t>
      </w:r>
    </w:p>
    <w:p>
      <w:pPr>
        <w:pStyle w:val="Heading2"/>
      </w:pPr>
      <w:r>
        <w:rPr>
          <w:color w:val="1F3A5F"/>
        </w:rPr>
        <w:t>Part A — MC keys</w:t>
      </w:r>
    </w:p>
    <w:p>
      <w:pPr>
        <w:spacing w:before="80" w:after="40"/>
      </w:pPr>
      <w:r>
        <w:rPr>
          <w:b/>
          <w:sz w:val="22"/>
        </w:rPr>
        <w:t>Q1.  Correct: B, D</w:t>
      </w:r>
    </w:p>
    <w:p>
      <w:pPr>
        <w:spacing w:after="40"/>
        <w:ind w:left="283"/>
      </w:pPr>
      <w:r>
        <w:rPr>
          <w:sz w:val="20"/>
        </w:rPr>
        <w:t>Why right: (B) is the textbook two-clause definition: network effects MUST exist between agents AND the entity MUST actively manage them. (D) restates Section 1's transaction-cost rationale for why a platform creates value above an ad-hoc alternative.</w:t>
      </w:r>
    </w:p>
    <w:p>
      <w:pPr>
        <w:spacing w:after="40"/>
        <w:ind w:left="283"/>
      </w:pPr>
      <w:r>
        <w:rPr>
          <w:i/>
          <w:sz w:val="20"/>
        </w:rPr>
        <w:t>Most plausible trap: (A) is the supermarket trap — gathering buyers and sellers under one roof is not enough without managed network effects. (C) is a profit-per-employee STYLIZED FACT about platforms, not a defining condition; many platforms are not even profitable.</w:t>
      </w:r>
    </w:p>
    <w:p>
      <w:pPr>
        <w:spacing w:before="80" w:after="40"/>
      </w:pPr>
      <w:r>
        <w:rPr>
          <w:b/>
          <w:sz w:val="22"/>
        </w:rPr>
        <w:t>Q2.  Correct: A, B</w:t>
      </w:r>
    </w:p>
    <w:p>
      <w:pPr>
        <w:spacing w:after="40"/>
        <w:ind w:left="283"/>
      </w:pPr>
      <w:r>
        <w:rPr>
          <w:sz w:val="20"/>
        </w:rPr>
        <w:t>Why right: (A) is exactly the Set 1.3 / Set 1.2 logic: strong β + heterogeneous valuations make the marginal joiner the high-valuation type whose decision pivots on expectations. (B) is the multiple-equilibria characterization on the relevant intermediate-price range (n = 0, n_S, n = 1).</w:t>
      </w:r>
    </w:p>
    <w:p>
      <w:pPr>
        <w:spacing w:after="40"/>
        <w:ind w:left="283"/>
      </w:pPr>
      <w:r>
        <w:rPr>
          <w:i/>
          <w:sz w:val="20"/>
        </w:rPr>
        <w:t>Most plausible trap: (C) inverts the stability result — n_S is the UNSTABLE 'critical mass', not a stable attractor. (D) is wrong: an upward-sloping FEE demand is fully consistent with rational expectations; consumers know the multiplicity and condition on belief.</w:t>
      </w:r>
    </w:p>
    <w:p>
      <w:pPr>
        <w:spacing w:before="80" w:after="40"/>
      </w:pPr>
      <w:r>
        <w:rPr>
          <w:b/>
          <w:sz w:val="22"/>
        </w:rPr>
        <w:t>Q3.  Correct: A, D</w:t>
      </w:r>
    </w:p>
    <w:p>
      <w:pPr>
        <w:spacing w:after="40"/>
        <w:ind w:left="283"/>
      </w:pPr>
      <w:r>
        <w:rPr>
          <w:sz w:val="20"/>
        </w:rPr>
        <w:t>Why right: (A) is the 'coordination cost' channel of defensibility: high learning investments are endogenous switching costs (Section 2). (D) is the 'data network effects' channel — the three Aguiar conditions packed into one sentence (cross-user spillover + proprietary + non-imitable).</w:t>
      </w:r>
    </w:p>
    <w:p>
      <w:pPr>
        <w:spacing w:after="40"/>
        <w:ind w:left="283"/>
      </w:pPr>
      <w:r>
        <w:rPr>
          <w:i/>
          <w:sz w:val="20"/>
        </w:rPr>
        <w:t>Most plausible trap: (B) is exactly the OPPOSITE of defensibility — local NE force the incumbent to defend city by city. (C) is also the opposite — cheap multi-homing eliminates the lock-in value of the user base.</w:t>
      </w:r>
    </w:p>
    <w:p>
      <w:pPr>
        <w:spacing w:before="80" w:after="40"/>
      </w:pPr>
      <w:r>
        <w:rPr>
          <w:b/>
          <w:sz w:val="22"/>
        </w:rPr>
        <w:t>Q4.  Correct: A, B, C</w:t>
      </w:r>
    </w:p>
    <w:p>
      <w:pPr>
        <w:spacing w:after="40"/>
        <w:ind w:left="283"/>
      </w:pPr>
      <w:r>
        <w:rPr>
          <w:sz w:val="20"/>
        </w:rPr>
        <w:t>Why right: (A) is the Niche strategy (Yelp in SF foodies, Tinder in US colleges, Facebook in Harvard). (B) is the Start-as-Pipeline strategy (Amazon, console makers). (C) is the Piggyback strategy (Airbnb → Craigslist, PayPal → eBay).</w:t>
      </w:r>
    </w:p>
    <w:p>
      <w:pPr>
        <w:spacing w:after="40"/>
        <w:ind w:left="283"/>
      </w:pPr>
      <w:r>
        <w:rPr>
          <w:i/>
          <w:sz w:val="20"/>
        </w:rPr>
        <w:t>Most plausible trap: (D) is wrong on TWO counts: a high symmetric fee maximally aggravates the chicken-and-egg problem (raises the joining bar on both sides simultaneously), and it signals nothing useful about belief coordination. Section 3 explicitly contrasts this with D&amp;C, which SUBSIDIZES one side.</w:t>
      </w:r>
    </w:p>
    <w:p>
      <w:pPr>
        <w:spacing w:before="80" w:after="40"/>
      </w:pPr>
      <w:r>
        <w:rPr>
          <w:b/>
          <w:sz w:val="22"/>
        </w:rPr>
        <w:t>Q5.  Correct: A, B, D</w:t>
      </w:r>
    </w:p>
    <w:p>
      <w:pPr>
        <w:spacing w:after="40"/>
        <w:ind w:left="283"/>
      </w:pPr>
      <w:r>
        <w:rPr>
          <w:sz w:val="20"/>
        </w:rPr>
        <w:t>Why right: (A) is the magnet-side rule with the standard verbal phrasing. (B) is the Lerner-with-cross-group-adjustment from Section 4 — the cross-group benefit ENTERS the formula as a negative marginal cost. (D) is the negative-price result (nightclub, magazine, credit card).</w:t>
      </w:r>
    </w:p>
    <w:p>
      <w:pPr>
        <w:spacing w:after="40"/>
        <w:ind w:left="283"/>
      </w:pPr>
      <w:r>
        <w:rPr>
          <w:i/>
          <w:sz w:val="20"/>
        </w:rPr>
        <w:t>Most plausible trap: (C) is the price-structure-non-neutrality trap. In a two-sided market the SPLIT (a_b vs. a_s) matters in addition to the sum, because each side's demand depends on the size of the OTHER side — the cross-group externality is not a Tirole-style irrelevance.</w:t>
      </w:r>
    </w:p>
    <w:p>
      <w:pPr>
        <w:spacing w:before="80" w:after="40"/>
      </w:pPr>
      <w:r>
        <w:rPr>
          <w:b/>
          <w:sz w:val="22"/>
        </w:rPr>
        <w:t>Q6.  Correct: A, B, D</w:t>
      </w:r>
    </w:p>
    <w:p>
      <w:pPr>
        <w:spacing w:after="40"/>
        <w:ind w:left="283"/>
      </w:pPr>
      <w:r>
        <w:rPr>
          <w:sz w:val="20"/>
        </w:rPr>
        <w:t>Why right: (A) is exactly the no-repeated-pair case — there is no one to disintermediate WITH. (B) is the Carrot strategy from Section 4 — value disappears off-platform. (D) is the online-payment-rail case — the platform sits in the transaction flow and would have to be cut out explicitly.</w:t>
      </w:r>
    </w:p>
    <w:p>
      <w:pPr>
        <w:spacing w:after="40"/>
        <w:ind w:left="283"/>
      </w:pPr>
      <w:r>
        <w:rPr>
          <w:i/>
          <w:sz w:val="20"/>
        </w:rPr>
        <w:t>Most plausible trap: (C) is the textbook HIGH-leakage profile from Section 4: high-value, low-frequency, contact-data-rich pre-trade communication. Any one of those three properties is already a leakage red flag; all three together is the canonical disintermediation case.</w:t>
      </w:r>
    </w:p>
    <w:p>
      <w:pPr>
        <w:spacing w:before="80" w:after="40"/>
      </w:pPr>
      <w:r>
        <w:rPr>
          <w:b/>
          <w:sz w:val="22"/>
        </w:rPr>
        <w:t>Q7.  Correct: A, B, C</w:t>
      </w:r>
    </w:p>
    <w:p>
      <w:pPr>
        <w:spacing w:after="40"/>
        <w:ind w:left="283"/>
      </w:pPr>
      <w:r>
        <w:rPr>
          <w:sz w:val="20"/>
        </w:rPr>
        <w:t>Why right: (A) is the Section 5 'repeated interaction with the market' substitution that lets reputation work in one-shot trades. (B) is the adverse-selection channel (low-quality sellers get identified and exit/get demoted). (C) is the moral-hazard channel (intertemporal pay-off from current effort).</w:t>
      </w:r>
    </w:p>
    <w:p>
      <w:pPr>
        <w:spacing w:after="40"/>
        <w:ind w:left="283"/>
      </w:pPr>
      <w:r>
        <w:rPr>
          <w:i/>
          <w:sz w:val="20"/>
        </w:rPr>
        <w:t>Most plausible trap: (D) is the standard error — the Section 5 result is precisely that reputation systems DO discipline one-shot interactions; that is the whole point of building a public rating mechanism instead of relying on dyadic repetition.</w:t>
      </w:r>
    </w:p>
    <w:p>
      <w:r>
        <w:br w:type="page"/>
      </w:r>
    </w:p>
    <w:p>
      <w:pPr>
        <w:pStyle w:val="Heading2"/>
      </w:pPr>
      <w:r>
        <w:rPr>
          <w:color w:val="1F3A5F"/>
        </w:rPr>
        <w:t>Part B — Free-text keys</w:t>
      </w:r>
    </w:p>
    <w:p>
      <w:pPr>
        <w:pStyle w:val="Heading3"/>
      </w:pPr>
      <w:r>
        <w:rPr>
          <w:color w:val="1F3A5F"/>
        </w:rPr>
        <w:t>Paper B1 — Seamans &amp; Zhu (2014)</w:t>
      </w:r>
    </w:p>
    <w:p>
      <w:pPr>
        <w:spacing w:after="80"/>
      </w:pPr>
      <w:r>
        <w:rPr>
          <w:b/>
          <w:i w:val="0"/>
          <w:sz w:val="22"/>
        </w:rPr>
        <w:t>Sub-task 1 model answer (2 sentences).</w:t>
      </w:r>
    </w:p>
    <w:p>
      <w:pPr>
        <w:spacing w:after="80"/>
      </w:pPr>
      <w:r>
        <w:rPr>
          <w:b w:val="0"/>
          <w:i w:val="0"/>
          <w:sz w:val="22"/>
        </w:rPr>
        <w:t>The TREATMENT is the staggered entry of Craigslist into specific local newspaper markets between the late 1990s and mid-2000s; the TREATED group is newspapers whose classifieds business is meaningful (proxied by having a classified-ad manager), and the CONTROL group is newspapers without classified-ad managers, observed in the same city-years. The identifying assumption is that the DIFFERENCE in trends between treated and control newspapers would have evolved IN PARALLEL across Craigslist-entry and non-entry markets in the absence of Craigslist — i.e. parallel counterfactual post-trends, supported in the paper by parallel pre-entry lead coefficients in their event-study check.</w:t>
      </w:r>
    </w:p>
    <w:p>
      <w:pPr>
        <w:spacing w:after="80"/>
      </w:pPr>
      <w:r>
        <w:rPr>
          <w:b w:val="0"/>
          <w:i/>
          <w:sz w:val="20"/>
        </w:rPr>
        <w:t>Key terms: staggered Craigslist entry, treated/control via classified-ad manager, parallel counterfactual post-trends, pre-entry leads as supportive (not proof of) the assumption.</w:t>
      </w:r>
    </w:p>
    <w:p>
      <w:pPr>
        <w:spacing w:after="80"/>
      </w:pPr>
      <w:r>
        <w:rPr>
          <w:b/>
          <w:i w:val="0"/>
          <w:sz w:val="22"/>
        </w:rPr>
        <w:t>Sub-task 2 model answer (3–4 sentences).</w:t>
      </w:r>
    </w:p>
    <w:p>
      <w:pPr>
        <w:spacing w:after="80"/>
      </w:pPr>
      <w:r>
        <w:rPr>
          <w:b w:val="0"/>
          <w:i w:val="0"/>
          <w:sz w:val="22"/>
        </w:rPr>
        <w:t>(i) The coefficient −0.207 on a LOG dependent variable means newspapers WITH a classified-ad manager cut their classified-ad rates by roughly e^(−0.207) − 1 ≈ −18.7 % relative to control newspapers after Craigslist entry (approximated by ≈ −21 % in the paper; the linear approximation −20.7 % is also accepted). (ii) Significant at the 5 % level (** = SE of 0.091, t ≈ 2.3). (iii) The sign FLIPS across columns because Craigslist directly attacks only the classified side: rates there are competed DOWN (−18.7 %), but the newspaper, having lost classified-ad revenue, raises the SUBSCRIPTION price by ≈3.3 % to recoup some of the loss — exactly the Section-4 result that a shock on ONE side of a two-sided market propagates to the price structure on the OTHER sides.</w:t>
      </w:r>
    </w:p>
    <w:p>
      <w:pPr>
        <w:spacing w:after="80"/>
      </w:pPr>
      <w:r>
        <w:rPr>
          <w:b w:val="0"/>
          <w:i/>
          <w:sz w:val="20"/>
        </w:rPr>
        <w:t>Key terms: log-spec ≈ −18–21 %, ** significance, cross-side price propagation, two-sided pricing.</w:t>
      </w:r>
    </w:p>
    <w:p>
      <w:pPr>
        <w:spacing w:after="80"/>
      </w:pPr>
      <w:r>
        <w:rPr>
          <w:b/>
          <w:i w:val="0"/>
          <w:sz w:val="22"/>
        </w:rPr>
        <w:t>Sub-task 3 model answer (3 sentences).</w:t>
      </w:r>
    </w:p>
    <w:p>
      <w:pPr>
        <w:spacing w:after="80"/>
      </w:pPr>
      <w:r>
        <w:rPr>
          <w:b w:val="0"/>
          <w:i w:val="0"/>
          <w:sz w:val="22"/>
        </w:rPr>
        <w:t>(i) The simultaneous DOWN on classified rates and UP on subscription prices is a real-world realisation of PRICE-STRUCTURE NON-NEUTRALITY: in a two-sided market the platform reoptimises the SPLIT of fees across sides when relative cross-group elasticities shift, even if the technological cost of serving each side has not changed. (ii) The +0.074*** coefficient on differentiation says that affected newspapers RE-POSITION their content (move away from generic news and into more specialized niches) after entry — a Section-2 defensibility response: when you can no longer compete on a commodity dimension (classified ads), you create horizontal differentiation on the dimension you still control (editorial focus). (iii) Together, these effects illustrate the Aguiar lecture point that competitive entry on one side of a multi-sided platform reshapes BOTH the platform's pricing AND its product positioning.</w:t>
      </w:r>
    </w:p>
    <w:p>
      <w:pPr>
        <w:spacing w:after="80"/>
      </w:pPr>
      <w:r>
        <w:rPr>
          <w:b w:val="0"/>
          <w:i/>
          <w:sz w:val="20"/>
        </w:rPr>
        <w:t>Key terms: price-structure non-neutrality, cross-side propagation, horizontal differentiation as defensibility response, multi-side feedback.</w:t>
      </w:r>
    </w:p>
    <w:p>
      <w:pPr>
        <w:pStyle w:val="Heading3"/>
      </w:pPr>
      <w:r>
        <w:rPr>
          <w:color w:val="1F3A5F"/>
        </w:rPr>
        <w:t>Paper B2 — Freimane (2025)</w:t>
      </w:r>
    </w:p>
    <w:p>
      <w:pPr>
        <w:spacing w:after="80"/>
      </w:pPr>
      <w:r>
        <w:rPr>
          <w:b/>
          <w:i w:val="0"/>
          <w:sz w:val="22"/>
        </w:rPr>
        <w:t>Sub-task 1 model answer (2 sentences).</w:t>
      </w:r>
    </w:p>
    <w:p>
      <w:pPr>
        <w:spacing w:after="80"/>
      </w:pPr>
      <w:r>
        <w:rPr>
          <w:b w:val="0"/>
          <w:i w:val="0"/>
          <w:sz w:val="22"/>
        </w:rPr>
        <w:t>The TREATMENT is not the dislike-removal policy per se — both genders were exposed to it on the same date — but the DIFFERENTIAL exposure across gender, because women received systematically MORE dislikes pre-removal than men, so removing the public dislike count REMOVED MORE NEGATIVE FEEDBACK FROM WOMEN than from men. A DiD across GENDER × time uses the differential pre-treatment incidence of dislikes between male and female creators (the baseline asymmetry) as the source of variation in actual treatment intensity, with the identifying assumption that, absent the policy, the gap in trends between male and female creators' outcomes would have stayed constant.</w:t>
      </w:r>
    </w:p>
    <w:p>
      <w:pPr>
        <w:spacing w:after="80"/>
      </w:pPr>
      <w:r>
        <w:rPr>
          <w:b w:val="0"/>
          <w:i/>
          <w:sz w:val="20"/>
        </w:rPr>
        <w:t>Key terms: shared calendar shock, differential exposure via gender, gender × time DiD, parallel counterfactual gender-gap trend.</w:t>
      </w:r>
    </w:p>
    <w:p>
      <w:pPr>
        <w:spacing w:after="80"/>
      </w:pPr>
      <w:r>
        <w:rPr>
          <w:b/>
          <w:i w:val="0"/>
          <w:sz w:val="22"/>
        </w:rPr>
        <w:t>Sub-task 2 model answer (3–4 sentences).</w:t>
      </w:r>
    </w:p>
    <w:p>
      <w:pPr>
        <w:spacing w:after="80"/>
      </w:pPr>
      <w:r>
        <w:rPr>
          <w:b w:val="0"/>
          <w:i w:val="0"/>
          <w:sz w:val="22"/>
        </w:rPr>
        <w:t>(i) Column 1 says women experienced ≈ e^(−0.30) − 1 = −25.9 % fewer dislikes than men after the policy (Freimane reports ~30 %, accepting the linear approximation); column 2 says ≈ e^(−0.21) − 1 = −18.9 % (paper reports ~21 %). (ii) The additional controls in column 2 are views per video and video age, which absorb mechanical scale (a more-watched video also accumulates more dislikes) — so column 2 isolates the gender-specific reduction PER VIEW, not just per video. (iii) The smaller controlled estimate STRENGTHENS the causal claim because it shows the effect is not driven by women's videos accumulating fewer total views after the policy — even on a per-view basis women lose ~19 % of their dislikes, which is the relevant rate the policy was supposed to move.</w:t>
      </w:r>
    </w:p>
    <w:p>
      <w:pPr>
        <w:spacing w:after="80"/>
      </w:pPr>
      <w:r>
        <w:rPr>
          <w:b w:val="0"/>
          <w:i/>
          <w:sz w:val="20"/>
        </w:rPr>
        <w:t>Key terms: log-spec ≈ −19 to −26 %, controls absorb scale and video age, per-view interpretation, controlled estimate strengthens causality.</w:t>
      </w:r>
    </w:p>
    <w:p>
      <w:pPr>
        <w:spacing w:after="80"/>
      </w:pPr>
      <w:r>
        <w:rPr>
          <w:b/>
          <w:i w:val="0"/>
          <w:sz w:val="22"/>
        </w:rPr>
        <w:t>Sub-task 3 model answer (3 sentences).</w:t>
      </w:r>
    </w:p>
    <w:p>
      <w:pPr>
        <w:spacing w:after="80"/>
      </w:pPr>
      <w:r>
        <w:rPr>
          <w:b w:val="0"/>
          <w:i w:val="0"/>
          <w:sz w:val="22"/>
        </w:rPr>
        <w:t>(i) The dislike count was a SELECTION / STRATEGIC-MANIPULATION pathology of the rating system — 'dislike attacks' organized by hostile groups concentrated on female creators, generating a measurement that did not reflect the average viewer's quality judgment but the activity of a strategic minority. (ii) Keeping dislikes PRIVATE to the creator preserves the creator-side learning signal (the creator can still tell when her content underperforms) while removing the PUBLIC coordination device that amplified the attacks — a targeted design intervention that fixes the public-display externality without throwing away the underlying signal. (iii) The +8.4 % supply response illustrates the Section-1 idea that platform DESIGN choices over what to display change creators' incentives to contribute; in a model with WGNE on the creator side, removing a chilling negative-feedback signal expands the equilibrium contribution level.</w:t>
      </w:r>
    </w:p>
    <w:p>
      <w:pPr>
        <w:spacing w:after="80"/>
      </w:pPr>
      <w:r>
        <w:rPr>
          <w:b w:val="0"/>
          <w:i/>
          <w:sz w:val="20"/>
        </w:rPr>
        <w:t>Key terms: strategic manipulation / dislike attacks, private-creator vs. public-coordination signal, design intervention, contribution incentives.</w:t>
      </w:r>
    </w:p>
    <w:p>
      <w:r>
        <w:br w:type="page"/>
      </w:r>
    </w:p>
    <w:p>
      <w:pPr>
        <w:pStyle w:val="Heading2"/>
      </w:pPr>
      <w:r>
        <w:rPr>
          <w:color w:val="1F3A5F"/>
        </w:rPr>
        <w:t>Part C — Full derivation</w:t>
      </w:r>
    </w:p>
    <w:p>
      <w:pPr>
        <w:spacing w:after="80"/>
      </w:pPr>
      <w:r>
        <w:rPr>
          <w:b/>
          <w:i w:val="0"/>
          <w:sz w:val="22"/>
        </w:rPr>
        <w:t>Sub-task 1 (6 pts).  Demand.</w:t>
      </w:r>
    </w:p>
    <w:p>
      <w:pPr>
        <w:spacing w:after="80"/>
      </w:pPr>
      <w:r>
        <w:rPr>
          <w:b w:val="0"/>
          <w:i w:val="0"/>
          <w:sz w:val="22"/>
        </w:rPr>
        <w:t>Indifferent users solve u_k(τ̂_k) = 0:</w:t>
        <w:br/>
        <w:t xml:space="preserve">    τ̂_b = 1 + (1/2) · n_s − P_b,</w:t>
        <w:br/>
        <w:t xml:space="preserve">    τ̂_s = 1 + (1/2) · n_b − P_s.</w:t>
        <w:br/>
        <w:br/>
        <w:t>Because τ_k ~ U[0, 1], the mass that joins side k is n_k = τ̂_k (every consumer with τ_k ≤ τ̂_k participates). Imposing fulfilled expectations (n_b^e = n_b, n_s^e = n_s):</w:t>
        <w:br/>
        <w:t xml:space="preserve">    n_b = 1 + (1/2) n_s − P_b,</w:t>
        <w:br/>
        <w:t xml:space="preserve">    n_s = 1 + (1/2) n_b − P_s.</w:t>
        <w:br/>
        <w:br/>
        <w:t>Substitute the second into the first:</w:t>
        <w:br/>
        <w:t xml:space="preserve">    n_b = 1 + (1/2)(1 + (1/2) n_b − P_s) − P_b</w:t>
        <w:br/>
        <w:t xml:space="preserve">        = 3/2 + (1/4) n_b − (1/2) P_s − P_b</w:t>
        <w:br/>
        <w:t xml:space="preserve">    ⇒ (3/4) n_b = 3/2 − (1/2) P_s − P_b</w:t>
        <w:br/>
        <w:t xml:space="preserve">    ⇒ n_b = 2 − (4/3) P_b − (2/3) P_s.</w:t>
        <w:br/>
        <w:br/>
        <w:t>By symmetry (swap b ↔ s in the system):</w:t>
        <w:br/>
        <w:t xml:space="preserve">    n_s = 2 − (4/3) P_s − (2/3) P_b.</w:t>
      </w:r>
    </w:p>
    <w:p>
      <w:pPr>
        <w:spacing w:after="80"/>
      </w:pPr>
      <w:r>
        <w:rPr>
          <w:b/>
          <w:i w:val="0"/>
          <w:sz w:val="22"/>
        </w:rPr>
        <w:t>Sub-task 2 (6 pts).  Profit and FOCs.</w:t>
      </w:r>
    </w:p>
    <w:p>
      <w:pPr>
        <w:spacing w:after="80"/>
      </w:pPr>
      <w:r>
        <w:rPr>
          <w:b w:val="0"/>
          <w:i w:val="0"/>
          <w:sz w:val="22"/>
        </w:rPr>
        <w:t xml:space="preserve">    π = P_b · n_b + (P_s − 1/2) · n_s</w:t>
        <w:br/>
        <w:t xml:space="preserve">      = P_b · [2 − (4/3) P_b − (2/3) P_s]  +  (P_s − 1/2) · [2 − (4/3) P_s − (2/3) P_b].</w:t>
        <w:br/>
        <w:br/>
        <w:t>∂π/∂P_b:</w:t>
        <w:br/>
        <w:t xml:space="preserve">    [2 − (4/3) P_b − (2/3) P_s]  +  P_b · (−4/3)  +  (P_s − 1/2) · (−2/3) = 0</w:t>
        <w:br/>
        <w:t xml:space="preserve">    ⇒ 2 − (8/3) P_b − (2/3) P_s − (2/3) P_s + 1/3 = 0</w:t>
        <w:br/>
        <w:t xml:space="preserve">    ⇒ 7/3 − (8/3) P_b − (4/3) P_s = 0</w:t>
        <w:br/>
        <w:t xml:space="preserve">    ⇒ 8 P_b + 4 P_s = 7.         (BR-b)</w:t>
        <w:br/>
        <w:br/>
        <w:t>∂π/∂P_s:</w:t>
        <w:br/>
        <w:t xml:space="preserve">    P_b · (−2/3)  +  [2 − (4/3) P_s − (2/3) P_b]  +  (P_s − 1/2) · (−4/3) = 0</w:t>
        <w:br/>
        <w:t xml:space="preserve">    ⇒ −(2/3) P_b + 2 − (4/3) P_s − (2/3) P_b − (4/3) P_s + 2/3 = 0</w:t>
        <w:br/>
        <w:t xml:space="preserve">    ⇒ 8/3 − (4/3) P_b − (8/3) P_s = 0</w:t>
        <w:br/>
        <w:t xml:space="preserve">    ⇒ 4 P_b + 8 P_s = 8   ⇔   P_b + 2 P_s = 2.   (BR-s)</w:t>
      </w:r>
    </w:p>
    <w:p>
      <w:pPr>
        <w:spacing w:after="80"/>
      </w:pPr>
      <w:r>
        <w:rPr>
          <w:b/>
          <w:i w:val="0"/>
          <w:sz w:val="22"/>
        </w:rPr>
        <w:t>Sub-task 3 (6 pts).  Equilibrium.</w:t>
      </w:r>
    </w:p>
    <w:p>
      <w:pPr>
        <w:spacing w:after="80"/>
      </w:pPr>
      <w:r>
        <w:rPr>
          <w:b w:val="0"/>
          <w:i w:val="0"/>
          <w:sz w:val="22"/>
        </w:rPr>
        <w:t>From (BR-s):  P_b = 2 − 2 P_s.</w:t>
        <w:br/>
        <w:t>Plug into (BR-b):</w:t>
        <w:br/>
        <w:t xml:space="preserve">    8 (2 − 2 P_s) + 4 P_s = 7</w:t>
        <w:br/>
        <w:t xml:space="preserve">    16 − 16 P_s + 4 P_s = 7</w:t>
        <w:br/>
        <w:t xml:space="preserve">    16 − 12 P_s = 7   ⇒   P_s* = 9/12 = 3/4.</w:t>
        <w:br/>
        <w:t xml:space="preserve">    P_b* = 2 − 2 · (3/4) = 2 − 3/2 = 1/2.</w:t>
        <w:br/>
        <w:br/>
        <w:t>Plug into the demand expressions:</w:t>
        <w:br/>
        <w:t xml:space="preserve">    n_b* = 2 − (4/3) · (1/2) − (2/3) · (3/4) = 2 − 2/3 − 1/2 = 12/6 − 4/6 − 3/6 = 5/6.</w:t>
        <w:br/>
        <w:t xml:space="preserve">    n_s* = 2 − (4/3) · (3/4) − (2/3) · (1/2) = 2 − 1 − 1/3 = 2/3.</w:t>
        <w:br/>
        <w:br/>
        <w:t>Profit:</w:t>
        <w:br/>
        <w:t xml:space="preserve">    π* = P_b* · n_b*  +  (P_s* − 1/2) · n_s*</w:t>
        <w:br/>
        <w:t xml:space="preserve">       = (1/2)(5/6)  +  (1/4)(2/3)</w:t>
        <w:br/>
        <w:t xml:space="preserve">       = 5/12 + 1/6</w:t>
        <w:br/>
        <w:t xml:space="preserve">       = 5/12 + 2/12 = 7/12.</w:t>
      </w:r>
    </w:p>
    <w:p>
      <w:pPr>
        <w:spacing w:after="80"/>
      </w:pPr>
      <w:r>
        <w:rPr>
          <w:b/>
          <w:i w:val="0"/>
          <w:sz w:val="22"/>
        </w:rPr>
        <w:t>Sub-task 4 (6 pts).  Comparison to c_b = c_s = 0 baseline.</w:t>
      </w:r>
    </w:p>
    <w:p>
      <w:pPr>
        <w:spacing w:after="80"/>
      </w:pPr>
      <w:r>
        <w:rPr>
          <w:b w:val="0"/>
          <w:i w:val="0"/>
          <w:sz w:val="22"/>
        </w:rPr>
        <w:t>(a) Baseline (c_b = c_s = 0). With both costs zero, profit becomes π = P_b · n_b + P_s · n_s. The FOCs are</w:t>
        <w:br/>
        <w:t xml:space="preserve">    ∂π/∂P_b = 2 − (8/3) P_b − (4/3) P_s = 0   ⇔   8 P_b + 4 P_s = 6,</w:t>
        <w:br/>
        <w:t xml:space="preserve">    ∂π/∂P_s = 2 − (8/3) P_s − (4/3) P_b = 0   ⇔   4 P_b + 8 P_s = 6.</w:t>
        <w:br/>
        <w:t>By symmetry the solution is P_b^0 = P_s^0 = 1/2. Plugging back gives n_b^0 = n_s^0 = 2 − 2/3 − 1/3 = 1 (full participation — every consumer with τ ≤ 1 joins, which is the entire mass), and π^0 = (1/2)(1) + (1/2)(1) = 1. Note the baseline equilibrium sits exactly at the saturation boundary n = 1.</w:t>
        <w:br/>
        <w:br/>
        <w:t>(b) Which side pays more once c_s = 1/2? The SELLER side: P_s* = 3/4 &gt; P_b* = 1/2. Quantitatively, the platform passes EXACTLY HALF of c_s through to sellers — P_s* − P_s^0 = 3/4 − 1/2 = 1/4 = c_s / 2 — and the platform itself absorbs the other half. The intuition: a higher c_s lowers the effective margin (P_s − c_s) the platform earns from each additional seller, so its optimal response is to raise P_s, but only enough that the new marginal seller still generates a positive cross-group spillover onto buyer revenue.</w:t>
        <w:br/>
        <w:br/>
        <w:t>(c) The buyer-side fee, perhaps surprisingly, does NOT move (P_b* = P_b^0 = 1/2). The reason is that the baseline buyer side was already at saturation (n_b^0 = 1); the seller-side cost shock reduces n_s from 1 to 2/3, which through the cross-group channel pulls n_b down from 1 to 5/6, but at the new interior FOC the optimal P_b lands at the same value 1/2 as before. The platform absorbs the buyer-side adjustment entirely through quantity (n_b ↓), not price.</w:t>
        <w:br/>
        <w:br/>
        <w:t>(d) Profit change: Δπ = π* − π^0 = 7/12 − 1 = −5/12 ≈ −0.417. The platform loses ~42 % of baseline profit. This exceeds the naive 'direct cost burden' c_s · n_s* = (1/2)(2/3) = 1/3 because the cost shock also contracts both sides' masses, eroding cross-group value capture.</w:t>
      </w:r>
    </w:p>
    <w:p>
      <w:pPr>
        <w:spacing w:after="80"/>
      </w:pPr>
      <w:r>
        <w:rPr>
          <w:b/>
          <w:i w:val="0"/>
          <w:sz w:val="22"/>
        </w:rPr>
        <w:t>Sub-task 5 (6 pts).  Bridge to Sections 4 &amp; 5.</w:t>
      </w:r>
    </w:p>
    <w:p>
      <w:pPr>
        <w:spacing w:after="80"/>
      </w:pPr>
      <w:r>
        <w:rPr>
          <w:b w:val="0"/>
          <w:i w:val="0"/>
          <w:sz w:val="22"/>
        </w:rPr>
        <w:t>(i) Dropping fraud monitoring shrinks the BUYER-side stand-alone benefit because transactions become riskier — concretely, r_b would fall (the platform is less valuable in itself when buyers may be defrauded). One could also model it through β_b: less fraud-free sellers reduce the per-seller marginal value to buyers, so the effective cross-group attraction shrinks (β_b ↓). Either way, the platform saves c_s but loses buyer-side demand and, through the cross-group channel, seller-side demand too. The buyer-Lerner formula immediately shows that a falling r_b lowers the optimal P_b and shrinks profit on both sides.</w:t>
        <w:br/>
        <w:br/>
        <w:t>(ii) Without fraud monitoring, the value-added the platform provides ON-PLATFORM falls (no escrow, no recourse), so the platform's CARROTS for staying on-platform shrink relative to the parties' option to take the relationship off-platform once a successful match has been made. By Section 4's disintermediation taxonomy this is a textbook risk-increasing change: the platform retains the matching function but loses one of its main value-add services, which is precisely the cell in which leakage becomes attractive (high transaction value, repeated trade with the same partner, weak on-platform-only value-add).</w:t>
      </w:r>
    </w:p>
    <w:p>
      <w:pPr>
        <w:spacing w:after="80"/>
      </w:pPr>
      <w:r>
        <w:rPr>
          <w:b w:val="0"/>
          <w:i w:val="0"/>
          <w:sz w:val="22"/>
        </w:rPr>
      </w:r>
    </w:p>
    <w:p>
      <w:pPr>
        <w:spacing w:after="80"/>
      </w:pPr>
      <w:r>
        <w:rPr>
          <w:b w:val="0"/>
          <w:i/>
          <w:sz w:val="22"/>
        </w:rPr>
        <w:t>—— End of solution key.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