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43E86"/>
          <w:sz w:val="28"/>
        </w:rPr>
        <w:t>EXAM-MORNING REFRESHER — Organizational Economics (ME 3, Aguiar)</w:t>
      </w:r>
    </w:p>
    <w:p>
      <w:pPr>
        <w:spacing w:after="80"/>
      </w:pPr>
      <w:r>
        <w:rPr>
          <w:i/>
          <w:color w:val="606060"/>
          <w:sz w:val="18"/>
        </w:rPr>
        <w:t>Klausur 19. Juni 2026 · 5-Minuten-Lektüre · Fokus: deine 5 Fehler-Cluster + Klausur-Reflexe</w:t>
      </w:r>
    </w:p>
    <w:p>
      <w:pPr>
        <w:pBdr>
          <w:bottom w:val="single" w:sz="6" w:space="1" w:color="BFBFBF"/>
        </w:pBdr>
        <w:spacing w:after="40"/>
      </w:pPr>
    </w:p>
    <w:p>
      <w:pPr>
        <w:spacing w:before="80" w:after="40"/>
      </w:pPr>
      <w:r>
        <w:rPr>
          <w:b/>
          <w:color w:val="143E86"/>
          <w:sz w:val="26"/>
        </w:rPr>
        <w:t>★ Die 5 Fehler-Cluster — wenn nichts anderes, dann diese</w:t>
      </w:r>
    </w:p>
    <w:p>
      <w:pPr>
        <w:spacing w:after="30"/>
      </w:pPr>
      <w:r>
        <w:rPr>
          <w:b/>
          <w:i w:val="0"/>
          <w:color w:val="B01010"/>
          <w:sz w:val="19"/>
        </w:rPr>
        <w:t xml:space="preserve">A · CGNE-Pricing — Lerner &amp; Non-Neutralität ⭐⭐⭐  </w:t>
      </w:r>
      <w:r>
        <w:rPr>
          <w:b w:val="0"/>
          <w:i w:val="0"/>
          <w:sz w:val="19"/>
        </w:rPr>
        <w:t xml:space="preserve">Formel: </w:t>
      </w:r>
      <w:r>
        <w:rPr>
          <w:b/>
          <w:i w:val="0"/>
          <w:sz w:val="19"/>
        </w:rPr>
        <w:t>P_s = c_s − β_b·n_b + N_s/N_s'</w:t>
      </w:r>
      <w:r>
        <w:rPr>
          <w:b w:val="0"/>
          <w:i w:val="0"/>
          <w:sz w:val="19"/>
        </w:rPr>
        <w:t xml:space="preserve">.  Cross-Group ist eine </w:t>
      </w:r>
      <w:r>
        <w:rPr>
          <w:b w:val="0"/>
          <w:i/>
          <w:sz w:val="19"/>
        </w:rPr>
        <w:t>negative Marginal-Cost</w:t>
      </w:r>
      <w:r>
        <w:rPr>
          <w:b w:val="0"/>
          <w:i w:val="0"/>
          <w:sz w:val="19"/>
        </w:rPr>
        <w:t xml:space="preserve"> ⇒ Plattform-Markup ist NIEDRIGER als beim Standard-Monopolisten mit gleicher Elastizität. Die Price Structure ist </w:t>
      </w:r>
      <w:r>
        <w:rPr>
          <w:b w:val="0"/>
          <w:i/>
          <w:sz w:val="19"/>
        </w:rPr>
        <w:t>non-neutral</w:t>
      </w:r>
      <w:r>
        <w:rPr>
          <w:b w:val="0"/>
          <w:i w:val="0"/>
          <w:sz w:val="19"/>
        </w:rPr>
        <w:t>: Aufteilung (a_b, a_s) matters, nicht nur die Summe — weil Demand jeder Seite direkt von der Grösse der anderen Seite abhängt.</w:t>
      </w:r>
    </w:p>
    <w:p>
      <w:pPr>
        <w:spacing w:after="30"/>
      </w:pPr>
      <w:r>
        <w:rPr>
          <w:b/>
          <w:i w:val="0"/>
          <w:color w:val="B01010"/>
          <w:sz w:val="19"/>
        </w:rPr>
        <w:t xml:space="preserve">B · Defensibility-Richtung ⭐⭐  </w:t>
      </w:r>
      <w:r>
        <w:rPr>
          <w:b w:val="0"/>
          <w:i w:val="0"/>
          <w:sz w:val="19"/>
        </w:rPr>
        <w:t>Vier Faktoren, IMMER mit Richtung lesen — was öffnet, härtet nicht:</w:t>
      </w:r>
    </w:p>
    <w:p>
      <w:pPr>
        <w:pStyle w:val="ListBullet"/>
        <w:spacing w:after="0"/>
        <w:ind w:left="227"/>
      </w:pPr>
      <w:r>
        <w:rPr>
          <w:sz w:val="19"/>
        </w:rPr>
        <w:t>Strength &amp; Scope of NE: stark + global härtet · schwach + lokal öffnet</w:t>
      </w:r>
    </w:p>
    <w:p>
      <w:pPr>
        <w:pStyle w:val="ListBullet"/>
        <w:spacing w:after="0"/>
        <w:ind w:left="227"/>
      </w:pPr>
      <w:r>
        <w:rPr>
          <w:sz w:val="19"/>
        </w:rPr>
        <w:t>Multi-Homing: TEUER härtet · BILLIG öffnet (Uber/Lyft, Spotify/Apple Music)</w:t>
      </w:r>
    </w:p>
    <w:p>
      <w:pPr>
        <w:pStyle w:val="ListBullet"/>
        <w:spacing w:after="0"/>
        <w:ind w:left="227"/>
      </w:pPr>
      <w:r>
        <w:rPr>
          <w:sz w:val="19"/>
        </w:rPr>
        <w:t>Coordination Costs: HOCH härtet · NIEDRIG öffnet (alle wechseln gemeinsam)</w:t>
      </w:r>
    </w:p>
    <w:p>
      <w:pPr>
        <w:pStyle w:val="ListBullet"/>
        <w:spacing w:after="0"/>
        <w:ind w:left="227"/>
      </w:pPr>
      <w:r>
        <w:rPr>
          <w:sz w:val="19"/>
        </w:rPr>
        <w:t>Trust &amp; Value-Add: proprietär härtet · off-platform-trade möglich öffnet</w:t>
      </w:r>
    </w:p>
    <w:p>
      <w:pPr>
        <w:spacing w:after="30"/>
      </w:pPr>
      <w:r>
        <w:rPr>
          <w:b w:val="0"/>
          <w:i/>
          <w:sz w:val="19"/>
        </w:rPr>
        <w:t xml:space="preserve">Mnemonik: </w:t>
      </w:r>
      <w:r>
        <w:rPr>
          <w:b w:val="0"/>
          <w:i/>
          <w:sz w:val="19"/>
        </w:rPr>
        <w:t xml:space="preserve">lokal · billig multi-homing · niedrige Coord-Cost · schwacher Value-Add = </w:t>
      </w:r>
      <w:r>
        <w:rPr>
          <w:b/>
          <w:i/>
          <w:sz w:val="19"/>
        </w:rPr>
        <w:t>vier Lecks im Schiff.</w:t>
      </w:r>
    </w:p>
    <w:p>
      <w:pPr>
        <w:spacing w:after="30"/>
      </w:pPr>
      <w:r>
        <w:rPr>
          <w:b/>
          <w:i w:val="0"/>
          <w:color w:val="B01010"/>
          <w:sz w:val="19"/>
        </w:rPr>
        <w:t xml:space="preserve">C · Indirect NE &amp; Data-NE-Bedingungen ⭐⭐  </w:t>
      </w:r>
      <w:r>
        <w:rPr>
          <w:b w:val="0"/>
          <w:i w:val="0"/>
          <w:sz w:val="19"/>
        </w:rPr>
        <w:t xml:space="preserve">Indirect NE gibt es AUCH in einseitigen Plattformen (Waze, Google Search via Daten). Für Data-Defensibility brauchst du DREI Bedingungen — KEIN viertes „muss collaborative filtering sein“: (1) </w:t>
      </w:r>
      <w:r>
        <w:rPr>
          <w:b/>
          <w:i w:val="0"/>
          <w:sz w:val="19"/>
        </w:rPr>
        <w:t>Cross-User Spillover</w:t>
      </w:r>
      <w:r>
        <w:rPr>
          <w:b w:val="0"/>
          <w:i w:val="0"/>
          <w:sz w:val="19"/>
        </w:rPr>
        <w:t xml:space="preserve">, (2) </w:t>
      </w:r>
      <w:r>
        <w:rPr>
          <w:b/>
          <w:i w:val="0"/>
          <w:sz w:val="19"/>
        </w:rPr>
        <w:t>persistenter Wert</w:t>
      </w:r>
      <w:r>
        <w:rPr>
          <w:b w:val="0"/>
          <w:i w:val="0"/>
          <w:sz w:val="19"/>
        </w:rPr>
        <w:t xml:space="preserve"> (alte Daten relevant, Margin-Value sinkt nicht schnell), (3) </w:t>
      </w:r>
      <w:r>
        <w:rPr>
          <w:b/>
          <w:i w:val="0"/>
          <w:sz w:val="19"/>
        </w:rPr>
        <w:t>proprietär + schwer imitierbar</w:t>
      </w:r>
      <w:r>
        <w:rPr>
          <w:b w:val="0"/>
          <w:i w:val="0"/>
          <w:sz w:val="19"/>
        </w:rPr>
        <w:t>.</w:t>
      </w:r>
    </w:p>
    <w:p>
      <w:pPr>
        <w:spacing w:after="30"/>
      </w:pPr>
      <w:r>
        <w:rPr>
          <w:b/>
          <w:i w:val="0"/>
          <w:color w:val="B01010"/>
          <w:sz w:val="19"/>
        </w:rPr>
        <w:t xml:space="preserve">D · Disintermediation &amp; Fees ⭐⭐  </w:t>
      </w:r>
      <w:r>
        <w:rPr>
          <w:b w:val="0"/>
          <w:i w:val="0"/>
          <w:sz w:val="19"/>
        </w:rPr>
        <w:t xml:space="preserve">Pre-Transaction-Communication ist Leakage-Treiber (zwingt Kontaktaustausch). · </w:t>
      </w:r>
      <w:r>
        <w:rPr>
          <w:b/>
          <w:i w:val="0"/>
          <w:sz w:val="19"/>
        </w:rPr>
        <w:t>MANY SMALL Trxns ⇒ Membership</w:t>
      </w:r>
      <w:r>
        <w:rPr>
          <w:b w:val="0"/>
          <w:i w:val="0"/>
          <w:sz w:val="19"/>
        </w:rPr>
        <w:t xml:space="preserve">, nicht Transaction (Tracking-Overhead). Transaction-Fee nur bei UNFREQUENT-aber-WERTVOLL und gut observierbar (Airbnb-Übernachtung, Uber-Ride). · Bei D&amp;C sind NEGATIVE Preise optimal wenn </w:t>
      </w:r>
      <w:r>
        <w:rPr>
          <w:b/>
          <w:i w:val="0"/>
          <w:sz w:val="19"/>
        </w:rPr>
        <w:t>r_k &lt; u_k^0</w:t>
      </w:r>
      <w:r>
        <w:rPr>
          <w:b w:val="0"/>
          <w:i w:val="0"/>
          <w:sz w:val="19"/>
        </w:rPr>
        <w:t xml:space="preserve"> (Uber-Driver-Garantielohn). · Frageformat „Welche sind FALSCH?“ → ZWEIMAL lesen!</w:t>
      </w:r>
    </w:p>
    <w:p>
      <w:pPr>
        <w:spacing w:after="30"/>
      </w:pPr>
      <w:r>
        <w:rPr>
          <w:b/>
          <w:i w:val="0"/>
          <w:color w:val="B01010"/>
          <w:sz w:val="19"/>
        </w:rPr>
        <w:t xml:space="preserve">E · Hotelling + NE = endogene vertikale Differenzierung ⭐  </w:t>
      </w:r>
      <w:r>
        <w:rPr>
          <w:b w:val="0"/>
          <w:i w:val="0"/>
          <w:sz w:val="19"/>
        </w:rPr>
        <w:t xml:space="preserve">β wirkt wie endogene Quality. Sensitivität: </w:t>
      </w:r>
      <w:r>
        <w:rPr>
          <w:b/>
          <w:i w:val="0"/>
          <w:sz w:val="19"/>
        </w:rPr>
        <w:t>∂n_1/∂n_1^e = β/(2τ)</w:t>
      </w:r>
      <w:r>
        <w:rPr>
          <w:b w:val="0"/>
          <w:i w:val="0"/>
          <w:sz w:val="19"/>
        </w:rPr>
        <w:t xml:space="preserve">. No-Tipping: </w:t>
      </w:r>
      <w:r>
        <w:rPr>
          <w:b/>
          <w:i w:val="0"/>
          <w:sz w:val="19"/>
        </w:rPr>
        <w:t>q &lt; 3(τ − β)</w:t>
      </w:r>
      <w:r>
        <w:rPr>
          <w:b w:val="0"/>
          <w:i w:val="0"/>
          <w:sz w:val="19"/>
        </w:rPr>
        <w:t>. Stärkeres β ⇒ Tipping leichter (schon kleines q reicht).</w:t>
      </w:r>
    </w:p>
    <w:p>
      <w:pPr>
        <w:pBdr>
          <w:bottom w:val="single" w:sz="6" w:space="1" w:color="BFBFBF"/>
        </w:pBdr>
        <w:spacing w:after="40"/>
      </w:pPr>
    </w:p>
    <w:p>
      <w:pPr>
        <w:spacing w:before="80" w:after="40"/>
      </w:pPr>
      <w:r>
        <w:rPr>
          <w:b/>
          <w:color w:val="143E86"/>
          <w:sz w:val="26"/>
        </w:rPr>
        <w:t>★ Teil-B-Stolpersteine (T1–T4) — gegen 4 letzte Verwechslungen</w:t>
      </w:r>
    </w:p>
    <w:p>
      <w:pPr>
        <w:pStyle w:val="ListBullet"/>
        <w:spacing w:after="0"/>
        <w:ind w:left="227"/>
      </w:pPr>
      <w:r>
        <w:rPr>
          <w:sz w:val="19"/>
        </w:rPr>
        <w:t>T1 · DDD ≠ Staggered DiD. DDD = drei DIMENSIONEN (City × Time × Quality). Staggered = Treatment zu unterschiedlichen ZEITpunkten. Reshef ist beides: Staffelung gibt ID, Triple-Dim trennt Heterogenität.</w:t>
      </w:r>
    </w:p>
    <w:p>
      <w:pPr>
        <w:pStyle w:val="ListBullet"/>
        <w:spacing w:after="0"/>
        <w:ind w:left="227"/>
      </w:pPr>
      <w:r>
        <w:rPr>
          <w:sz w:val="19"/>
        </w:rPr>
        <w:t>T2 · Bei DDD-Tabellen IMMER die Zeile β₁+β₂ samt p-value lesen. Auch ein „kleiner“ Effekt wie −2.6 % kann bei p=0.001 hoch signifikant sein.</w:t>
      </w:r>
    </w:p>
    <w:p>
      <w:pPr>
        <w:pStyle w:val="ListBullet"/>
        <w:spacing w:after="0"/>
        <w:ind w:left="227"/>
      </w:pPr>
      <w:r>
        <w:rPr>
          <w:sz w:val="19"/>
        </w:rPr>
        <w:t>T3 · R&amp;R sind dort am wertvollsten, wo asymmetrische Information am GRÖSSTEN ist. Weniger Reviews ⇒ Yelp-Signal MARGINAL WERTVOLLER ⇒ grösserer RD-Effekt. (Luca: Independents &gt; Chains; gleicher Mechanismus.)</w:t>
      </w:r>
    </w:p>
    <w:p>
      <w:pPr>
        <w:pStyle w:val="ListBullet"/>
        <w:spacing w:after="0"/>
        <w:ind w:left="227"/>
      </w:pPr>
      <w:r>
        <w:rPr>
          <w:sz w:val="19"/>
        </w:rPr>
        <w:t>T4 · Cross-Side-Propagation = Price-Structure-Non-Neutralität (Section 4), NICHT Divide-and-Conquer. D&amp;C ist LAUNCH-Strategie für Henne-Ei (Section 3). Seamans-Zhu zeigt: Newspapers reoptimieren Fee-Split nach Craigslist-Schock.</w:t>
      </w:r>
    </w:p>
    <w:p>
      <w:pPr>
        <w:pBdr>
          <w:bottom w:val="single" w:sz="6" w:space="1" w:color="BFBFBF"/>
        </w:pBdr>
        <w:spacing w:after="40"/>
      </w:pPr>
    </w:p>
    <w:p>
      <w:pPr>
        <w:spacing w:before="80" w:after="40"/>
      </w:pPr>
      <w:r>
        <w:rPr>
          <w:b/>
          <w:color w:val="143E86"/>
          <w:sz w:val="26"/>
        </w:rPr>
        <w:t>★ Section-Reflex — wenn du dieses Wort liest, denke direkt …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3685"/>
            <w:shd w:fill="143E86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Schlüsselbegriff in Frage</w:t>
            </w:r>
          </w:p>
        </w:tc>
        <w:tc>
          <w:tcPr>
            <w:tcW w:type="dxa" w:w="5102"/>
            <w:shd w:fill="143E86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Section + Konzept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7"/>
              </w:rPr>
              <w:t>„Cross-Side-Propagation / Fee-Reoptimierung“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  <w:t>Sec 4 · Price-Structure Non-Neutralität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7"/>
              </w:rPr>
              <w:t>„Henne-Ei / Launch / Subvention / Garantielohn“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  <w:t>Sec 3 · Divide-and-Conquer / Seeding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7"/>
              </w:rPr>
              <w:t>„Multi-Homing teuer/billig / Switching“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  <w:t>Sec 2 · Defensibility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7"/>
              </w:rPr>
              <w:t>„Spillover · persistenter Datenwert“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  <w:t>Sec 2 · Data-Network-Effects (3 Bedingungen)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7"/>
              </w:rPr>
              <w:t>„Yelp-Rounding / RDD / Rating-Cutoff“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  <w:t>Sec 5 · Anderson-Magruder, +1 ⇒ +5–9 % Revenue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7"/>
              </w:rPr>
              <w:t>„β &gt; τ · Tipping · q &lt; 3(τ−β)“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  <w:t>Sec 2 · Hotelling mit NE (Set 2)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7"/>
              </w:rPr>
              <w:t>„Lerner-Index, asymmetric Pricing“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  <w:t>Sec 4 · CGNE als negative MC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7"/>
              </w:rPr>
              <w:t>„WTA Keep &gt; WTA Remove · collective trap“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  <w:t>Sec 1/5 · Bursztyn (TikTok-Trap)</w:t>
            </w:r>
          </w:p>
        </w:tc>
      </w:tr>
    </w:tbl>
    <w:p>
      <w:pPr>
        <w:pBdr>
          <w:bottom w:val="single" w:sz="6" w:space="1" w:color="BFBFBF"/>
        </w:pBdr>
        <w:spacing w:after="40"/>
      </w:pPr>
    </w:p>
    <w:p>
      <w:pPr>
        <w:spacing w:before="80" w:after="40"/>
      </w:pPr>
      <w:r>
        <w:rPr>
          <w:b/>
          <w:color w:val="143E86"/>
          <w:sz w:val="26"/>
        </w:rPr>
        <w:t>★ Formel-Reflexe — die wenigen Zahlen, die direkt brauchbar sind</w:t>
      </w:r>
    </w:p>
    <w:p>
      <w:pPr>
        <w:spacing w:after="30"/>
      </w:pPr>
      <w:r>
        <w:rPr>
          <w:b/>
          <w:i w:val="0"/>
          <w:sz w:val="19"/>
        </w:rPr>
        <w:t xml:space="preserve">Set 1.2 (Continuum, heterogenes θ): </w:t>
      </w:r>
      <w:r>
        <w:rPr>
          <w:b w:val="0"/>
          <w:i w:val="0"/>
          <w:sz w:val="19"/>
        </w:rPr>
        <w:t>n(p) = (V − p) / (V − β)</w:t>
      </w:r>
      <w:r>
        <w:rPr>
          <w:b w:val="0"/>
          <w:i w:val="0"/>
          <w:sz w:val="19"/>
        </w:rPr>
        <w:t>.  Strong NE (V&lt;β) ⇒ upward-sloping, multiple FEE.</w:t>
      </w:r>
    </w:p>
    <w:p>
      <w:pPr>
        <w:spacing w:after="30"/>
      </w:pPr>
      <w:r>
        <w:rPr>
          <w:b/>
          <w:i w:val="0"/>
          <w:sz w:val="19"/>
        </w:rPr>
        <w:t xml:space="preserve">Set 2 (Hotelling sym. + NE): </w:t>
      </w:r>
      <w:r>
        <w:rPr>
          <w:b w:val="0"/>
          <w:i w:val="0"/>
          <w:sz w:val="19"/>
        </w:rPr>
        <w:t>x̂ = ½ + (p_1−p_2−q)/[2(τ−β)]  ·  p_1* = c+τ−β+q/3  ·  n_1* = ½ + q/[6(τ−β)]  ·  q̂_compat = √(τ(τ−β))</w:t>
      </w:r>
    </w:p>
    <w:p>
      <w:pPr>
        <w:spacing w:after="30"/>
      </w:pPr>
      <w:r>
        <w:rPr>
          <w:b/>
          <w:i w:val="0"/>
          <w:sz w:val="19"/>
        </w:rPr>
        <w:t xml:space="preserve">Set 3 (2-sided D&amp;C): </w:t>
      </w:r>
      <w:r>
        <w:rPr>
          <w:b w:val="0"/>
          <w:i w:val="0"/>
          <w:sz w:val="19"/>
        </w:rPr>
        <w:t>subsidiere Side k mit P_k* = r_k − u_k^0  ·  P_(−k)* = r_(−k) − u_(−k)^0 + γ_(−k)·N_k  ·  π_(b) &gt; π_(s) ⇔ γ_s &gt; γ_b  (Index = wirkende Seite)</w:t>
      </w:r>
    </w:p>
    <w:p>
      <w:pPr>
        <w:spacing w:after="30"/>
      </w:pPr>
      <w:r>
        <w:rPr>
          <w:b/>
          <w:i w:val="0"/>
          <w:sz w:val="19"/>
        </w:rPr>
        <w:t xml:space="preserve">Set 4 (Membership, heterogenes τ): </w:t>
      </w:r>
      <w:r>
        <w:rPr>
          <w:b w:val="0"/>
          <w:i w:val="0"/>
          <w:sz w:val="19"/>
        </w:rPr>
        <w:t>n_b = [(r_b−P_b)+β_b(r_s−P_s)]/(1−β_b·β_s)  ·  Buyer zahlt weniger ⇔ (1−β_s)·r_b &lt; (1−β_b)·r_s</w:t>
      </w:r>
    </w:p>
    <w:p>
      <w:pPr>
        <w:spacing w:after="30"/>
      </w:pPr>
      <w:r>
        <w:rPr>
          <w:b/>
          <w:i w:val="0"/>
          <w:sz w:val="19"/>
        </w:rPr>
        <w:t xml:space="preserve">Plattform-Lerner: </w:t>
      </w:r>
      <w:r>
        <w:rPr>
          <w:b w:val="0"/>
          <w:i w:val="0"/>
          <w:sz w:val="19"/>
        </w:rPr>
        <w:t>P_s = c_s − β_b·n_b + N_s(u_s)/N_s'(u_s)</w:t>
      </w:r>
      <w:r>
        <w:rPr>
          <w:b w:val="0"/>
          <w:i w:val="0"/>
          <w:sz w:val="19"/>
        </w:rPr>
        <w:t xml:space="preserve"> → Markup runter durch Cross-Group-Externalität, hoch durch eigene Inelastizität.</w:t>
      </w:r>
    </w:p>
    <w:p>
      <w:pPr>
        <w:spacing w:after="30"/>
      </w:pPr>
      <w:r>
        <w:rPr>
          <w:b/>
          <w:i w:val="0"/>
          <w:sz w:val="19"/>
        </w:rPr>
        <w:t xml:space="preserve">Strict inequality Set 1: </w:t>
      </w:r>
      <w:r>
        <w:rPr>
          <w:b w:val="0"/>
          <w:i w:val="0"/>
          <w:sz w:val="19"/>
        </w:rPr>
        <w:t>Multiple FEE entstehen erst bei β &gt; V_A − V_B (strikt). Bei Gleichheit hat das Spiel keine Trap-Region.</w:t>
      </w:r>
    </w:p>
    <w:p>
      <w:pPr>
        <w:pBdr>
          <w:bottom w:val="single" w:sz="6" w:space="1" w:color="BFBFBF"/>
        </w:pBdr>
        <w:spacing w:after="40"/>
      </w:pPr>
    </w:p>
    <w:p>
      <w:pPr>
        <w:spacing w:before="80" w:after="40"/>
      </w:pPr>
      <w:r>
        <w:rPr>
          <w:b/>
          <w:color w:val="143E86"/>
          <w:sz w:val="26"/>
        </w:rPr>
        <w:t>★ Aufzählungen — Top-7 zum stillen Aufsagen</w:t>
      </w:r>
    </w:p>
    <w:p>
      <w:pPr>
        <w:spacing w:after="30"/>
      </w:pPr>
      <w:r>
        <w:rPr>
          <w:b/>
          <w:i w:val="0"/>
          <w:sz w:val="19"/>
        </w:rPr>
        <w:t>Seeding (8):</w:t>
      </w:r>
      <w:r>
        <w:rPr>
          <w:b w:val="0"/>
          <w:i w:val="0"/>
          <w:sz w:val="19"/>
        </w:rPr>
        <w:t xml:space="preserve"> Marquee · WGNE ausnutzen · Stand-Alone-Wert · Niche · Fleeing existing · Piggyback · Boost Expectations · Start als Pipeline.</w:t>
      </w:r>
    </w:p>
    <w:p>
      <w:pPr>
        <w:spacing w:after="30"/>
      </w:pPr>
      <w:r>
        <w:rPr>
          <w:b/>
          <w:i w:val="0"/>
          <w:sz w:val="19"/>
        </w:rPr>
        <w:t>Defensibility (4):</w:t>
      </w:r>
      <w:r>
        <w:rPr>
          <w:b w:val="0"/>
          <w:i w:val="0"/>
          <w:sz w:val="19"/>
        </w:rPr>
        <w:t xml:space="preserve"> Strength&amp;Scope of NE · Multi-Homing · Coordination Costs · Trust &amp; Value-Add. (jeweils ↑ härtet, ↓ öffnet)</w:t>
      </w:r>
    </w:p>
    <w:p>
      <w:pPr>
        <w:spacing w:after="30"/>
      </w:pPr>
      <w:r>
        <w:rPr>
          <w:b/>
          <w:i w:val="0"/>
          <w:sz w:val="19"/>
        </w:rPr>
        <w:t>4 NE-Kategorien:</w:t>
      </w:r>
      <w:r>
        <w:rPr>
          <w:b w:val="0"/>
          <w:i w:val="0"/>
          <w:sz w:val="19"/>
        </w:rPr>
        <w:t xml:space="preserve"> +WGNE (WhatsApp), −WGNE (Online-Poker-Profis, Waze-Stau), +CGNE (Uber, eBay), −CGNE (Werbung→User). </w:t>
      </w:r>
      <w:r>
        <w:rPr>
          <w:b w:val="0"/>
          <w:i/>
          <w:sz w:val="19"/>
        </w:rPr>
        <w:t>Falle: Uber-Fahrer↔Uber-Fahrer = −WGNE, NICHT CGNE.</w:t>
      </w:r>
    </w:p>
    <w:p>
      <w:pPr>
        <w:spacing w:after="30"/>
      </w:pPr>
      <w:r>
        <w:rPr>
          <w:b/>
          <w:i w:val="0"/>
          <w:sz w:val="19"/>
        </w:rPr>
        <w:t>3 CGNE-Situationen:</w:t>
      </w:r>
      <w:r>
        <w:rPr>
          <w:b w:val="0"/>
          <w:i w:val="0"/>
          <w:sz w:val="19"/>
        </w:rPr>
        <w:t xml:space="preserve"> Attraction-Spiral (++) · Attraction/Repulsion (+/−) · Attraction-Spillover (+/0).</w:t>
      </w:r>
    </w:p>
    <w:p>
      <w:pPr>
        <w:spacing w:after="30"/>
      </w:pPr>
      <w:r>
        <w:rPr>
          <w:b/>
          <w:i w:val="0"/>
          <w:sz w:val="19"/>
        </w:rPr>
        <w:t>4 Counter-Disintermediation:</w:t>
      </w:r>
      <w:r>
        <w:rPr>
          <w:b w:val="0"/>
          <w:i w:val="0"/>
          <w:sz w:val="19"/>
        </w:rPr>
        <w:t xml:space="preserve"> Pricing anpassen (Lead/Membership) · Pipeline werden · Karotte (Insurance, Dispute) · Stock (Banning, Filter). Stöcke allein reichen nicht.</w:t>
      </w:r>
    </w:p>
    <w:p>
      <w:pPr>
        <w:spacing w:after="30"/>
      </w:pPr>
      <w:r>
        <w:rPr>
          <w:b/>
          <w:i w:val="0"/>
          <w:sz w:val="19"/>
        </w:rPr>
        <w:t>3 D&amp;C-Voraussetzungen:</w:t>
      </w:r>
      <w:r>
        <w:rPr>
          <w:b w:val="0"/>
          <w:i w:val="0"/>
          <w:sz w:val="19"/>
        </w:rPr>
        <w:t xml:space="preserve"> Beobachtbarkeit der Subvention · Deep Pockets · Verbindlichkeit (nicht nur Promo).</w:t>
      </w:r>
    </w:p>
    <w:p>
      <w:pPr>
        <w:spacing w:after="30"/>
      </w:pPr>
      <w:r>
        <w:rPr>
          <w:b/>
          <w:i w:val="0"/>
          <w:sz w:val="19"/>
        </w:rPr>
        <w:t>3 Data-Defensibility-Bedingungen:</w:t>
      </w:r>
      <w:r>
        <w:rPr>
          <w:b w:val="0"/>
          <w:i w:val="0"/>
          <w:sz w:val="19"/>
        </w:rPr>
        <w:t xml:space="preserve"> Spillover A→B · langlebiger/persistenter Wert · proprietär+schwer-imitierbar. (KEIN „collab-filtering nötig“.)</w:t>
      </w:r>
    </w:p>
    <w:p>
      <w:pPr>
        <w:spacing w:after="30"/>
      </w:pPr>
      <w:r>
        <w:rPr>
          <w:b/>
          <w:i w:val="0"/>
          <w:sz w:val="19"/>
        </w:rPr>
        <w:t>5 Disintermediation-Treiber:</w:t>
      </w:r>
      <w:r>
        <w:rPr>
          <w:b w:val="0"/>
          <w:i w:val="0"/>
          <w:sz w:val="19"/>
        </w:rPr>
        <w:t xml:space="preserve"> hoher Trxn-Wert · Repeat mit gleicher Person · viel Pre-Trxn-Communication · in-person · schwacher Plattform-Value-Add.</w:t>
      </w:r>
    </w:p>
    <w:p>
      <w:pPr>
        <w:pBdr>
          <w:bottom w:val="single" w:sz="6" w:space="1" w:color="BFBFBF"/>
        </w:pBdr>
        <w:spacing w:after="40"/>
      </w:pPr>
    </w:p>
    <w:p>
      <w:pPr>
        <w:spacing w:before="80" w:after="40"/>
      </w:pPr>
      <w:r>
        <w:rPr>
          <w:b/>
          <w:color w:val="143E86"/>
          <w:sz w:val="26"/>
        </w:rPr>
        <w:t>★ 8 Paper — Methode, Effekt &amp; Trick auf einen Blick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340"/>
            <w:shd w:fill="143E86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118"/>
            <w:shd w:fill="143E86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Paper · Stichwort</w:t>
            </w:r>
          </w:p>
        </w:tc>
        <w:tc>
          <w:tcPr>
            <w:tcW w:type="dxa" w:w="1474"/>
            <w:shd w:fill="143E86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Methode</w:t>
            </w:r>
          </w:p>
        </w:tc>
        <w:tc>
          <w:tcPr>
            <w:tcW w:type="dxa" w:w="4082"/>
            <w:shd w:fill="143E86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Effekt / Trick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7"/>
              </w:rPr>
              <w:t>Zhang &amp; Zhu — Wikipedia (China-Block)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7"/>
              </w:rPr>
              <w:t>DiD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−1.7 Beiträge/User · Social-Benefit treibt Contributions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7"/>
              </w:rPr>
              <w:t>Algan — CH-Breitband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7"/>
              </w:rPr>
              <w:t>IV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+ Content &amp; Social Ties · Instrument = Topologie/Rollout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7"/>
              </w:rPr>
              <w:t>Reshef — Pie / YTP-GrubHub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7"/>
              </w:rPr>
              <w:t>DiD + DDD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High-Q +, Low-Q − · Triple-Dim isoliert Heterogenität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7"/>
              </w:rPr>
              <w:t>Klein et al. — Search Daten-RCT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7"/>
              </w:rPr>
              <w:t>RCT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Mehr Daten ⇒ bessere Quality, v.a. Rare Queries (74 %)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7"/>
              </w:rPr>
              <w:t>Freimane — YouTube-Dislike-Removal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7"/>
              </w:rPr>
              <w:t>DiD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Frauen +8.4 % Videos / +15.5 % Demand · Bias-Reduktion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7"/>
              </w:rPr>
              <w:t>Seamans-Zhu — Craigslist vs. Newspapers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7"/>
              </w:rPr>
              <w:t>Staggered DiD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Money-side bricht weg ⇒ Subscription steigt (Non-Neutralität)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7"/>
              </w:rPr>
              <w:t>Anderson-Magruder — Yelp Half-Star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7"/>
              </w:rPr>
              <w:t>RDD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+0.5 ⇒ +19 pp Sellout · Display-Manipulation, Quality const.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7"/>
              </w:rPr>
              <w:t>Bursztyn et al. — TikTok Collective Trap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7"/>
              </w:rPr>
              <w:t>RCT (BDM/MPL)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WTA collective &gt; individual ⇒ User in Trap, pre-registriert</w:t>
            </w:r>
          </w:p>
        </w:tc>
      </w:tr>
    </w:tbl>
    <w:p>
      <w:pPr>
        <w:spacing w:after="30"/>
      </w:pPr>
      <w:r>
        <w:rPr>
          <w:b/>
          <w:i w:val="0"/>
          <w:sz w:val="19"/>
        </w:rPr>
        <w:t xml:space="preserve">Validitäts-Reflex (für unbekanntes Paper): </w:t>
      </w:r>
      <w:r>
        <w:rPr>
          <w:b w:val="0"/>
          <w:i w:val="0"/>
          <w:sz w:val="19"/>
        </w:rPr>
        <w:t>DiD/DDD → Pre-Trends parallel? · RDD → keine Manipulation am Cutoff (McCrary)? · IV → First-Stage F &gt; 10 &amp; Exklusion plausibel? · RCT → Balance &amp; Compliance?</w:t>
      </w:r>
    </w:p>
    <w:p>
      <w:pPr>
        <w:pBdr>
          <w:bottom w:val="single" w:sz="6" w:space="1" w:color="BFBFBF"/>
        </w:pBdr>
        <w:spacing w:after="40"/>
      </w:pPr>
    </w:p>
    <w:p>
      <w:pPr>
        <w:spacing w:before="80" w:after="40"/>
      </w:pPr>
      <w:r>
        <w:rPr>
          <w:b/>
          <w:color w:val="143E86"/>
          <w:sz w:val="26"/>
        </w:rPr>
        <w:t>★ Klausur-Reflexe — die letzten 4 Hebel</w:t>
      </w:r>
    </w:p>
    <w:p>
      <w:pPr>
        <w:pStyle w:val="ListBullet"/>
        <w:spacing w:after="0"/>
        <w:ind w:left="227"/>
      </w:pPr>
      <w:r>
        <w:rPr>
          <w:sz w:val="19"/>
        </w:rPr>
        <w:t>MC-Modus: jede Option SEPARAT prüfen — „ist diese Aussage als geschriebener Satz wahr?“. Nicht „passt halbwegs zur Frage?“. Bei „FALSCH“-Fragetyp: zweimal lesen.</w:t>
      </w:r>
    </w:p>
    <w:p>
      <w:pPr>
        <w:pStyle w:val="ListBullet"/>
        <w:spacing w:after="0"/>
        <w:ind w:left="227"/>
      </w:pPr>
      <w:r>
        <w:rPr>
          <w:sz w:val="19"/>
        </w:rPr>
        <w:t>Bei „Cross-Group“-Vokabular: erst denken „negative MC“, dann auf Markup-/Preis-Richtung schliessen.</w:t>
      </w:r>
    </w:p>
    <w:p>
      <w:pPr>
        <w:pStyle w:val="ListBullet"/>
        <w:spacing w:after="0"/>
        <w:ind w:left="227"/>
      </w:pPr>
      <w:r>
        <w:rPr>
          <w:sz w:val="19"/>
        </w:rPr>
        <w:t>Bei „Multi-Homing“-Vokabular: BILLIG ⇒ Defensibility ↓. (Klassische Schwäche, nicht Stärke.)</w:t>
      </w:r>
    </w:p>
    <w:p>
      <w:pPr>
        <w:pStyle w:val="ListBullet"/>
        <w:spacing w:after="0"/>
        <w:ind w:left="227"/>
      </w:pPr>
      <w:r>
        <w:rPr>
          <w:sz w:val="19"/>
        </w:rPr>
        <w:t>Bei „Many small Trxns / kleines Trxn-Volumen“: Membership-Fee ist optimal, nicht Transaction.</w:t>
      </w:r>
    </w:p>
    <w:p>
      <w:pPr>
        <w:pBdr>
          <w:bottom w:val="single" w:sz="6" w:space="1" w:color="BFBFBF"/>
        </w:pBdr>
        <w:spacing w:after="40"/>
      </w:pPr>
    </w:p>
    <w:p>
      <w:pPr>
        <w:spacing w:before="80"/>
        <w:jc w:val="center"/>
      </w:pPr>
      <w:r>
        <w:rPr>
          <w:i/>
          <w:color w:val="606060"/>
          <w:sz w:val="17"/>
        </w:rPr>
        <w:t>Wenn du nur 5 Minuten hast: Cluster A &amp; B + die T1–T4-Stolpersteine. Wenn 10 Minuten: + Aufzählungen Top-7. Schlaf vor Genauigkeit. Viel Erfolg.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