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A5F"/>
        </w:rPr>
        <w:t>Sample Final Examination — ME 3: Organizational Economics</w:t>
      </w:r>
    </w:p>
    <w:p>
      <w:pPr>
        <w:spacing w:after="80"/>
      </w:pPr>
      <w:r>
        <w:rPr>
          <w:b w:val="0"/>
          <w:i/>
          <w:sz w:val="22"/>
        </w:rPr>
        <w:t>(Prof. Aguiar, UZH, FS26)  •  Practice exam built for self-assessment, covering all five lecture sections.</w:t>
      </w:r>
    </w:p>
    <w:p>
      <w:pPr>
        <w:spacing w:after="80"/>
      </w:pPr>
      <w:r>
        <w:rPr>
          <w:b w:val="0"/>
          <w:i w:val="0"/>
          <w:sz w:val="22"/>
        </w:rPr>
      </w:r>
    </w:p>
    <w:p>
      <w:pPr>
        <w:pStyle w:val="Heading2"/>
      </w:pPr>
      <w:r>
        <w:rPr>
          <w:color w:val="1F3A5F"/>
        </w:rPr>
        <w:t>Instructions</w:t>
      </w:r>
    </w:p>
    <w:p>
      <w:pPr>
        <w:ind w:left="283"/>
      </w:pPr>
      <w:r>
        <w:rPr>
          <w:b/>
          <w:sz w:val="22"/>
        </w:rPr>
        <w:t xml:space="preserve">Duration &amp; weighting.  </w:t>
      </w:r>
      <w:r>
        <w:rPr>
          <w:sz w:val="22"/>
        </w:rPr>
        <w:t>90 minutes  •  90 points total  •  Part A: 30 pts  •  Part B: 30 pts  •  Part C: 30 pts.</w:t>
      </w:r>
    </w:p>
    <w:p>
      <w:pPr>
        <w:ind w:left="283"/>
      </w:pPr>
      <w:r>
        <w:rPr>
          <w:b/>
          <w:sz w:val="22"/>
        </w:rPr>
        <w:t xml:space="preserve">Language.  </w:t>
      </w:r>
      <w:r>
        <w:rPr>
          <w:sz w:val="22"/>
        </w:rPr>
        <w:t>Answer in English.</w:t>
      </w:r>
    </w:p>
    <w:p>
      <w:pPr>
        <w:ind w:left="283"/>
      </w:pPr>
      <w:r>
        <w:rPr>
          <w:b/>
          <w:sz w:val="22"/>
        </w:rPr>
        <w:t xml:space="preserve">Answer keys.  </w:t>
      </w:r>
      <w:r>
        <w:rPr>
          <w:sz w:val="22"/>
        </w:rPr>
        <w:t>All sample answers and rubrics are at the very end of this document. Try the full paper under time pressure before scrolling down.</w:t>
      </w:r>
    </w:p>
    <w:p>
      <w:pPr>
        <w:ind w:left="283"/>
      </w:pPr>
      <w:r>
        <w:rPr>
          <w:b/>
          <w:sz w:val="22"/>
        </w:rPr>
        <w:t xml:space="preserve">Aids.  </w:t>
      </w:r>
      <w:r>
        <w:rPr>
          <w:sz w:val="22"/>
        </w:rPr>
        <w:t>Closed-book. No calculator needed; arithmetic is kept clean on purpose.</w:t>
      </w:r>
    </w:p>
    <w:p>
      <w:pPr>
        <w:spacing w:after="80"/>
      </w:pPr>
      <w:r>
        <w:rPr>
          <w:b w:val="0"/>
          <w:i w:val="0"/>
          <w:sz w:val="22"/>
        </w:rPr>
      </w:r>
    </w:p>
    <w:p>
      <w:pPr>
        <w:pStyle w:val="Heading2"/>
      </w:pPr>
      <w:r>
        <w:rPr>
          <w:color w:val="1F3A5F"/>
        </w:rPr>
        <w:t>Part A — Format Note (read carefully)</w:t>
      </w:r>
    </w:p>
    <w:p>
      <w:pPr>
        <w:spacing w:after="80"/>
      </w:pPr>
      <w:r>
        <w:rPr>
          <w:b w:val="0"/>
          <w:i w:val="0"/>
          <w:sz w:val="22"/>
        </w:rPr>
        <w:t>Each multiple-choice item lists four statements (A–D). For every statement, mark the box if the statement is correct. Any subset of {A, B, C, D} may be correct — this includes zero (no statement is correct) and four (all four are correct). An item is worth 2 points: full credit only if every box (ticked or untouched) is correct. No partial credit. Read every option carefully — distractors are designed to mirror common confusions (e.g. WGNE vs. CGNE, parallel pre-trends vs. common-trends assumption, FEE-Demand sign, subsidy-side indexing).</w:t>
      </w:r>
    </w:p>
    <w:p>
      <w:r>
        <w:br w:type="page"/>
      </w:r>
    </w:p>
    <w:p>
      <w:pPr>
        <w:pStyle w:val="Heading1"/>
      </w:pPr>
      <w:r>
        <w:rPr>
          <w:color w:val="1F3A5F"/>
        </w:rPr>
        <w:t>Part A — Multiple Choice (30 pts, 15 questions × 2 pts)</w:t>
      </w:r>
    </w:p>
    <w:p>
      <w:pPr>
        <w:spacing w:after="80"/>
      </w:pPr>
      <w:r>
        <w:rPr>
          <w:b w:val="0"/>
          <w:i/>
          <w:sz w:val="20"/>
        </w:rPr>
        <w:t>Three questions per lecture section (S1–S5).</w:t>
      </w:r>
    </w:p>
    <w:p>
      <w:pPr>
        <w:spacing w:before="160" w:after="40"/>
      </w:pPr>
      <w:r>
        <w:rPr>
          <w:b/>
          <w:sz w:val="22"/>
        </w:rPr>
        <w:t xml:space="preserve">Question 1  </w:t>
      </w:r>
      <w:r>
        <w:rPr>
          <w:i/>
          <w:color w:val="555555"/>
          <w:sz w:val="18"/>
        </w:rPr>
        <w:t>[S1: Platform definition &amp; typology]</w:t>
      </w:r>
    </w:p>
    <w:p>
      <w:pPr>
        <w:spacing w:after="40"/>
      </w:pPr>
      <w:r>
        <w:rPr>
          <w:sz w:val="22"/>
        </w:rPr>
        <w:t>Which of the following statements about the platform definition used in the lectures (an entity that brings agents together AND actively manages the network effects between them) are CORRECT?</w:t>
      </w:r>
    </w:p>
    <w:p>
      <w:pPr>
        <w:spacing w:after="20"/>
        <w:ind w:left="454"/>
      </w:pPr>
      <w:r>
        <w:rPr>
          <w:sz w:val="22"/>
        </w:rPr>
        <w:t xml:space="preserve">☐  </w:t>
      </w:r>
      <w:r>
        <w:rPr>
          <w:sz w:val="22"/>
        </w:rPr>
        <w:t>A.  Esperanto qualifies as a platform because users derive larger benefits as the speaker base grows.</w:t>
      </w:r>
    </w:p>
    <w:p>
      <w:pPr>
        <w:spacing w:after="20"/>
        <w:ind w:left="454"/>
      </w:pPr>
      <w:r>
        <w:rPr>
          <w:sz w:val="22"/>
        </w:rPr>
        <w:t xml:space="preserve">☐  </w:t>
      </w:r>
      <w:r>
        <w:rPr>
          <w:sz w:val="22"/>
        </w:rPr>
        <w:t>B.  Wikipedia qualifies as a platform even though it is non-profit, because an entity (the Foundation plus moderation rules) actively manages the writer–reader interaction.</w:t>
      </w:r>
    </w:p>
    <w:p>
      <w:pPr>
        <w:spacing w:after="20"/>
        <w:ind w:left="454"/>
      </w:pPr>
      <w:r>
        <w:rPr>
          <w:sz w:val="22"/>
        </w:rPr>
        <w:t xml:space="preserve">☐  </w:t>
      </w:r>
      <w:r>
        <w:rPr>
          <w:sz w:val="22"/>
        </w:rPr>
        <w:t>C.  A traditional supermarket is not a platform: it brings buyers and the store together, but no demand-side externalities run between the buyers.</w:t>
      </w:r>
    </w:p>
    <w:p>
      <w:pPr>
        <w:spacing w:after="20"/>
        <w:ind w:left="454"/>
      </w:pPr>
      <w:r>
        <w:rPr>
          <w:sz w:val="22"/>
        </w:rPr>
        <w:t xml:space="preserve">☐  </w:t>
      </w:r>
      <w:r>
        <w:rPr>
          <w:sz w:val="22"/>
        </w:rPr>
        <w:t>D.  A firm only qualifies as a platform once transactions take place on it; non-transaction platforms (e.g. Twitter without payments) are excluded by the definition.</w:t>
      </w:r>
    </w:p>
    <w:p>
      <w:pPr>
        <w:spacing w:after="40"/>
      </w:pPr>
      <w:r>
        <w:rPr>
          <w:sz w:val="22"/>
        </w:rPr>
      </w:r>
    </w:p>
    <w:p>
      <w:pPr>
        <w:spacing w:after="40"/>
      </w:pPr>
      <w:r>
        <w:rPr>
          <w:sz w:val="22"/>
        </w:rPr>
      </w:r>
    </w:p>
    <w:p>
      <w:pPr>
        <w:spacing w:before="160" w:after="40"/>
      </w:pPr>
      <w:r>
        <w:rPr>
          <w:b/>
          <w:sz w:val="22"/>
        </w:rPr>
        <w:t xml:space="preserve">Question 2  </w:t>
      </w:r>
      <w:r>
        <w:rPr>
          <w:i/>
          <w:color w:val="555555"/>
          <w:sz w:val="18"/>
        </w:rPr>
        <w:t>[S1: Within-group vs. cross-group, direct vs. indirect]</w:t>
      </w:r>
    </w:p>
    <w:p>
      <w:pPr>
        <w:spacing w:after="40"/>
      </w:pPr>
      <w:r>
        <w:rPr>
          <w:sz w:val="22"/>
        </w:rPr>
        <w:t>Consider the following statements about the network-effect taxonomy. Mark all that are CORRECT.</w:t>
      </w:r>
    </w:p>
    <w:p>
      <w:pPr>
        <w:spacing w:after="20"/>
        <w:ind w:left="454"/>
      </w:pPr>
      <w:r>
        <w:rPr>
          <w:sz w:val="22"/>
        </w:rPr>
        <w:t xml:space="preserve">☐  </w:t>
      </w:r>
      <w:r>
        <w:rPr>
          <w:sz w:val="22"/>
        </w:rPr>
        <w:t>A.  An additional Uber driver who reduces the per-driver earnings of other Uber drivers generates a negative cross-group network effect.</w:t>
      </w:r>
    </w:p>
    <w:p>
      <w:pPr>
        <w:spacing w:after="20"/>
        <w:ind w:left="454"/>
      </w:pPr>
      <w:r>
        <w:rPr>
          <w:sz w:val="22"/>
        </w:rPr>
        <w:t xml:space="preserve">☐  </w:t>
      </w:r>
      <w:r>
        <w:rPr>
          <w:sz w:val="22"/>
        </w:rPr>
        <w:t>B.  Indirect network effects can only arise in two-sided markets; one-sided platforms have only direct effects.</w:t>
      </w:r>
    </w:p>
    <w:p>
      <w:pPr>
        <w:spacing w:after="20"/>
        <w:ind w:left="454"/>
      </w:pPr>
      <w:r>
        <w:rPr>
          <w:sz w:val="22"/>
        </w:rPr>
        <w:t xml:space="preserve">☐  </w:t>
      </w:r>
      <w:r>
        <w:rPr>
          <w:sz w:val="22"/>
        </w:rPr>
        <w:t>C.  On a free, ad-financed content platform (e.g. YouTube) the user–advertiser relationship is best described as an Attraction/Repulsion Pendulum.</w:t>
      </w:r>
    </w:p>
    <w:p>
      <w:pPr>
        <w:spacing w:after="20"/>
        <w:ind w:left="454"/>
      </w:pPr>
      <w:r>
        <w:rPr>
          <w:sz w:val="22"/>
        </w:rPr>
        <w:t xml:space="preserve">☐  </w:t>
      </w:r>
      <w:r>
        <w:rPr>
          <w:sz w:val="22"/>
        </w:rPr>
        <w:t>D.  Two-sided platforms with positive cross-group effects induce a positive indirect within-group effect on each side, even though no direct user-to-user interaction within the group exists.</w:t>
      </w:r>
    </w:p>
    <w:p>
      <w:pPr>
        <w:spacing w:after="40"/>
      </w:pPr>
      <w:r>
        <w:rPr>
          <w:sz w:val="22"/>
        </w:rPr>
      </w:r>
    </w:p>
    <w:p>
      <w:pPr>
        <w:spacing w:after="40"/>
      </w:pPr>
      <w:r>
        <w:rPr>
          <w:sz w:val="22"/>
        </w:rPr>
      </w:r>
    </w:p>
    <w:p>
      <w:pPr>
        <w:spacing w:before="160" w:after="40"/>
      </w:pPr>
      <w:r>
        <w:rPr>
          <w:b/>
          <w:sz w:val="22"/>
        </w:rPr>
        <w:t xml:space="preserve">Question 3  </w:t>
      </w:r>
      <w:r>
        <w:rPr>
          <w:i/>
          <w:color w:val="555555"/>
          <w:sz w:val="18"/>
        </w:rPr>
        <w:t>[S1: Aguiar 2D-typology (value creation × value capture)]</w:t>
      </w:r>
    </w:p>
    <w:p>
      <w:pPr>
        <w:spacing w:after="40"/>
      </w:pPr>
      <w:r>
        <w:rPr>
          <w:sz w:val="22"/>
        </w:rPr>
        <w:t>In Aguiar's 2D typology, value creation is either WGNE, CGNE, or stand-alone, and value capture is either 'charge the users enjoying the positive NE' or 'monetize via others (ads, data)'. Which assignments are CORRECT?</w:t>
      </w:r>
    </w:p>
    <w:p>
      <w:pPr>
        <w:spacing w:after="20"/>
        <w:ind w:left="454"/>
      </w:pPr>
      <w:r>
        <w:rPr>
          <w:sz w:val="22"/>
        </w:rPr>
        <w:t xml:space="preserve">☐  </w:t>
      </w:r>
      <w:r>
        <w:rPr>
          <w:sz w:val="22"/>
        </w:rPr>
        <w:t>A.  Netflix sits in the cell 'WGNE × charge the users' because its recommender system creates WGNE and its monetization comes from subscriptions.</w:t>
      </w:r>
    </w:p>
    <w:p>
      <w:pPr>
        <w:spacing w:after="20"/>
        <w:ind w:left="454"/>
      </w:pPr>
      <w:r>
        <w:rPr>
          <w:sz w:val="22"/>
        </w:rPr>
        <w:t xml:space="preserve">☐  </w:t>
      </w:r>
      <w:r>
        <w:rPr>
          <w:sz w:val="22"/>
        </w:rPr>
        <w:t>B.  Amazon Marketplace (third-party seller business) sits in the cell 'CGNE × monetize via others' because it does not charge end consumers.</w:t>
      </w:r>
    </w:p>
    <w:p>
      <w:pPr>
        <w:spacing w:after="20"/>
        <w:ind w:left="454"/>
      </w:pPr>
      <w:r>
        <w:rPr>
          <w:sz w:val="22"/>
        </w:rPr>
        <w:t xml:space="preserve">☐  </w:t>
      </w:r>
      <w:r>
        <w:rPr>
          <w:sz w:val="22"/>
        </w:rPr>
        <w:t>C.  Facebook's core newsfeed is best classified as 'CGNE × monetize via others'.</w:t>
      </w:r>
    </w:p>
    <w:p>
      <w:pPr>
        <w:spacing w:after="20"/>
        <w:ind w:left="454"/>
      </w:pPr>
      <w:r>
        <w:rPr>
          <w:sz w:val="22"/>
        </w:rPr>
        <w:t xml:space="preserve">☐  </w:t>
      </w:r>
      <w:r>
        <w:rPr>
          <w:sz w:val="22"/>
        </w:rPr>
        <w:t>D.  A purely stand-alone newspaper that does not host any user interaction is, by construction, not a platform — regardless of the monetization model used.</w:t>
      </w:r>
    </w:p>
    <w:p>
      <w:pPr>
        <w:spacing w:after="40"/>
      </w:pPr>
      <w:r>
        <w:rPr>
          <w:sz w:val="22"/>
        </w:rPr>
      </w:r>
    </w:p>
    <w:p>
      <w:pPr>
        <w:spacing w:after="40"/>
      </w:pPr>
      <w:r>
        <w:rPr>
          <w:sz w:val="22"/>
        </w:rPr>
      </w:r>
    </w:p>
    <w:p>
      <w:pPr>
        <w:spacing w:before="160" w:after="40"/>
      </w:pPr>
      <w:r>
        <w:rPr>
          <w:b/>
          <w:sz w:val="22"/>
        </w:rPr>
        <w:t xml:space="preserve">Question 4  </w:t>
      </w:r>
      <w:r>
        <w:rPr>
          <w:i/>
          <w:color w:val="555555"/>
          <w:sz w:val="18"/>
        </w:rPr>
        <w:t>[S2: Demand for a single network good (Set 1.2 logic)]</w:t>
      </w:r>
    </w:p>
    <w:p>
      <w:pPr>
        <w:spacing w:after="40"/>
      </w:pPr>
      <w:r>
        <w:rPr>
          <w:sz w:val="22"/>
        </w:rPr>
        <w:t>Consider the one-sided continuum model with heterogeneous stand-alone valuation: U(θ) = θV + β·nᵉ − p, θ ~ U[0,1]. Which statements about the fulfilled-expectations equilibrium are CORRECT?</w:t>
      </w:r>
    </w:p>
    <w:p>
      <w:pPr>
        <w:spacing w:after="20"/>
        <w:ind w:left="454"/>
      </w:pPr>
      <w:r>
        <w:rPr>
          <w:sz w:val="22"/>
        </w:rPr>
        <w:t xml:space="preserve">☐  </w:t>
      </w:r>
      <w:r>
        <w:rPr>
          <w:sz w:val="22"/>
        </w:rPr>
        <w:t>A.  When V &gt; β, the FEE demand n(p) = (V − p) / (V − β) is monotonically decreasing in p over the interior region.</w:t>
      </w:r>
    </w:p>
    <w:p>
      <w:pPr>
        <w:spacing w:after="20"/>
        <w:ind w:left="454"/>
      </w:pPr>
      <w:r>
        <w:rPr>
          <w:sz w:val="22"/>
        </w:rPr>
        <w:t xml:space="preserve">☐  </w:t>
      </w:r>
      <w:r>
        <w:rPr>
          <w:sz w:val="22"/>
        </w:rPr>
        <w:t>B.  When β &gt; V, the FEE demand admits a positively sloped branch in (p, n)-space, and three FEE values of n typically coexist for an intermediate price range.</w:t>
      </w:r>
    </w:p>
    <w:p>
      <w:pPr>
        <w:spacing w:after="20"/>
        <w:ind w:left="454"/>
      </w:pPr>
      <w:r>
        <w:rPr>
          <w:sz w:val="22"/>
        </w:rPr>
        <w:t xml:space="preserve">☐  </w:t>
      </w:r>
      <w:r>
        <w:rPr>
          <w:sz w:val="22"/>
        </w:rPr>
        <w:t>C.  In the strong-NE case the 'critical-mass' equilibrium n_S is stable: small deviations are dampened back toward n_S.</w:t>
      </w:r>
    </w:p>
    <w:p>
      <w:pPr>
        <w:spacing w:after="20"/>
        <w:ind w:left="454"/>
      </w:pPr>
      <w:r>
        <w:rPr>
          <w:sz w:val="22"/>
        </w:rPr>
        <w:t xml:space="preserve">☐  </w:t>
      </w:r>
      <w:r>
        <w:rPr>
          <w:sz w:val="22"/>
        </w:rPr>
        <w:t>D.  Because the model is symmetric, the n = 0 equilibrium is never an equilibrium for strictly positive prices.</w:t>
      </w:r>
    </w:p>
    <w:p>
      <w:pPr>
        <w:spacing w:after="40"/>
      </w:pPr>
      <w:r>
        <w:rPr>
          <w:sz w:val="22"/>
        </w:rPr>
      </w:r>
    </w:p>
    <w:p>
      <w:pPr>
        <w:spacing w:after="40"/>
      </w:pPr>
      <w:r>
        <w:rPr>
          <w:sz w:val="22"/>
        </w:rPr>
      </w:r>
    </w:p>
    <w:p>
      <w:pPr>
        <w:spacing w:before="160" w:after="40"/>
      </w:pPr>
      <w:r>
        <w:rPr>
          <w:b/>
          <w:sz w:val="22"/>
        </w:rPr>
        <w:t xml:space="preserve">Question 5  </w:t>
      </w:r>
      <w:r>
        <w:rPr>
          <w:i/>
          <w:color w:val="555555"/>
          <w:sz w:val="18"/>
        </w:rPr>
        <w:t>[S2: Hotelling with WGNE]</w:t>
      </w:r>
    </w:p>
    <w:p>
      <w:pPr>
        <w:spacing w:after="40"/>
      </w:pPr>
      <w:r>
        <w:rPr>
          <w:sz w:val="22"/>
        </w:rPr>
        <w:t>Two horizontally differentiated platforms with transport cost t, common WGNE intensity β, and a quality wedge q for platform 1. Which of the following are CORRECT?</w:t>
      </w:r>
    </w:p>
    <w:p>
      <w:pPr>
        <w:spacing w:after="20"/>
        <w:ind w:left="454"/>
      </w:pPr>
      <w:r>
        <w:rPr>
          <w:sz w:val="22"/>
        </w:rPr>
        <w:t xml:space="preserve">☐  </w:t>
      </w:r>
      <w:r>
        <w:rPr>
          <w:sz w:val="22"/>
        </w:rPr>
        <w:t>A.  Network effects act as endogenous vertical differentiation: stronger β tilts market shares further toward the higher-quality platform.</w:t>
      </w:r>
    </w:p>
    <w:p>
      <w:pPr>
        <w:spacing w:after="20"/>
        <w:ind w:left="454"/>
      </w:pPr>
      <w:r>
        <w:rPr>
          <w:sz w:val="22"/>
        </w:rPr>
        <w:t xml:space="preserve">☐  </w:t>
      </w:r>
      <w:r>
        <w:rPr>
          <w:sz w:val="22"/>
        </w:rPr>
        <w:t>B.  If β &gt; t, the interior Nash equilibrium in prices is always unique and Tipping is ruled out.</w:t>
      </w:r>
    </w:p>
    <w:p>
      <w:pPr>
        <w:spacing w:after="20"/>
        <w:ind w:left="454"/>
      </w:pPr>
      <w:r>
        <w:rPr>
          <w:sz w:val="22"/>
        </w:rPr>
        <w:t xml:space="preserve">☐  </w:t>
      </w:r>
      <w:r>
        <w:rPr>
          <w:sz w:val="22"/>
        </w:rPr>
        <w:t>C.  Holding everything else constant, an increase in β leads to lower equilibrium prices on both platforms — the network effect intensifies price competition.</w:t>
      </w:r>
    </w:p>
    <w:p>
      <w:pPr>
        <w:spacing w:after="20"/>
        <w:ind w:left="454"/>
      </w:pPr>
      <w:r>
        <w:rPr>
          <w:sz w:val="22"/>
        </w:rPr>
        <w:t xml:space="preserve">☐  </w:t>
      </w:r>
      <w:r>
        <w:rPr>
          <w:sz w:val="22"/>
        </w:rPr>
        <w:t>D.  The no-tipping condition q &lt; 3(t − β) shows that, for a fixed wedge q, sufficiently strong network effects can cause the market to tip toward platform 1.</w:t>
      </w:r>
    </w:p>
    <w:p>
      <w:pPr>
        <w:spacing w:after="40"/>
      </w:pPr>
      <w:r>
        <w:rPr>
          <w:sz w:val="22"/>
        </w:rPr>
      </w:r>
    </w:p>
    <w:p>
      <w:pPr>
        <w:spacing w:after="40"/>
      </w:pPr>
      <w:r>
        <w:rPr>
          <w:sz w:val="22"/>
        </w:rPr>
      </w:r>
    </w:p>
    <w:p>
      <w:pPr>
        <w:spacing w:before="160" w:after="40"/>
      </w:pPr>
      <w:r>
        <w:rPr>
          <w:b/>
          <w:sz w:val="22"/>
        </w:rPr>
        <w:t xml:space="preserve">Question 6  </w:t>
      </w:r>
      <w:r>
        <w:rPr>
          <w:i/>
          <w:color w:val="555555"/>
          <w:sz w:val="18"/>
        </w:rPr>
        <w:t>[S2: Data network effects &amp; defensibility]</w:t>
      </w:r>
    </w:p>
    <w:p>
      <w:pPr>
        <w:spacing w:after="40"/>
      </w:pPr>
      <w:r>
        <w:rPr>
          <w:sz w:val="22"/>
        </w:rPr>
        <w:t>Which of the following are NECESSARY conditions (in the Aguiar framework) for data to translate into a durable competitive advantage?</w:t>
      </w:r>
    </w:p>
    <w:p>
      <w:pPr>
        <w:spacing w:after="20"/>
        <w:ind w:left="454"/>
      </w:pPr>
      <w:r>
        <w:rPr>
          <w:sz w:val="22"/>
        </w:rPr>
        <w:t xml:space="preserve">☐  </w:t>
      </w:r>
      <w:r>
        <w:rPr>
          <w:sz w:val="22"/>
        </w:rPr>
        <w:t>A.  Data generated by one user must improve the service that another user receives — otherwise the data feedback loop is a supply-side economy of scale, not a network effect.</w:t>
      </w:r>
    </w:p>
    <w:p>
      <w:pPr>
        <w:spacing w:after="20"/>
        <w:ind w:left="454"/>
      </w:pPr>
      <w:r>
        <w:rPr>
          <w:sz w:val="22"/>
        </w:rPr>
        <w:t xml:space="preserve">☐  </w:t>
      </w:r>
      <w:r>
        <w:rPr>
          <w:sz w:val="22"/>
        </w:rPr>
        <w:t>B.  The marginal value of additional data must drop to zero quickly, so that the incumbent's data lead becomes hard to catch up.</w:t>
      </w:r>
    </w:p>
    <w:p>
      <w:pPr>
        <w:spacing w:after="20"/>
        <w:ind w:left="454"/>
      </w:pPr>
      <w:r>
        <w:rPr>
          <w:sz w:val="22"/>
        </w:rPr>
        <w:t xml:space="preserve">☐  </w:t>
      </w:r>
      <w:r>
        <w:rPr>
          <w:sz w:val="22"/>
        </w:rPr>
        <w:t>C.  Improvements financed by the data must be hard for competitors to imitate (e.g. proprietary, embedded in trained models).</w:t>
      </w:r>
    </w:p>
    <w:p>
      <w:pPr>
        <w:spacing w:after="20"/>
        <w:ind w:left="454"/>
      </w:pPr>
      <w:r>
        <w:rPr>
          <w:sz w:val="22"/>
        </w:rPr>
        <w:t xml:space="preserve">☐  </w:t>
      </w:r>
      <w:r>
        <w:rPr>
          <w:sz w:val="22"/>
        </w:rPr>
        <w:t>D.  The platform must implement collaborative — rather than content-based — filtering; content-based filtering is incompatible with data network effects by definition.</w:t>
      </w:r>
    </w:p>
    <w:p>
      <w:pPr>
        <w:spacing w:after="40"/>
      </w:pPr>
      <w:r>
        <w:rPr>
          <w:sz w:val="22"/>
        </w:rPr>
      </w:r>
    </w:p>
    <w:p>
      <w:pPr>
        <w:spacing w:after="40"/>
      </w:pPr>
      <w:r>
        <w:rPr>
          <w:sz w:val="22"/>
        </w:rPr>
      </w:r>
    </w:p>
    <w:p>
      <w:pPr>
        <w:spacing w:before="160" w:after="40"/>
      </w:pPr>
      <w:r>
        <w:rPr>
          <w:b/>
          <w:sz w:val="22"/>
        </w:rPr>
        <w:t xml:space="preserve">Question 7  </w:t>
      </w:r>
      <w:r>
        <w:rPr>
          <w:i/>
          <w:color w:val="555555"/>
          <w:sz w:val="18"/>
        </w:rPr>
        <w:t>[S3: Divide-and-Conquer (Set 3 logic)]</w:t>
      </w:r>
    </w:p>
    <w:p>
      <w:pPr>
        <w:spacing w:after="40"/>
      </w:pPr>
      <w:r>
        <w:rPr>
          <w:sz w:val="22"/>
        </w:rPr>
        <w:t>In the two-sided platform with identical users (utilities U_i = r_i + γ_i·n_{−i} − P_i), the Divide-and-Conquer strategy targets the (0,0)-equilibrium. Mark all CORRECT statements.</w:t>
      </w:r>
    </w:p>
    <w:p>
      <w:pPr>
        <w:spacing w:after="20"/>
        <w:ind w:left="454"/>
      </w:pPr>
      <w:r>
        <w:rPr>
          <w:sz w:val="22"/>
        </w:rPr>
        <w:t xml:space="preserve">☐  </w:t>
      </w:r>
      <w:r>
        <w:rPr>
          <w:sz w:val="22"/>
        </w:rPr>
        <w:t>A.  Divide-and-Conquer is profitable only if max{γ_b, γ_s} is large enough to recover the per-user shortfalls on both sides.</w:t>
      </w:r>
    </w:p>
    <w:p>
      <w:pPr>
        <w:spacing w:after="20"/>
        <w:ind w:left="454"/>
      </w:pPr>
      <w:r>
        <w:rPr>
          <w:sz w:val="22"/>
        </w:rPr>
        <w:t xml:space="preserve">☐  </w:t>
      </w:r>
      <w:r>
        <w:rPr>
          <w:sz w:val="22"/>
        </w:rPr>
        <w:t>B.  Because γ_b denotes the impact OF side s ON side b, the rule 'subsidize the side with the higher γ-on-the-other-side' translates into: subsidize buyers if γ_s &gt; γ_b.</w:t>
      </w:r>
    </w:p>
    <w:p>
      <w:pPr>
        <w:spacing w:after="20"/>
        <w:ind w:left="454"/>
      </w:pPr>
      <w:r>
        <w:rPr>
          <w:sz w:val="22"/>
        </w:rPr>
        <w:t xml:space="preserve">☐  </w:t>
      </w:r>
      <w:r>
        <w:rPr>
          <w:sz w:val="22"/>
        </w:rPr>
        <w:t>C.  If a user's outside option strictly dominates her intrinsic platform value, the optimal subsidy can be a negative price — Uber's early driver guarantees are an example.</w:t>
      </w:r>
    </w:p>
    <w:p>
      <w:pPr>
        <w:spacing w:after="20"/>
        <w:ind w:left="454"/>
      </w:pPr>
      <w:r>
        <w:rPr>
          <w:sz w:val="22"/>
        </w:rPr>
        <w:t xml:space="preserve">☐  </w:t>
      </w:r>
      <w:r>
        <w:rPr>
          <w:sz w:val="22"/>
        </w:rPr>
        <w:t>D.  Because each side decides on its own, Divide-and-Conquer works even when the subsidy on one side is unobservable to the other side.</w:t>
      </w:r>
    </w:p>
    <w:p>
      <w:pPr>
        <w:spacing w:after="40"/>
      </w:pPr>
      <w:r>
        <w:rPr>
          <w:sz w:val="22"/>
        </w:rPr>
      </w:r>
    </w:p>
    <w:p>
      <w:pPr>
        <w:spacing w:after="40"/>
      </w:pPr>
      <w:r>
        <w:rPr>
          <w:sz w:val="22"/>
        </w:rPr>
      </w:r>
    </w:p>
    <w:p>
      <w:pPr>
        <w:spacing w:before="160" w:after="40"/>
      </w:pPr>
      <w:r>
        <w:rPr>
          <w:b/>
          <w:sz w:val="22"/>
        </w:rPr>
        <w:t xml:space="preserve">Question 8  </w:t>
      </w:r>
      <w:r>
        <w:rPr>
          <w:i/>
          <w:color w:val="555555"/>
          <w:sz w:val="18"/>
        </w:rPr>
        <w:t>[S3: Seeding strategies]</w:t>
      </w:r>
    </w:p>
    <w:p>
      <w:pPr>
        <w:spacing w:after="40"/>
      </w:pPr>
      <w:r>
        <w:rPr>
          <w:sz w:val="22"/>
        </w:rPr>
        <w:t>Match the historical example to the seeding strategy. Which of the assignments are CORRECT?</w:t>
      </w:r>
    </w:p>
    <w:p>
      <w:pPr>
        <w:spacing w:after="20"/>
        <w:ind w:left="454"/>
      </w:pPr>
      <w:r>
        <w:rPr>
          <w:sz w:val="22"/>
        </w:rPr>
        <w:t xml:space="preserve">☐  </w:t>
      </w:r>
      <w:r>
        <w:rPr>
          <w:sz w:val="22"/>
        </w:rPr>
        <w:t>A.  Airbnb auto-cross-posting host listings to Craigslist in 2008 is a textbook Piggyback strategy.</w:t>
      </w:r>
    </w:p>
    <w:p>
      <w:pPr>
        <w:spacing w:after="20"/>
        <w:ind w:left="454"/>
      </w:pPr>
      <w:r>
        <w:rPr>
          <w:sz w:val="22"/>
        </w:rPr>
        <w:t xml:space="preserve">☐  </w:t>
      </w:r>
      <w:r>
        <w:rPr>
          <w:sz w:val="22"/>
        </w:rPr>
        <w:t>B.  Spotify paying Joe Rogan more than $100m for podcast exclusivity is a Niche-market seeding strategy.</w:t>
      </w:r>
    </w:p>
    <w:p>
      <w:pPr>
        <w:spacing w:after="20"/>
        <w:ind w:left="454"/>
      </w:pPr>
      <w:r>
        <w:rPr>
          <w:sz w:val="22"/>
        </w:rPr>
        <w:t xml:space="preserve">☐  </w:t>
      </w:r>
      <w:r>
        <w:rPr>
          <w:sz w:val="22"/>
        </w:rPr>
        <w:t>C.  Yelp launching with an ethnic-food focus in San Francisco before expanding to other cities is a Niche-market seeding strategy.</w:t>
      </w:r>
    </w:p>
    <w:p>
      <w:pPr>
        <w:spacing w:after="20"/>
        <w:ind w:left="454"/>
      </w:pPr>
      <w:r>
        <w:rPr>
          <w:sz w:val="22"/>
        </w:rPr>
        <w:t xml:space="preserve">☐  </w:t>
      </w:r>
      <w:r>
        <w:rPr>
          <w:sz w:val="22"/>
        </w:rPr>
        <w:t>D.  Reddit's founders populating the early site with fabricated accounts that posted real-looking content is an Expectation-boosting strategy.</w:t>
      </w:r>
    </w:p>
    <w:p>
      <w:pPr>
        <w:spacing w:after="40"/>
      </w:pPr>
      <w:r>
        <w:rPr>
          <w:sz w:val="22"/>
        </w:rPr>
      </w:r>
    </w:p>
    <w:p>
      <w:pPr>
        <w:spacing w:after="40"/>
      </w:pPr>
      <w:r>
        <w:rPr>
          <w:sz w:val="22"/>
        </w:rPr>
      </w:r>
    </w:p>
    <w:p>
      <w:pPr>
        <w:spacing w:before="160" w:after="40"/>
      </w:pPr>
      <w:r>
        <w:rPr>
          <w:b/>
          <w:sz w:val="22"/>
        </w:rPr>
        <w:t xml:space="preserve">Question 9  </w:t>
      </w:r>
      <w:r>
        <w:rPr>
          <w:i/>
          <w:color w:val="555555"/>
          <w:sz w:val="18"/>
        </w:rPr>
        <w:t>[S3: Three D&amp;C preconditions and the role of negative prices]</w:t>
      </w:r>
    </w:p>
    <w:p>
      <w:pPr>
        <w:spacing w:after="40"/>
      </w:pPr>
      <w:r>
        <w:rPr>
          <w:sz w:val="22"/>
        </w:rPr>
        <w:t>Which of the following statements are FALSE?</w:t>
      </w:r>
    </w:p>
    <w:p>
      <w:pPr>
        <w:spacing w:after="20"/>
        <w:ind w:left="454"/>
      </w:pPr>
      <w:r>
        <w:rPr>
          <w:sz w:val="22"/>
        </w:rPr>
        <w:t xml:space="preserve">☐  </w:t>
      </w:r>
      <w:r>
        <w:rPr>
          <w:sz w:val="22"/>
        </w:rPr>
        <w:t>A.  Divide-and-Conquer becomes more profitable as the outside options u_b⁰, u_s⁰ get better, because higher outside options sharpen the platform's pricing power.</w:t>
      </w:r>
    </w:p>
    <w:p>
      <w:pPr>
        <w:spacing w:after="20"/>
        <w:ind w:left="454"/>
      </w:pPr>
      <w:r>
        <w:rPr>
          <w:sz w:val="22"/>
        </w:rPr>
        <w:t xml:space="preserve">☐  </w:t>
      </w:r>
      <w:r>
        <w:rPr>
          <w:sz w:val="22"/>
        </w:rPr>
        <w:t>B.  Even with optimal D&amp;C pricing, the (0,0)-equilibrium is NOT eliminated; it remains an equilibrium and the platform only shifts the focal equilibrium with marketing.</w:t>
      </w:r>
    </w:p>
    <w:p>
      <w:pPr>
        <w:spacing w:after="20"/>
        <w:ind w:left="454"/>
      </w:pPr>
      <w:r>
        <w:rPr>
          <w:sz w:val="22"/>
        </w:rPr>
        <w:t xml:space="preserve">☐  </w:t>
      </w:r>
      <w:r>
        <w:rPr>
          <w:sz w:val="22"/>
        </w:rPr>
        <w:t>C.  Microsoft's $4bn loss on the first Xbox generation illustrates the 'deep pockets' precondition for D&amp;C — the subsidy had to look durable to game developers.</w:t>
      </w:r>
    </w:p>
    <w:p>
      <w:pPr>
        <w:spacing w:after="20"/>
        <w:ind w:left="454"/>
      </w:pPr>
      <w:r>
        <w:rPr>
          <w:sz w:val="22"/>
        </w:rPr>
        <w:t xml:space="preserve">☐  </w:t>
      </w:r>
      <w:r>
        <w:rPr>
          <w:sz w:val="22"/>
        </w:rPr>
        <w:t>D.  Negative prices on the subsidized side are typically OPTIMAL whenever the outside option exceeds the user's intrinsic platform value (r_k &lt; u_k⁰).</w:t>
      </w:r>
    </w:p>
    <w:p>
      <w:pPr>
        <w:spacing w:after="40"/>
      </w:pPr>
      <w:r>
        <w:rPr>
          <w:sz w:val="22"/>
        </w:rPr>
      </w:r>
    </w:p>
    <w:p>
      <w:pPr>
        <w:spacing w:after="40"/>
      </w:pPr>
      <w:r>
        <w:rPr>
          <w:sz w:val="22"/>
        </w:rPr>
      </w:r>
    </w:p>
    <w:p>
      <w:pPr>
        <w:spacing w:before="160" w:after="40"/>
      </w:pPr>
      <w:r>
        <w:rPr>
          <w:b/>
          <w:sz w:val="22"/>
        </w:rPr>
        <w:t xml:space="preserve">Question 10  </w:t>
      </w:r>
      <w:r>
        <w:rPr>
          <w:i/>
          <w:color w:val="555555"/>
          <w:sz w:val="18"/>
        </w:rPr>
        <w:t>[S4: Membership vs. transaction fees]</w:t>
      </w:r>
    </w:p>
    <w:p>
      <w:pPr>
        <w:spacing w:after="40"/>
      </w:pPr>
      <w:r>
        <w:rPr>
          <w:sz w:val="22"/>
        </w:rPr>
        <w:t>Which of the following platform settings favour TRANSACTION fees over MEMBERSHIP fees?</w:t>
      </w:r>
    </w:p>
    <w:p>
      <w:pPr>
        <w:spacing w:after="20"/>
        <w:ind w:left="454"/>
      </w:pPr>
      <w:r>
        <w:rPr>
          <w:sz w:val="22"/>
        </w:rPr>
        <w:t xml:space="preserve">☐  </w:t>
      </w:r>
      <w:r>
        <w:rPr>
          <w:sz w:val="22"/>
        </w:rPr>
        <w:t>A.  Transactions are easily observable and verifiable on-platform.</w:t>
      </w:r>
    </w:p>
    <w:p>
      <w:pPr>
        <w:spacing w:after="20"/>
        <w:ind w:left="454"/>
      </w:pPr>
      <w:r>
        <w:rPr>
          <w:sz w:val="22"/>
        </w:rPr>
        <w:t xml:space="preserve">☐  </w:t>
      </w:r>
      <w:r>
        <w:rPr>
          <w:sz w:val="22"/>
        </w:rPr>
        <w:t>B.  The typical user makes many small transactions per period, with high transaction-tracking overhead.</w:t>
      </w:r>
    </w:p>
    <w:p>
      <w:pPr>
        <w:spacing w:after="20"/>
        <w:ind w:left="454"/>
      </w:pPr>
      <w:r>
        <w:rPr>
          <w:sz w:val="22"/>
        </w:rPr>
        <w:t xml:space="preserve">☐  </w:t>
      </w:r>
      <w:r>
        <w:rPr>
          <w:sz w:val="22"/>
        </w:rPr>
        <w:t>C.  The platform wants to extract value in proportion to user activity (Airbnb-style).</w:t>
      </w:r>
    </w:p>
    <w:p>
      <w:pPr>
        <w:spacing w:after="20"/>
        <w:ind w:left="454"/>
      </w:pPr>
      <w:r>
        <w:rPr>
          <w:sz w:val="22"/>
        </w:rPr>
        <w:t xml:space="preserve">☐  </w:t>
      </w:r>
      <w:r>
        <w:rPr>
          <w:sz w:val="22"/>
        </w:rPr>
        <w:t>D.  The platform mainly wants to harden the chicken-and-egg problem by extracting the full surplus up-front.</w:t>
      </w:r>
    </w:p>
    <w:p>
      <w:pPr>
        <w:spacing w:after="40"/>
      </w:pPr>
      <w:r>
        <w:rPr>
          <w:sz w:val="22"/>
        </w:rPr>
      </w:r>
    </w:p>
    <w:p>
      <w:pPr>
        <w:spacing w:after="40"/>
      </w:pPr>
      <w:r>
        <w:rPr>
          <w:sz w:val="22"/>
        </w:rPr>
      </w:r>
    </w:p>
    <w:p>
      <w:pPr>
        <w:spacing w:before="160" w:after="40"/>
      </w:pPr>
      <w:r>
        <w:rPr>
          <w:b/>
          <w:sz w:val="22"/>
        </w:rPr>
        <w:t xml:space="preserve">Question 11  </w:t>
      </w:r>
      <w:r>
        <w:rPr>
          <w:i/>
          <w:color w:val="555555"/>
          <w:sz w:val="18"/>
        </w:rPr>
        <w:t>[S4: Price-structure non-neutrality (Set 4.1)]</w:t>
      </w:r>
    </w:p>
    <w:p>
      <w:pPr>
        <w:spacing w:after="40"/>
      </w:pPr>
      <w:r>
        <w:rPr>
          <w:sz w:val="22"/>
        </w:rPr>
        <w:t>Consider the two-sided monopoly with transaction fees (a_b, a_s). Mark all CORRECT statements.</w:t>
      </w:r>
    </w:p>
    <w:p>
      <w:pPr>
        <w:spacing w:after="20"/>
        <w:ind w:left="454"/>
      </w:pPr>
      <w:r>
        <w:rPr>
          <w:sz w:val="22"/>
        </w:rPr>
        <w:t xml:space="preserve">☐  </w:t>
      </w:r>
      <w:r>
        <w:rPr>
          <w:sz w:val="22"/>
        </w:rPr>
        <w:t>A.  If a_b + a_s is held constant, the platform's profit is invariant to how the burden is split between the two sides.</w:t>
      </w:r>
    </w:p>
    <w:p>
      <w:pPr>
        <w:spacing w:after="20"/>
        <w:ind w:left="454"/>
      </w:pPr>
      <w:r>
        <w:rPr>
          <w:sz w:val="22"/>
        </w:rPr>
        <w:t xml:space="preserve">☐  </w:t>
      </w:r>
      <w:r>
        <w:rPr>
          <w:sz w:val="22"/>
        </w:rPr>
        <w:t>B.  It can be optimal to set a_s &lt; 0 (subsidize sellers), because the resulting expansion of n_s raises buyer-side profit a_b · n_b · n_s by more than the loss.</w:t>
      </w:r>
    </w:p>
    <w:p>
      <w:pPr>
        <w:spacing w:after="20"/>
        <w:ind w:left="454"/>
      </w:pPr>
      <w:r>
        <w:rPr>
          <w:sz w:val="22"/>
        </w:rPr>
        <w:t xml:space="preserve">☐  </w:t>
      </w:r>
      <w:r>
        <w:rPr>
          <w:sz w:val="22"/>
        </w:rPr>
        <w:t>C.  An increase in P_s lowers BOTH n_s AND n_b in the membership-fee model, because the cross-group effect transmits through expected partner counts.</w:t>
      </w:r>
    </w:p>
    <w:p>
      <w:pPr>
        <w:spacing w:after="20"/>
        <w:ind w:left="454"/>
      </w:pPr>
      <w:r>
        <w:rPr>
          <w:sz w:val="22"/>
        </w:rPr>
        <w:t xml:space="preserve">☐  </w:t>
      </w:r>
      <w:r>
        <w:rPr>
          <w:sz w:val="22"/>
        </w:rPr>
        <w:t>D.  The platform Lerner index implies a HIGHER markup than a standard monopoly with the same demand elasticity, because cross-group effects raise willingness to pay.</w:t>
      </w:r>
    </w:p>
    <w:p>
      <w:pPr>
        <w:spacing w:after="40"/>
      </w:pPr>
      <w:r>
        <w:rPr>
          <w:sz w:val="22"/>
        </w:rPr>
      </w:r>
    </w:p>
    <w:p>
      <w:pPr>
        <w:spacing w:after="40"/>
      </w:pPr>
      <w:r>
        <w:rPr>
          <w:sz w:val="22"/>
        </w:rPr>
      </w:r>
    </w:p>
    <w:p>
      <w:pPr>
        <w:spacing w:before="160" w:after="40"/>
      </w:pPr>
      <w:r>
        <w:rPr>
          <w:b/>
          <w:sz w:val="22"/>
        </w:rPr>
        <w:t xml:space="preserve">Question 12  </w:t>
      </w:r>
      <w:r>
        <w:rPr>
          <w:i/>
          <w:color w:val="555555"/>
          <w:sz w:val="18"/>
        </w:rPr>
        <w:t>[S4: Disintermediation drivers and counter-strategies]</w:t>
      </w:r>
    </w:p>
    <w:p>
      <w:pPr>
        <w:spacing w:after="40"/>
      </w:pPr>
      <w:r>
        <w:rPr>
          <w:sz w:val="22"/>
        </w:rPr>
        <w:t>Which of the following factors INCREASE the risk that platform-mediated parties transact off-platform (leakage)?</w:t>
      </w:r>
    </w:p>
    <w:p>
      <w:pPr>
        <w:spacing w:after="20"/>
        <w:ind w:left="454"/>
      </w:pPr>
      <w:r>
        <w:rPr>
          <w:sz w:val="22"/>
        </w:rPr>
        <w:t xml:space="preserve">☐  </w:t>
      </w:r>
      <w:r>
        <w:rPr>
          <w:sz w:val="22"/>
        </w:rPr>
        <w:t>A.  High-value, one-shot transactions where a single off-platform deal is enough to amortize the search cost (e.g. a wedding photographer booking).</w:t>
      </w:r>
    </w:p>
    <w:p>
      <w:pPr>
        <w:spacing w:after="20"/>
        <w:ind w:left="454"/>
      </w:pPr>
      <w:r>
        <w:rPr>
          <w:sz w:val="22"/>
        </w:rPr>
        <w:t xml:space="preserve">☐  </w:t>
      </w:r>
      <w:r>
        <w:rPr>
          <w:sz w:val="22"/>
        </w:rPr>
        <w:t>B.  In-person rendezvous between the two parties (e.g. home repair, babysitting).</w:t>
      </w:r>
    </w:p>
    <w:p>
      <w:pPr>
        <w:spacing w:after="20"/>
        <w:ind w:left="454"/>
      </w:pPr>
      <w:r>
        <w:rPr>
          <w:sz w:val="22"/>
        </w:rPr>
        <w:t xml:space="preserve">☐  </w:t>
      </w:r>
      <w:r>
        <w:rPr>
          <w:sz w:val="22"/>
        </w:rPr>
        <w:t>C.  The platform offering proprietary post-transaction services with material payoff (escrow, host damage guarantee, dispute resolution).</w:t>
      </w:r>
    </w:p>
    <w:p>
      <w:pPr>
        <w:spacing w:after="20"/>
        <w:ind w:left="454"/>
      </w:pPr>
      <w:r>
        <w:rPr>
          <w:sz w:val="22"/>
        </w:rPr>
        <w:t xml:space="preserve">☐  </w:t>
      </w:r>
      <w:r>
        <w:rPr>
          <w:sz w:val="22"/>
        </w:rPr>
        <w:t>D.  Pre-transaction communication being required to define the deal (e.g. custom freelance briefs).</w:t>
      </w:r>
    </w:p>
    <w:p>
      <w:pPr>
        <w:spacing w:after="40"/>
      </w:pPr>
      <w:r>
        <w:rPr>
          <w:sz w:val="22"/>
        </w:rPr>
      </w:r>
    </w:p>
    <w:p>
      <w:pPr>
        <w:spacing w:after="40"/>
      </w:pPr>
      <w:r>
        <w:rPr>
          <w:sz w:val="22"/>
        </w:rPr>
      </w:r>
    </w:p>
    <w:p>
      <w:pPr>
        <w:spacing w:before="160" w:after="40"/>
      </w:pPr>
      <w:r>
        <w:rPr>
          <w:b/>
          <w:sz w:val="22"/>
        </w:rPr>
        <w:t xml:space="preserve">Question 13  </w:t>
      </w:r>
      <w:r>
        <w:rPr>
          <w:i/>
          <w:color w:val="555555"/>
          <w:sz w:val="18"/>
        </w:rPr>
        <w:t>[S5: Reputation as a substitute for repeated interaction]</w:t>
      </w:r>
    </w:p>
    <w:p>
      <w:pPr>
        <w:spacing w:after="40"/>
      </w:pPr>
      <w:r>
        <w:rPr>
          <w:sz w:val="22"/>
        </w:rPr>
        <w:t>Which of the following statements about reputation systems on platforms are CORRECT?</w:t>
      </w:r>
    </w:p>
    <w:p>
      <w:pPr>
        <w:spacing w:after="20"/>
        <w:ind w:left="454"/>
      </w:pPr>
      <w:r>
        <w:rPr>
          <w:sz w:val="22"/>
        </w:rPr>
        <w:t xml:space="preserve">☐  </w:t>
      </w:r>
      <w:r>
        <w:rPr>
          <w:sz w:val="22"/>
        </w:rPr>
        <w:t>A.  Reputation can discipline an opportunistic seller even in a strictly one-shot buyer–seller interaction, because the seller faces repeated interaction with the market.</w:t>
      </w:r>
    </w:p>
    <w:p>
      <w:pPr>
        <w:spacing w:after="20"/>
        <w:ind w:left="454"/>
      </w:pPr>
      <w:r>
        <w:rPr>
          <w:sz w:val="22"/>
        </w:rPr>
        <w:t xml:space="preserve">☐  </w:t>
      </w:r>
      <w:r>
        <w:rPr>
          <w:sz w:val="22"/>
        </w:rPr>
        <w:t>B.  Rating-and-review systems address adverse selection but not moral hazard.</w:t>
      </w:r>
    </w:p>
    <w:p>
      <w:pPr>
        <w:spacing w:after="20"/>
        <w:ind w:left="454"/>
      </w:pPr>
      <w:r>
        <w:rPr>
          <w:sz w:val="22"/>
        </w:rPr>
        <w:t xml:space="preserve">☐  </w:t>
      </w:r>
      <w:r>
        <w:rPr>
          <w:sz w:val="22"/>
        </w:rPr>
        <w:t>C.  Reciprocity in two-sided rating systems (e.g. Airbnb's original design) typically inflates the average rating, shrinking the information content of the displayed score.</w:t>
      </w:r>
    </w:p>
    <w:p>
      <w:pPr>
        <w:spacing w:after="20"/>
        <w:ind w:left="454"/>
      </w:pPr>
      <w:r>
        <w:rPr>
          <w:sz w:val="22"/>
        </w:rPr>
        <w:t xml:space="preserve">☐  </w:t>
      </w:r>
      <w:r>
        <w:rPr>
          <w:sz w:val="22"/>
        </w:rPr>
        <w:t>D.  Airbnb's blind-review design (reviews released simultaneously) is best understood as a fix for selection bias in who chooses to review.</w:t>
      </w:r>
    </w:p>
    <w:p>
      <w:pPr>
        <w:spacing w:after="40"/>
      </w:pPr>
      <w:r>
        <w:rPr>
          <w:sz w:val="22"/>
        </w:rPr>
      </w:r>
    </w:p>
    <w:p>
      <w:pPr>
        <w:spacing w:after="40"/>
      </w:pPr>
      <w:r>
        <w:rPr>
          <w:sz w:val="22"/>
        </w:rPr>
      </w:r>
    </w:p>
    <w:p>
      <w:pPr>
        <w:spacing w:before="160" w:after="40"/>
      </w:pPr>
      <w:r>
        <w:rPr>
          <w:b/>
          <w:sz w:val="22"/>
        </w:rPr>
        <w:t xml:space="preserve">Question 14  </w:t>
      </w:r>
      <w:r>
        <w:rPr>
          <w:i/>
          <w:color w:val="555555"/>
          <w:sz w:val="18"/>
        </w:rPr>
        <w:t>[S5: Yelp empirics (Luca 2016, Anderson &amp; Magruder 2012)]</w:t>
      </w:r>
    </w:p>
    <w:p>
      <w:pPr>
        <w:spacing w:after="40"/>
      </w:pPr>
      <w:r>
        <w:rPr>
          <w:sz w:val="22"/>
        </w:rPr>
        <w:t>Which of the following statements about the Yelp regression-discontinuity studies are CORRECT?</w:t>
      </w:r>
    </w:p>
    <w:p>
      <w:pPr>
        <w:spacing w:after="20"/>
        <w:ind w:left="454"/>
      </w:pPr>
      <w:r>
        <w:rPr>
          <w:sz w:val="22"/>
        </w:rPr>
        <w:t xml:space="preserve">☐  </w:t>
      </w:r>
      <w:r>
        <w:rPr>
          <w:sz w:val="22"/>
        </w:rPr>
        <w:t>A.  Identification exploits Yelp's half-star rounding rule: restaurants with average ratings just below the cutoff (e.g. 3.24) are displayed as one half-star LOWER than restaurants just above (e.g. 3.25).</w:t>
      </w:r>
    </w:p>
    <w:p>
      <w:pPr>
        <w:spacing w:after="20"/>
        <w:ind w:left="454"/>
      </w:pPr>
      <w:r>
        <w:rPr>
          <w:sz w:val="22"/>
        </w:rPr>
        <w:t xml:space="preserve">☐  </w:t>
      </w:r>
      <w:r>
        <w:rPr>
          <w:sz w:val="22"/>
        </w:rPr>
        <w:t>B.  Luca (2016) finds a +1-star effect on revenue of roughly 5–9%, concentrated in independent restaurants — not chains.</w:t>
      </w:r>
    </w:p>
    <w:p>
      <w:pPr>
        <w:spacing w:after="20"/>
        <w:ind w:left="454"/>
      </w:pPr>
      <w:r>
        <w:rPr>
          <w:sz w:val="22"/>
        </w:rPr>
        <w:t xml:space="preserve">☐  </w:t>
      </w:r>
      <w:r>
        <w:rPr>
          <w:sz w:val="22"/>
        </w:rPr>
        <w:t>C.  Anderson &amp; Magruder (2012) report effects on the probability of being sold-out that are LARGER for restaurants accredited externally (Michelin, SF Chronicle Top 100) than for restaurants without external accreditation.</w:t>
      </w:r>
    </w:p>
    <w:p>
      <w:pPr>
        <w:spacing w:after="20"/>
        <w:ind w:left="454"/>
      </w:pPr>
      <w:r>
        <w:rPr>
          <w:sz w:val="22"/>
        </w:rPr>
        <w:t xml:space="preserve">☐  </w:t>
      </w:r>
      <w:r>
        <w:rPr>
          <w:sz w:val="22"/>
        </w:rPr>
        <w:t>D.  Identification breaks down if restaurants can precisely manipulate their average rating to land just above a half-star cutoff; both studies devote substantial robustness work to this concern.</w:t>
      </w:r>
    </w:p>
    <w:p>
      <w:pPr>
        <w:spacing w:after="40"/>
      </w:pPr>
      <w:r>
        <w:rPr>
          <w:sz w:val="22"/>
        </w:rPr>
      </w:r>
    </w:p>
    <w:p>
      <w:pPr>
        <w:spacing w:after="40"/>
      </w:pPr>
      <w:r>
        <w:rPr>
          <w:sz w:val="22"/>
        </w:rPr>
      </w:r>
    </w:p>
    <w:p>
      <w:pPr>
        <w:spacing w:before="160" w:after="40"/>
      </w:pPr>
      <w:r>
        <w:rPr>
          <w:b/>
          <w:sz w:val="22"/>
        </w:rPr>
        <w:t xml:space="preserve">Question 15  </w:t>
      </w:r>
      <w:r>
        <w:rPr>
          <w:i/>
          <w:color w:val="555555"/>
          <w:sz w:val="18"/>
        </w:rPr>
        <w:t>[S5: Network effects through ratings]</w:t>
      </w:r>
    </w:p>
    <w:p>
      <w:pPr>
        <w:spacing w:after="40"/>
      </w:pPr>
      <w:r>
        <w:rPr>
          <w:sz w:val="22"/>
        </w:rPr>
        <w:t>Which of the following statements about the role of rating-and-review (R&amp;R) systems in generating network effects on platforms are FALSE?</w:t>
      </w:r>
    </w:p>
    <w:p>
      <w:pPr>
        <w:spacing w:after="20"/>
        <w:ind w:left="454"/>
      </w:pPr>
      <w:r>
        <w:rPr>
          <w:sz w:val="22"/>
        </w:rPr>
        <w:t xml:space="preserve">☐  </w:t>
      </w:r>
      <w:r>
        <w:rPr>
          <w:sz w:val="22"/>
        </w:rPr>
        <w:t>A.  More reviews push the standard error of the displayed average down at rate 1/√n, generating a positive within-group buyer-side effect.</w:t>
      </w:r>
    </w:p>
    <w:p>
      <w:pPr>
        <w:spacing w:after="20"/>
        <w:ind w:left="454"/>
      </w:pPr>
      <w:r>
        <w:rPr>
          <w:sz w:val="22"/>
        </w:rPr>
        <w:t xml:space="preserve">☐  </w:t>
      </w:r>
      <w:r>
        <w:rPr>
          <w:sz w:val="22"/>
        </w:rPr>
        <w:t>B.  R&amp;R systems generate only within-group network effects; they do not contribute to cross-group dynamics between buyers and sellers.</w:t>
      </w:r>
    </w:p>
    <w:p>
      <w:pPr>
        <w:spacing w:after="20"/>
        <w:ind w:left="454"/>
      </w:pPr>
      <w:r>
        <w:rPr>
          <w:sz w:val="22"/>
        </w:rPr>
        <w:t xml:space="preserve">☐  </w:t>
      </w:r>
      <w:r>
        <w:rPr>
          <w:sz w:val="22"/>
        </w:rPr>
        <w:t>C.  The buyer→seller cross-group channel acts via adverse selection (low-quality sellers get exposed and exit) AND via moral hazard (sellers exert more effort).</w:t>
      </w:r>
    </w:p>
    <w:p>
      <w:pPr>
        <w:spacing w:after="20"/>
        <w:ind w:left="454"/>
      </w:pPr>
      <w:r>
        <w:rPr>
          <w:sz w:val="22"/>
        </w:rPr>
        <w:t xml:space="preserve">☐  </w:t>
      </w:r>
      <w:r>
        <w:rPr>
          <w:sz w:val="22"/>
        </w:rPr>
        <w:t>D.  Resnick et al. (2006), in their eBay experiment selling identical postcards, find no statistically significant price premium for the high-reputation account.</w:t>
      </w:r>
    </w:p>
    <w:p>
      <w:pPr>
        <w:spacing w:after="40"/>
      </w:pPr>
      <w:r>
        <w:rPr>
          <w:sz w:val="22"/>
        </w:rPr>
      </w:r>
    </w:p>
    <w:p>
      <w:pPr>
        <w:spacing w:after="40"/>
      </w:pPr>
      <w:r>
        <w:rPr>
          <w:sz w:val="22"/>
        </w:rPr>
      </w:r>
    </w:p>
    <w:p>
      <w:r>
        <w:br w:type="page"/>
      </w:r>
    </w:p>
    <w:p>
      <w:pPr>
        <w:pStyle w:val="Heading1"/>
      </w:pPr>
      <w:r>
        <w:rPr>
          <w:color w:val="1F3A5F"/>
        </w:rPr>
        <w:t>Part B — Empirical interpretation (30 pts, 2 papers × 15 pts)</w:t>
      </w:r>
    </w:p>
    <w:p>
      <w:pPr>
        <w:spacing w:after="80"/>
      </w:pPr>
      <w:r>
        <w:rPr>
          <w:b w:val="0"/>
          <w:i/>
          <w:sz w:val="20"/>
        </w:rPr>
        <w:t>Each paper has three sub-tasks of 5 pts. Stay within the word/sentence limits. Coefficients and table excerpts are copied directly into the prompt — no need to look anything up.</w:t>
      </w:r>
    </w:p>
    <w:p>
      <w:pPr>
        <w:pStyle w:val="Heading2"/>
      </w:pPr>
      <w:r>
        <w:rPr>
          <w:color w:val="1F3A5F"/>
        </w:rPr>
        <w:t>Paper B1 — Anderson &amp; Magruder (2012, Economic Journal)</w:t>
      </w:r>
    </w:p>
    <w:p>
      <w:pPr>
        <w:spacing w:after="80"/>
      </w:pPr>
      <w:r>
        <w:rPr>
          <w:b w:val="0"/>
          <w:i w:val="0"/>
          <w:sz w:val="22"/>
        </w:rPr>
        <w:t>Setting. Yelp.com publishes user ratings of restaurants, displayed rounded to the nearest half-star (e.g. an average of 3.24 → "3.0 stars", an average of 3.25 → "3.5 stars"). The authors merge Yelp data with daily reservation-availability data for ~328 San Francisco restaurants and estimate the impact of crossing a half-star rounding threshold on whether the restaurant is sold-out at 6 pm, 7 pm and 8 pm (checked 36 hours in advance, Thu–Sat).</w:t>
      </w:r>
    </w:p>
    <w:p>
      <w:pPr>
        <w:spacing w:after="80"/>
      </w:pPr>
      <w:r>
        <w:rPr>
          <w:b w:val="0"/>
          <w:i w:val="0"/>
          <w:sz w:val="22"/>
        </w:rPr>
      </w:r>
    </w:p>
    <w:p>
      <w:pPr>
        <w:spacing w:after="80"/>
      </w:pPr>
      <w:r>
        <w:rPr>
          <w:b w:val="0"/>
          <w:i/>
          <w:sz w:val="20"/>
        </w:rPr>
        <w:t>Table 3 — RD estimates at pooled half-star thresholds (excerpt, 7:00 pm availability, Panel b). The coefficient on "Yelp star" is the RD estimate — i.e. the discontinuous JUMP in the dependent variable at the half-star threshold. The dependent variable is the probability that a reservation IS AVAILABLE 36 hours in advance; a negative coefficient therefore means more frequent sell-out. Standard errors are clustered at the restaurant level and reported in parentheses; * 10 %, ** 5 %, *** 1 % significance.</w:t>
      </w:r>
    </w:p>
    <w:tbl>
      <w:tblPr>
        <w:tblStyle w:val="LightList"/>
        <w:tblW w:type="auto" w:w="0"/>
        <w:jc w:val="center"/>
        <w:tblLook w:firstColumn="1" w:firstRow="1" w:lastColumn="0" w:lastRow="0" w:noHBand="0" w:noVBand="1" w:val="04A0"/>
      </w:tblPr>
      <w:tblGrid>
        <w:gridCol w:w="1624"/>
        <w:gridCol w:w="1624"/>
        <w:gridCol w:w="1624"/>
        <w:gridCol w:w="1624"/>
        <w:gridCol w:w="1624"/>
        <w:gridCol w:w="1624"/>
      </w:tblGrid>
      <w:tr>
        <w:tc>
          <w:tcPr>
            <w:tcW w:type="dxa" w:w="1624"/>
            <w:shd w:val="clear" w:color="auto" w:fill="DDDDDD"/>
          </w:tcPr>
          <w:p>
            <w:pPr>
              <w:jc w:val="center"/>
            </w:pPr>
            <w:r>
              <w:rPr>
                <w:b/>
                <w:sz w:val="20"/>
              </w:rPr>
            </w:r>
          </w:p>
        </w:tc>
        <w:tc>
          <w:tcPr>
            <w:tcW w:type="dxa" w:w="1624"/>
            <w:shd w:val="clear" w:color="auto" w:fill="DDDDDD"/>
          </w:tcPr>
          <w:p>
            <w:pPr>
              <w:jc w:val="center"/>
            </w:pPr>
            <w:r>
              <w:rPr>
                <w:b/>
                <w:sz w:val="20"/>
              </w:rPr>
              <w:t>(1) Full</w:t>
            </w:r>
          </w:p>
        </w:tc>
        <w:tc>
          <w:tcPr>
            <w:tcW w:type="dxa" w:w="1624"/>
            <w:shd w:val="clear" w:color="auto" w:fill="DDDDDD"/>
          </w:tcPr>
          <w:p>
            <w:pPr>
              <w:jc w:val="center"/>
            </w:pPr>
            <w:r>
              <w:rPr>
                <w:b/>
                <w:sz w:val="20"/>
              </w:rPr>
              <w:t>(2) 100–500 rev.</w:t>
            </w:r>
          </w:p>
        </w:tc>
        <w:tc>
          <w:tcPr>
            <w:tcW w:type="dxa" w:w="1624"/>
            <w:shd w:val="clear" w:color="auto" w:fill="DDDDDD"/>
          </w:tcPr>
          <w:p>
            <w:pPr>
              <w:jc w:val="center"/>
            </w:pPr>
            <w:r>
              <w:rPr>
                <w:b/>
                <w:sz w:val="20"/>
              </w:rPr>
              <w:t>(3) &gt;500 rev.</w:t>
            </w:r>
          </w:p>
        </w:tc>
        <w:tc>
          <w:tcPr>
            <w:tcW w:type="dxa" w:w="1624"/>
            <w:shd w:val="clear" w:color="auto" w:fill="DDDDDD"/>
          </w:tcPr>
          <w:p>
            <w:pPr>
              <w:jc w:val="center"/>
            </w:pPr>
            <w:r>
              <w:rPr>
                <w:b/>
                <w:sz w:val="20"/>
              </w:rPr>
              <w:t>(4) Not Michelin</w:t>
            </w:r>
          </w:p>
        </w:tc>
        <w:tc>
          <w:tcPr>
            <w:tcW w:type="dxa" w:w="1624"/>
            <w:shd w:val="clear" w:color="auto" w:fill="DDDDDD"/>
          </w:tcPr>
          <w:p>
            <w:pPr>
              <w:jc w:val="center"/>
            </w:pPr>
            <w:r>
              <w:rPr>
                <w:b/>
                <w:sz w:val="20"/>
              </w:rPr>
              <w:t>(5) Michelin</w:t>
            </w:r>
          </w:p>
        </w:tc>
      </w:tr>
      <w:tr>
        <w:tc>
          <w:tcPr>
            <w:tcW w:type="dxa" w:w="1624"/>
          </w:tcPr>
          <w:p>
            <w:pPr>
              <w:jc w:val="center"/>
            </w:pPr>
            <w:r>
              <w:rPr>
                <w:sz w:val="20"/>
              </w:rPr>
              <w:t>Yelp star (RD coef.)</w:t>
            </w:r>
          </w:p>
        </w:tc>
        <w:tc>
          <w:tcPr>
            <w:tcW w:type="dxa" w:w="1624"/>
          </w:tcPr>
          <w:p>
            <w:pPr>
              <w:jc w:val="center"/>
            </w:pPr>
            <w:r>
              <w:rPr>
                <w:sz w:val="20"/>
              </w:rPr>
              <w:t>−0.191**</w:t>
            </w:r>
          </w:p>
        </w:tc>
        <w:tc>
          <w:tcPr>
            <w:tcW w:type="dxa" w:w="1624"/>
          </w:tcPr>
          <w:p>
            <w:pPr>
              <w:jc w:val="center"/>
            </w:pPr>
            <w:r>
              <w:rPr>
                <w:sz w:val="20"/>
              </w:rPr>
              <w:t>−0.339***</w:t>
            </w:r>
          </w:p>
        </w:tc>
        <w:tc>
          <w:tcPr>
            <w:tcW w:type="dxa" w:w="1624"/>
          </w:tcPr>
          <w:p>
            <w:pPr>
              <w:jc w:val="center"/>
            </w:pPr>
            <w:r>
              <w:rPr>
                <w:sz w:val="20"/>
              </w:rPr>
              <w:t>−0.005</w:t>
            </w:r>
          </w:p>
        </w:tc>
        <w:tc>
          <w:tcPr>
            <w:tcW w:type="dxa" w:w="1624"/>
          </w:tcPr>
          <w:p>
            <w:pPr>
              <w:jc w:val="center"/>
            </w:pPr>
            <w:r>
              <w:rPr>
                <w:sz w:val="20"/>
              </w:rPr>
              <w:t>−0.272***</w:t>
            </w:r>
          </w:p>
        </w:tc>
        <w:tc>
          <w:tcPr>
            <w:tcW w:type="dxa" w:w="1624"/>
          </w:tcPr>
          <w:p>
            <w:pPr>
              <w:jc w:val="center"/>
            </w:pPr>
            <w:r>
              <w:rPr>
                <w:sz w:val="20"/>
              </w:rPr>
              <w:t>−0.095</w:t>
            </w:r>
          </w:p>
        </w:tc>
      </w:tr>
      <w:tr>
        <w:tc>
          <w:tcPr>
            <w:tcW w:type="dxa" w:w="1624"/>
          </w:tcPr>
          <w:p>
            <w:pPr>
              <w:jc w:val="center"/>
            </w:pPr>
            <w:r>
              <w:rPr>
                <w:sz w:val="20"/>
              </w:rPr>
            </w:r>
          </w:p>
        </w:tc>
        <w:tc>
          <w:tcPr>
            <w:tcW w:type="dxa" w:w="1624"/>
          </w:tcPr>
          <w:p>
            <w:pPr>
              <w:jc w:val="center"/>
            </w:pPr>
            <w:r>
              <w:rPr>
                <w:sz w:val="20"/>
              </w:rPr>
              <w:t>(0.092)</w:t>
            </w:r>
          </w:p>
        </w:tc>
        <w:tc>
          <w:tcPr>
            <w:tcW w:type="dxa" w:w="1624"/>
          </w:tcPr>
          <w:p>
            <w:pPr>
              <w:jc w:val="center"/>
            </w:pPr>
            <w:r>
              <w:rPr>
                <w:sz w:val="20"/>
              </w:rPr>
              <w:t>(0.102)</w:t>
            </w:r>
          </w:p>
        </w:tc>
        <w:tc>
          <w:tcPr>
            <w:tcW w:type="dxa" w:w="1624"/>
          </w:tcPr>
          <w:p>
            <w:pPr>
              <w:jc w:val="center"/>
            </w:pPr>
            <w:r>
              <w:rPr>
                <w:sz w:val="20"/>
              </w:rPr>
              <w:t>(0.145)</w:t>
            </w:r>
          </w:p>
        </w:tc>
        <w:tc>
          <w:tcPr>
            <w:tcW w:type="dxa" w:w="1624"/>
          </w:tcPr>
          <w:p>
            <w:pPr>
              <w:jc w:val="center"/>
            </w:pPr>
            <w:r>
              <w:rPr>
                <w:sz w:val="20"/>
              </w:rPr>
              <w:t>(0.094)</w:t>
            </w:r>
          </w:p>
        </w:tc>
        <w:tc>
          <w:tcPr>
            <w:tcW w:type="dxa" w:w="1624"/>
          </w:tcPr>
          <w:p>
            <w:pPr>
              <w:jc w:val="center"/>
            </w:pPr>
            <w:r>
              <w:rPr>
                <w:sz w:val="20"/>
              </w:rPr>
              <w:t>(0.106)</w:t>
            </w:r>
          </w:p>
        </w:tc>
      </w:tr>
      <w:tr>
        <w:tc>
          <w:tcPr>
            <w:tcW w:type="dxa" w:w="1624"/>
          </w:tcPr>
          <w:p>
            <w:pPr>
              <w:jc w:val="center"/>
            </w:pPr>
            <w:r>
              <w:rPr>
                <w:sz w:val="20"/>
              </w:rPr>
              <w:t>Yelp rating (running var.)</w:t>
            </w:r>
          </w:p>
        </w:tc>
        <w:tc>
          <w:tcPr>
            <w:tcW w:type="dxa" w:w="1624"/>
          </w:tcPr>
          <w:p>
            <w:pPr>
              <w:jc w:val="center"/>
            </w:pPr>
            <w:r>
              <w:rPr>
                <w:sz w:val="20"/>
              </w:rPr>
              <w:t>−0.022</w:t>
            </w:r>
          </w:p>
        </w:tc>
        <w:tc>
          <w:tcPr>
            <w:tcW w:type="dxa" w:w="1624"/>
          </w:tcPr>
          <w:p>
            <w:pPr>
              <w:jc w:val="center"/>
            </w:pPr>
            <w:r>
              <w:rPr>
                <w:sz w:val="20"/>
              </w:rPr>
              <w:t>0.690</w:t>
            </w:r>
          </w:p>
        </w:tc>
        <w:tc>
          <w:tcPr>
            <w:tcW w:type="dxa" w:w="1624"/>
          </w:tcPr>
          <w:p>
            <w:pPr>
              <w:jc w:val="center"/>
            </w:pPr>
            <w:r>
              <w:rPr>
                <w:sz w:val="20"/>
              </w:rPr>
              <w:t>−1.528**</w:t>
            </w:r>
          </w:p>
        </w:tc>
        <w:tc>
          <w:tcPr>
            <w:tcW w:type="dxa" w:w="1624"/>
          </w:tcPr>
          <w:p>
            <w:pPr>
              <w:jc w:val="center"/>
            </w:pPr>
            <w:r>
              <w:rPr>
                <w:sz w:val="20"/>
              </w:rPr>
              <w:t>0.265</w:t>
            </w:r>
          </w:p>
        </w:tc>
        <w:tc>
          <w:tcPr>
            <w:tcW w:type="dxa" w:w="1624"/>
          </w:tcPr>
          <w:p>
            <w:pPr>
              <w:jc w:val="center"/>
            </w:pPr>
            <w:r>
              <w:rPr>
                <w:sz w:val="20"/>
              </w:rPr>
              <w:t>0.283</w:t>
            </w:r>
          </w:p>
        </w:tc>
      </w:tr>
      <w:tr>
        <w:tc>
          <w:tcPr>
            <w:tcW w:type="dxa" w:w="1624"/>
          </w:tcPr>
          <w:p>
            <w:pPr>
              <w:jc w:val="center"/>
            </w:pPr>
            <w:r>
              <w:rPr>
                <w:sz w:val="20"/>
              </w:rPr>
            </w:r>
          </w:p>
        </w:tc>
        <w:tc>
          <w:tcPr>
            <w:tcW w:type="dxa" w:w="1624"/>
          </w:tcPr>
          <w:p>
            <w:pPr>
              <w:jc w:val="center"/>
            </w:pPr>
            <w:r>
              <w:rPr>
                <w:sz w:val="20"/>
              </w:rPr>
              <w:t>(0.443)</w:t>
            </w:r>
          </w:p>
        </w:tc>
        <w:tc>
          <w:tcPr>
            <w:tcW w:type="dxa" w:w="1624"/>
          </w:tcPr>
          <w:p>
            <w:pPr>
              <w:jc w:val="center"/>
            </w:pPr>
            <w:r>
              <w:rPr>
                <w:sz w:val="20"/>
              </w:rPr>
              <w:t>(0.472)</w:t>
            </w:r>
          </w:p>
        </w:tc>
        <w:tc>
          <w:tcPr>
            <w:tcW w:type="dxa" w:w="1624"/>
          </w:tcPr>
          <w:p>
            <w:pPr>
              <w:jc w:val="center"/>
            </w:pPr>
            <w:r>
              <w:rPr>
                <w:sz w:val="20"/>
              </w:rPr>
              <w:t>(0.743)</w:t>
            </w:r>
          </w:p>
        </w:tc>
        <w:tc>
          <w:tcPr>
            <w:tcW w:type="dxa" w:w="1624"/>
          </w:tcPr>
          <w:p>
            <w:pPr>
              <w:jc w:val="center"/>
            </w:pPr>
            <w:r>
              <w:rPr>
                <w:sz w:val="20"/>
              </w:rPr>
              <w:t>(0.442)</w:t>
            </w:r>
          </w:p>
        </w:tc>
        <w:tc>
          <w:tcPr>
            <w:tcW w:type="dxa" w:w="1624"/>
          </w:tcPr>
          <w:p>
            <w:pPr>
              <w:jc w:val="center"/>
            </w:pPr>
            <w:r>
              <w:rPr>
                <w:sz w:val="20"/>
              </w:rPr>
              <w:t>(0.640)</w:t>
            </w:r>
          </w:p>
        </w:tc>
      </w:tr>
      <w:tr>
        <w:tc>
          <w:tcPr>
            <w:tcW w:type="dxa" w:w="1624"/>
          </w:tcPr>
          <w:p>
            <w:pPr>
              <w:jc w:val="center"/>
            </w:pPr>
            <w:r>
              <w:rPr>
                <w:sz w:val="20"/>
              </w:rPr>
              <w:t>Observations</w:t>
            </w:r>
          </w:p>
        </w:tc>
        <w:tc>
          <w:tcPr>
            <w:tcW w:type="dxa" w:w="1624"/>
          </w:tcPr>
          <w:p>
            <w:pPr>
              <w:jc w:val="center"/>
            </w:pPr>
            <w:r>
              <w:rPr>
                <w:sz w:val="20"/>
              </w:rPr>
              <w:t>13,758</w:t>
            </w:r>
          </w:p>
        </w:tc>
        <w:tc>
          <w:tcPr>
            <w:tcW w:type="dxa" w:w="1624"/>
          </w:tcPr>
          <w:p>
            <w:pPr>
              <w:jc w:val="center"/>
            </w:pPr>
            <w:r>
              <w:rPr>
                <w:sz w:val="20"/>
              </w:rPr>
              <w:t>8,641</w:t>
            </w:r>
          </w:p>
        </w:tc>
        <w:tc>
          <w:tcPr>
            <w:tcW w:type="dxa" w:w="1624"/>
          </w:tcPr>
          <w:p>
            <w:pPr>
              <w:jc w:val="center"/>
            </w:pPr>
            <w:r>
              <w:rPr>
                <w:sz w:val="20"/>
              </w:rPr>
              <w:t>4,271</w:t>
            </w:r>
          </w:p>
        </w:tc>
        <w:tc>
          <w:tcPr>
            <w:tcW w:type="dxa" w:w="1624"/>
          </w:tcPr>
          <w:p>
            <w:pPr>
              <w:jc w:val="center"/>
            </w:pPr>
            <w:r>
              <w:rPr>
                <w:sz w:val="20"/>
              </w:rPr>
              <w:t>11,895</w:t>
            </w:r>
          </w:p>
        </w:tc>
        <w:tc>
          <w:tcPr>
            <w:tcW w:type="dxa" w:w="1624"/>
          </w:tcPr>
          <w:p>
            <w:pPr>
              <w:jc w:val="center"/>
            </w:pPr>
            <w:r>
              <w:rPr>
                <w:sz w:val="20"/>
              </w:rPr>
              <w:t>1,863</w:t>
            </w:r>
          </w:p>
        </w:tc>
      </w:tr>
      <w:tr>
        <w:tc>
          <w:tcPr>
            <w:tcW w:type="dxa" w:w="1624"/>
          </w:tcPr>
          <w:p>
            <w:pPr>
              <w:jc w:val="center"/>
            </w:pPr>
            <w:r>
              <w:rPr>
                <w:sz w:val="20"/>
              </w:rPr>
              <w:t>Mean of dep. var. (avail.)</w:t>
            </w:r>
          </w:p>
        </w:tc>
        <w:tc>
          <w:tcPr>
            <w:tcW w:type="dxa" w:w="1624"/>
          </w:tcPr>
          <w:p>
            <w:pPr>
              <w:jc w:val="center"/>
            </w:pPr>
            <w:r>
              <w:rPr>
                <w:sz w:val="20"/>
              </w:rPr>
              <w:t>0.586</w:t>
            </w:r>
          </w:p>
        </w:tc>
        <w:tc>
          <w:tcPr>
            <w:tcW w:type="dxa" w:w="1624"/>
          </w:tcPr>
          <w:p>
            <w:pPr>
              <w:jc w:val="center"/>
            </w:pPr>
            <w:r>
              <w:rPr>
                <w:sz w:val="20"/>
              </w:rPr>
              <w:t>0.664</w:t>
            </w:r>
          </w:p>
        </w:tc>
        <w:tc>
          <w:tcPr>
            <w:tcW w:type="dxa" w:w="1624"/>
          </w:tcPr>
          <w:p>
            <w:pPr>
              <w:jc w:val="center"/>
            </w:pPr>
            <w:r>
              <w:rPr>
                <w:sz w:val="20"/>
              </w:rPr>
              <w:t>0.412</w:t>
            </w:r>
          </w:p>
        </w:tc>
        <w:tc>
          <w:tcPr>
            <w:tcW w:type="dxa" w:w="1624"/>
          </w:tcPr>
          <w:p>
            <w:pPr>
              <w:jc w:val="center"/>
            </w:pPr>
            <w:r>
              <w:rPr>
                <w:sz w:val="20"/>
              </w:rPr>
              <w:t>0.656</w:t>
            </w:r>
          </w:p>
        </w:tc>
        <w:tc>
          <w:tcPr>
            <w:tcW w:type="dxa" w:w="1624"/>
          </w:tcPr>
          <w:p>
            <w:pPr>
              <w:jc w:val="center"/>
            </w:pPr>
            <w:r>
              <w:rPr>
                <w:sz w:val="20"/>
              </w:rPr>
              <w:t>0.114</w:t>
            </w:r>
          </w:p>
        </w:tc>
      </w:tr>
    </w:tbl>
    <w:p>
      <w:pPr>
        <w:spacing w:after="80"/>
      </w:pPr>
      <w:r>
        <w:rPr>
          <w:b w:val="0"/>
          <w:i/>
          <w:sz w:val="18"/>
        </w:rPr>
        <w:t>Source: Anderson &amp; Magruder (2012), Table 3, Panel (b), p. 967. Pooled across the 3.0/3.5, 3.5/4.0 and 4.0/4.5 thresholds; bandwidth 0.25. Comparable columns at 6 pm and 8 pm give RD coefficients of −0.117 (full) and −0.145* (full), respectively.</w:t>
      </w:r>
    </w:p>
    <w:p>
      <w:pPr>
        <w:spacing w:after="80"/>
      </w:pPr>
      <w:r>
        <w:rPr>
          <w:b w:val="0"/>
          <w:i w:val="0"/>
          <w:sz w:val="22"/>
        </w:rPr>
      </w:r>
    </w:p>
    <w:p>
      <w:pPr>
        <w:spacing w:after="80"/>
      </w:pPr>
      <w:r>
        <w:rPr>
          <w:b w:val="0"/>
          <w:i w:val="0"/>
          <w:sz w:val="22"/>
        </w:rPr>
        <w:t>Sub-task 1 (5 pts).  Describe the identification strategy: which discontinuity is being used, what is the counterfactual, and which assumption needs to hold for the RD coefficient on "Yelp star" to be interpreted causally? Answer in no more than three sentences.</w:t>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80"/>
      </w:pPr>
      <w:r>
        <w:rPr>
          <w:b w:val="0"/>
          <w:i w:val="0"/>
          <w:sz w:val="22"/>
        </w:rPr>
        <w:t>Sub-task 2 (5 pts).  Interpret the coefficient −0.191** in column (1) of the table above: (i) state its economic content (sign, magnitude, base rate), (ii) translate it into a percentage change relative to the column-1 mean of the dependent variable, and (iii) comment on its statistical significance. Maximum four sentences.</w:t>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80"/>
      </w:pPr>
      <w:r>
        <w:rPr>
          <w:b w:val="0"/>
          <w:i w:val="0"/>
          <w:sz w:val="22"/>
        </w:rPr>
        <w:t>Sub-task 3 (5 pts).  Why is the RD coefficient roughly twice as large in column (2) as in column (3) — i.e. on restaurants with 100–500 reviews vs. those with &gt;500 reviews — and how does the authors' interpretation of this pattern speak to the role of online ratings as a substitute for traditional information channels? Maximum three sentences.</w:t>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r>
        <w:br w:type="page"/>
      </w:r>
    </w:p>
    <w:p>
      <w:pPr>
        <w:pStyle w:val="Heading2"/>
      </w:pPr>
      <w:r>
        <w:rPr>
          <w:color w:val="1F3A5F"/>
        </w:rPr>
        <w:t>Paper B2 — Reshef (2023, American Economic Journal: Microeconomics)</w:t>
      </w:r>
    </w:p>
    <w:p>
      <w:pPr>
        <w:spacing w:after="80"/>
      </w:pPr>
      <w:r>
        <w:rPr>
          <w:b w:val="0"/>
          <w:i w:val="0"/>
          <w:sz w:val="22"/>
        </w:rPr>
        <w:t>Setting. In 2018 the Yelp Transactions Platform (YTP) partnered with Grubhub, which essentially injected new restaurants into the YTP marketplace city-by-city in a staggered way. Reshef estimates a triple-difference (DDD) of (treated city × post × low-quality incumbent) on incumbent-restaurant weekly orders and revenue. "Quality" is defined either by being above/below the city's median rating ("Median") or by dropping the inter-quartile range and comparing the bottom and top quartiles ("25&lt; &gt;75"). The dependent variable is the inverse hyperbolic sine of the outcome and should be read as a percentage change.</w:t>
      </w:r>
    </w:p>
    <w:p>
      <w:pPr>
        <w:spacing w:after="80"/>
      </w:pPr>
      <w:r>
        <w:rPr>
          <w:b w:val="0"/>
          <w:i w:val="0"/>
          <w:sz w:val="22"/>
        </w:rPr>
      </w:r>
    </w:p>
    <w:p>
      <w:pPr>
        <w:spacing w:after="80"/>
      </w:pPr>
      <w:r>
        <w:rPr>
          <w:b w:val="0"/>
          <w:i/>
          <w:sz w:val="20"/>
        </w:rPr>
        <w:t>Table 3 — Heterogeneous effects on incumbent firms (excerpt; Panel A: weekly orders). Treat × Post is the DDD coefficient on HIGH-quality incumbents (the baseline group). Treat × Post × Low is the differential effect for LOW-quality incumbents. β₁ + β₂ is the total effect on low-quality firms, with its p-value reported below. Standard errors are clustered at the city level.</w:t>
      </w:r>
    </w:p>
    <w:tbl>
      <w:tblPr>
        <w:tblStyle w:val="LightList"/>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DDDDDD"/>
          </w:tcPr>
          <w:p>
            <w:pPr>
              <w:jc w:val="center"/>
            </w:pPr>
            <w:r>
              <w:rPr>
                <w:b/>
                <w:sz w:val="20"/>
              </w:rPr>
            </w:r>
          </w:p>
        </w:tc>
        <w:tc>
          <w:tcPr>
            <w:tcW w:type="dxa" w:w="1949"/>
            <w:shd w:val="clear" w:color="auto" w:fill="DDDDDD"/>
          </w:tcPr>
          <w:p>
            <w:pPr>
              <w:jc w:val="center"/>
            </w:pPr>
            <w:r>
              <w:rPr>
                <w:b/>
                <w:sz w:val="20"/>
              </w:rPr>
              <w:t>(1)</w:t>
            </w:r>
          </w:p>
        </w:tc>
        <w:tc>
          <w:tcPr>
            <w:tcW w:type="dxa" w:w="1949"/>
            <w:shd w:val="clear" w:color="auto" w:fill="DDDDDD"/>
          </w:tcPr>
          <w:p>
            <w:pPr>
              <w:jc w:val="center"/>
            </w:pPr>
            <w:r>
              <w:rPr>
                <w:b/>
                <w:sz w:val="20"/>
              </w:rPr>
              <w:t>(2)</w:t>
            </w:r>
          </w:p>
        </w:tc>
        <w:tc>
          <w:tcPr>
            <w:tcW w:type="dxa" w:w="1949"/>
            <w:shd w:val="clear" w:color="auto" w:fill="DDDDDD"/>
          </w:tcPr>
          <w:p>
            <w:pPr>
              <w:jc w:val="center"/>
            </w:pPr>
            <w:r>
              <w:rPr>
                <w:b/>
                <w:sz w:val="20"/>
              </w:rPr>
              <w:t>(3)</w:t>
            </w:r>
          </w:p>
        </w:tc>
        <w:tc>
          <w:tcPr>
            <w:tcW w:type="dxa" w:w="1949"/>
            <w:shd w:val="clear" w:color="auto" w:fill="DDDDDD"/>
          </w:tcPr>
          <w:p>
            <w:pPr>
              <w:jc w:val="center"/>
            </w:pPr>
            <w:r>
              <w:rPr>
                <w:b/>
                <w:sz w:val="20"/>
              </w:rPr>
              <w:t>(4)</w:t>
            </w:r>
          </w:p>
        </w:tc>
      </w:tr>
      <w:tr>
        <w:tc>
          <w:tcPr>
            <w:tcW w:type="dxa" w:w="1949"/>
          </w:tcPr>
          <w:p>
            <w:pPr>
              <w:jc w:val="center"/>
            </w:pPr>
            <w:r>
              <w:rPr>
                <w:sz w:val="20"/>
              </w:rPr>
              <w:t>Treat × Post</w:t>
            </w:r>
          </w:p>
        </w:tc>
        <w:tc>
          <w:tcPr>
            <w:tcW w:type="dxa" w:w="1949"/>
          </w:tcPr>
          <w:p>
            <w:pPr>
              <w:jc w:val="center"/>
            </w:pPr>
            <w:r>
              <w:rPr>
                <w:sz w:val="20"/>
              </w:rPr>
              <w:t>0.036***</w:t>
            </w:r>
          </w:p>
        </w:tc>
        <w:tc>
          <w:tcPr>
            <w:tcW w:type="dxa" w:w="1949"/>
          </w:tcPr>
          <w:p>
            <w:pPr>
              <w:jc w:val="center"/>
            </w:pPr>
            <w:r>
              <w:rPr>
                <w:sz w:val="20"/>
              </w:rPr>
              <w:t>0.050***</w:t>
            </w:r>
          </w:p>
        </w:tc>
        <w:tc>
          <w:tcPr>
            <w:tcW w:type="dxa" w:w="1949"/>
          </w:tcPr>
          <w:p>
            <w:pPr>
              <w:jc w:val="center"/>
            </w:pPr>
            <w:r>
              <w:rPr>
                <w:sz w:val="20"/>
              </w:rPr>
              <w:t>0.042***</w:t>
            </w:r>
          </w:p>
        </w:tc>
        <w:tc>
          <w:tcPr>
            <w:tcW w:type="dxa" w:w="1949"/>
          </w:tcPr>
          <w:p>
            <w:pPr>
              <w:jc w:val="center"/>
            </w:pPr>
            <w:r>
              <w:rPr>
                <w:sz w:val="20"/>
              </w:rPr>
              <w:t>0.065***</w:t>
            </w:r>
          </w:p>
        </w:tc>
      </w:tr>
      <w:tr>
        <w:tc>
          <w:tcPr>
            <w:tcW w:type="dxa" w:w="1949"/>
          </w:tcPr>
          <w:p>
            <w:pPr>
              <w:jc w:val="center"/>
            </w:pPr>
            <w:r>
              <w:rPr>
                <w:sz w:val="20"/>
              </w:rPr>
            </w:r>
          </w:p>
        </w:tc>
        <w:tc>
          <w:tcPr>
            <w:tcW w:type="dxa" w:w="1949"/>
          </w:tcPr>
          <w:p>
            <w:pPr>
              <w:jc w:val="center"/>
            </w:pPr>
            <w:r>
              <w:rPr>
                <w:sz w:val="20"/>
              </w:rPr>
              <w:t>(0.007)</w:t>
            </w:r>
          </w:p>
        </w:tc>
        <w:tc>
          <w:tcPr>
            <w:tcW w:type="dxa" w:w="1949"/>
          </w:tcPr>
          <w:p>
            <w:pPr>
              <w:jc w:val="center"/>
            </w:pPr>
            <w:r>
              <w:rPr>
                <w:sz w:val="20"/>
              </w:rPr>
              <w:t>(0.010)</w:t>
            </w:r>
          </w:p>
        </w:tc>
        <w:tc>
          <w:tcPr>
            <w:tcW w:type="dxa" w:w="1949"/>
          </w:tcPr>
          <w:p>
            <w:pPr>
              <w:jc w:val="center"/>
            </w:pPr>
            <w:r>
              <w:rPr>
                <w:sz w:val="20"/>
              </w:rPr>
              <w:t>(0.009)</w:t>
            </w:r>
          </w:p>
        </w:tc>
        <w:tc>
          <w:tcPr>
            <w:tcW w:type="dxa" w:w="1949"/>
          </w:tcPr>
          <w:p>
            <w:pPr>
              <w:jc w:val="center"/>
            </w:pPr>
            <w:r>
              <w:rPr>
                <w:sz w:val="20"/>
              </w:rPr>
              <w:t>(0.012)</w:t>
            </w:r>
          </w:p>
        </w:tc>
      </w:tr>
      <w:tr>
        <w:tc>
          <w:tcPr>
            <w:tcW w:type="dxa" w:w="1949"/>
          </w:tcPr>
          <w:p>
            <w:pPr>
              <w:jc w:val="center"/>
            </w:pPr>
            <w:r>
              <w:rPr>
                <w:sz w:val="20"/>
              </w:rPr>
              <w:t>Treat × Post × Low</w:t>
            </w:r>
          </w:p>
        </w:tc>
        <w:tc>
          <w:tcPr>
            <w:tcW w:type="dxa" w:w="1949"/>
          </w:tcPr>
          <w:p>
            <w:pPr>
              <w:jc w:val="center"/>
            </w:pPr>
            <w:r>
              <w:rPr>
                <w:sz w:val="20"/>
              </w:rPr>
              <w:t>−0.062***</w:t>
            </w:r>
          </w:p>
        </w:tc>
        <w:tc>
          <w:tcPr>
            <w:tcW w:type="dxa" w:w="1949"/>
          </w:tcPr>
          <w:p>
            <w:pPr>
              <w:jc w:val="center"/>
            </w:pPr>
            <w:r>
              <w:rPr>
                <w:sz w:val="20"/>
              </w:rPr>
              <w:t>−0.098***</w:t>
            </w:r>
          </w:p>
        </w:tc>
        <w:tc>
          <w:tcPr>
            <w:tcW w:type="dxa" w:w="1949"/>
          </w:tcPr>
          <w:p>
            <w:pPr>
              <w:jc w:val="center"/>
            </w:pPr>
            <w:r>
              <w:rPr>
                <w:sz w:val="20"/>
              </w:rPr>
              <w:t>−0.084***</w:t>
            </w:r>
          </w:p>
        </w:tc>
        <w:tc>
          <w:tcPr>
            <w:tcW w:type="dxa" w:w="1949"/>
          </w:tcPr>
          <w:p>
            <w:pPr>
              <w:jc w:val="center"/>
            </w:pPr>
            <w:r>
              <w:rPr>
                <w:sz w:val="20"/>
              </w:rPr>
              <w:t>−0.119***</w:t>
            </w:r>
          </w:p>
        </w:tc>
      </w:tr>
      <w:tr>
        <w:tc>
          <w:tcPr>
            <w:tcW w:type="dxa" w:w="1949"/>
          </w:tcPr>
          <w:p>
            <w:pPr>
              <w:jc w:val="center"/>
            </w:pPr>
            <w:r>
              <w:rPr>
                <w:sz w:val="20"/>
              </w:rPr>
            </w:r>
          </w:p>
        </w:tc>
        <w:tc>
          <w:tcPr>
            <w:tcW w:type="dxa" w:w="1949"/>
          </w:tcPr>
          <w:p>
            <w:pPr>
              <w:jc w:val="center"/>
            </w:pPr>
            <w:r>
              <w:rPr>
                <w:sz w:val="20"/>
              </w:rPr>
              <w:t>(0.010)</w:t>
            </w:r>
          </w:p>
        </w:tc>
        <w:tc>
          <w:tcPr>
            <w:tcW w:type="dxa" w:w="1949"/>
          </w:tcPr>
          <w:p>
            <w:pPr>
              <w:jc w:val="center"/>
            </w:pPr>
            <w:r>
              <w:rPr>
                <w:sz w:val="20"/>
              </w:rPr>
              <w:t>(0.013)</w:t>
            </w:r>
          </w:p>
        </w:tc>
        <w:tc>
          <w:tcPr>
            <w:tcW w:type="dxa" w:w="1949"/>
          </w:tcPr>
          <w:p>
            <w:pPr>
              <w:jc w:val="center"/>
            </w:pPr>
            <w:r>
              <w:rPr>
                <w:sz w:val="20"/>
              </w:rPr>
              <w:t>(0.012)</w:t>
            </w:r>
          </w:p>
        </w:tc>
        <w:tc>
          <w:tcPr>
            <w:tcW w:type="dxa" w:w="1949"/>
          </w:tcPr>
          <w:p>
            <w:pPr>
              <w:jc w:val="center"/>
            </w:pPr>
            <w:r>
              <w:rPr>
                <w:sz w:val="20"/>
              </w:rPr>
              <w:t>(0.015)</w:t>
            </w:r>
          </w:p>
        </w:tc>
      </w:tr>
      <w:tr>
        <w:tc>
          <w:tcPr>
            <w:tcW w:type="dxa" w:w="1949"/>
          </w:tcPr>
          <w:p>
            <w:pPr>
              <w:jc w:val="center"/>
            </w:pPr>
            <w:r>
              <w:rPr>
                <w:sz w:val="20"/>
              </w:rPr>
              <w:t>β₁ + β₂</w:t>
            </w:r>
          </w:p>
        </w:tc>
        <w:tc>
          <w:tcPr>
            <w:tcW w:type="dxa" w:w="1949"/>
          </w:tcPr>
          <w:p>
            <w:pPr>
              <w:jc w:val="center"/>
            </w:pPr>
            <w:r>
              <w:rPr>
                <w:sz w:val="20"/>
              </w:rPr>
              <w:t>−0.026</w:t>
            </w:r>
          </w:p>
        </w:tc>
        <w:tc>
          <w:tcPr>
            <w:tcW w:type="dxa" w:w="1949"/>
          </w:tcPr>
          <w:p>
            <w:pPr>
              <w:jc w:val="center"/>
            </w:pPr>
            <w:r>
              <w:rPr>
                <w:sz w:val="20"/>
              </w:rPr>
              <w:t>−0.048</w:t>
            </w:r>
          </w:p>
        </w:tc>
        <w:tc>
          <w:tcPr>
            <w:tcW w:type="dxa" w:w="1949"/>
          </w:tcPr>
          <w:p>
            <w:pPr>
              <w:jc w:val="center"/>
            </w:pPr>
            <w:r>
              <w:rPr>
                <w:sz w:val="20"/>
              </w:rPr>
              <w:t>−0.042</w:t>
            </w:r>
          </w:p>
        </w:tc>
        <w:tc>
          <w:tcPr>
            <w:tcW w:type="dxa" w:w="1949"/>
          </w:tcPr>
          <w:p>
            <w:pPr>
              <w:jc w:val="center"/>
            </w:pPr>
            <w:r>
              <w:rPr>
                <w:sz w:val="20"/>
              </w:rPr>
              <w:t>−0.054</w:t>
            </w:r>
          </w:p>
        </w:tc>
      </w:tr>
      <w:tr>
        <w:tc>
          <w:tcPr>
            <w:tcW w:type="dxa" w:w="1949"/>
          </w:tcPr>
          <w:p>
            <w:pPr>
              <w:jc w:val="center"/>
            </w:pPr>
            <w:r>
              <w:rPr>
                <w:sz w:val="20"/>
              </w:rPr>
              <w:t>p-value (β₁+β₂)</w:t>
            </w:r>
          </w:p>
        </w:tc>
        <w:tc>
          <w:tcPr>
            <w:tcW w:type="dxa" w:w="1949"/>
          </w:tcPr>
          <w:p>
            <w:pPr>
              <w:jc w:val="center"/>
            </w:pPr>
            <w:r>
              <w:rPr>
                <w:sz w:val="20"/>
              </w:rPr>
              <w:t>0.001</w:t>
            </w:r>
          </w:p>
        </w:tc>
        <w:tc>
          <w:tcPr>
            <w:tcW w:type="dxa" w:w="1949"/>
          </w:tcPr>
          <w:p>
            <w:pPr>
              <w:jc w:val="center"/>
            </w:pPr>
            <w:r>
              <w:rPr>
                <w:sz w:val="20"/>
              </w:rPr>
              <w:t>0.000</w:t>
            </w:r>
          </w:p>
        </w:tc>
        <w:tc>
          <w:tcPr>
            <w:tcW w:type="dxa" w:w="1949"/>
          </w:tcPr>
          <w:p>
            <w:pPr>
              <w:jc w:val="center"/>
            </w:pPr>
            <w:r>
              <w:rPr>
                <w:sz w:val="20"/>
              </w:rPr>
              <w:t>0.000</w:t>
            </w:r>
          </w:p>
        </w:tc>
        <w:tc>
          <w:tcPr>
            <w:tcW w:type="dxa" w:w="1949"/>
          </w:tcPr>
          <w:p>
            <w:pPr>
              <w:jc w:val="center"/>
            </w:pPr>
            <w:r>
              <w:rPr>
                <w:sz w:val="20"/>
              </w:rPr>
              <w:t>0.000</w:t>
            </w:r>
          </w:p>
        </w:tc>
      </w:tr>
      <w:tr>
        <w:tc>
          <w:tcPr>
            <w:tcW w:type="dxa" w:w="1949"/>
          </w:tcPr>
          <w:p>
            <w:pPr>
              <w:jc w:val="center"/>
            </w:pPr>
            <w:r>
              <w:rPr>
                <w:sz w:val="20"/>
              </w:rPr>
              <w:t>Treatment definition</w:t>
            </w:r>
          </w:p>
        </w:tc>
        <w:tc>
          <w:tcPr>
            <w:tcW w:type="dxa" w:w="1949"/>
          </w:tcPr>
          <w:p>
            <w:pPr>
              <w:jc w:val="center"/>
            </w:pPr>
            <w:r>
              <w:rPr>
                <w:sz w:val="20"/>
              </w:rPr>
              <w:t>Median</w:t>
            </w:r>
          </w:p>
        </w:tc>
        <w:tc>
          <w:tcPr>
            <w:tcW w:type="dxa" w:w="1949"/>
          </w:tcPr>
          <w:p>
            <w:pPr>
              <w:jc w:val="center"/>
            </w:pPr>
            <w:r>
              <w:rPr>
                <w:sz w:val="20"/>
              </w:rPr>
              <w:t>Median</w:t>
            </w:r>
          </w:p>
        </w:tc>
        <w:tc>
          <w:tcPr>
            <w:tcW w:type="dxa" w:w="1949"/>
          </w:tcPr>
          <w:p>
            <w:pPr>
              <w:jc w:val="center"/>
            </w:pPr>
            <w:r>
              <w:rPr>
                <w:sz w:val="20"/>
              </w:rPr>
              <w:t>25&lt; &gt;75</w:t>
            </w:r>
          </w:p>
        </w:tc>
        <w:tc>
          <w:tcPr>
            <w:tcW w:type="dxa" w:w="1949"/>
          </w:tcPr>
          <w:p>
            <w:pPr>
              <w:jc w:val="center"/>
            </w:pPr>
            <w:r>
              <w:rPr>
                <w:sz w:val="20"/>
              </w:rPr>
              <w:t>25&lt; &gt;75</w:t>
            </w:r>
          </w:p>
        </w:tc>
      </w:tr>
      <w:tr>
        <w:tc>
          <w:tcPr>
            <w:tcW w:type="dxa" w:w="1949"/>
          </w:tcPr>
          <w:p>
            <w:pPr>
              <w:jc w:val="center"/>
            </w:pPr>
            <w:r>
              <w:rPr>
                <w:sz w:val="20"/>
              </w:rPr>
              <w:t>Quality definition</w:t>
            </w:r>
          </w:p>
        </w:tc>
        <w:tc>
          <w:tcPr>
            <w:tcW w:type="dxa" w:w="1949"/>
          </w:tcPr>
          <w:p>
            <w:pPr>
              <w:jc w:val="center"/>
            </w:pPr>
            <w:r>
              <w:rPr>
                <w:sz w:val="20"/>
              </w:rPr>
              <w:t>Median</w:t>
            </w:r>
          </w:p>
        </w:tc>
        <w:tc>
          <w:tcPr>
            <w:tcW w:type="dxa" w:w="1949"/>
          </w:tcPr>
          <w:p>
            <w:pPr>
              <w:jc w:val="center"/>
            </w:pPr>
            <w:r>
              <w:rPr>
                <w:sz w:val="20"/>
              </w:rPr>
              <w:t>25&lt; &gt;75</w:t>
            </w:r>
          </w:p>
        </w:tc>
        <w:tc>
          <w:tcPr>
            <w:tcW w:type="dxa" w:w="1949"/>
          </w:tcPr>
          <w:p>
            <w:pPr>
              <w:jc w:val="center"/>
            </w:pPr>
            <w:r>
              <w:rPr>
                <w:sz w:val="20"/>
              </w:rPr>
              <w:t>Median</w:t>
            </w:r>
          </w:p>
        </w:tc>
        <w:tc>
          <w:tcPr>
            <w:tcW w:type="dxa" w:w="1949"/>
          </w:tcPr>
          <w:p>
            <w:pPr>
              <w:jc w:val="center"/>
            </w:pPr>
            <w:r>
              <w:rPr>
                <w:sz w:val="20"/>
              </w:rPr>
              <w:t>25&lt; &gt;75</w:t>
            </w:r>
          </w:p>
        </w:tc>
      </w:tr>
      <w:tr>
        <w:tc>
          <w:tcPr>
            <w:tcW w:type="dxa" w:w="1949"/>
          </w:tcPr>
          <w:p>
            <w:pPr>
              <w:jc w:val="center"/>
            </w:pPr>
            <w:r>
              <w:rPr>
                <w:sz w:val="20"/>
              </w:rPr>
              <w:t>Observations</w:t>
            </w:r>
          </w:p>
        </w:tc>
        <w:tc>
          <w:tcPr>
            <w:tcW w:type="dxa" w:w="1949"/>
          </w:tcPr>
          <w:p>
            <w:pPr>
              <w:jc w:val="center"/>
            </w:pPr>
            <w:r>
              <w:rPr>
                <w:sz w:val="20"/>
              </w:rPr>
              <w:t>4,409,516</w:t>
            </w:r>
          </w:p>
        </w:tc>
        <w:tc>
          <w:tcPr>
            <w:tcW w:type="dxa" w:w="1949"/>
          </w:tcPr>
          <w:p>
            <w:pPr>
              <w:jc w:val="center"/>
            </w:pPr>
            <w:r>
              <w:rPr>
                <w:sz w:val="20"/>
              </w:rPr>
              <w:t>2,173,244</w:t>
            </w:r>
          </w:p>
        </w:tc>
        <w:tc>
          <w:tcPr>
            <w:tcW w:type="dxa" w:w="1949"/>
          </w:tcPr>
          <w:p>
            <w:pPr>
              <w:jc w:val="center"/>
            </w:pPr>
            <w:r>
              <w:rPr>
                <w:sz w:val="20"/>
              </w:rPr>
              <w:t>2,623,347</w:t>
            </w:r>
          </w:p>
        </w:tc>
        <w:tc>
          <w:tcPr>
            <w:tcW w:type="dxa" w:w="1949"/>
          </w:tcPr>
          <w:p>
            <w:pPr>
              <w:jc w:val="center"/>
            </w:pPr>
            <w:r>
              <w:rPr>
                <w:sz w:val="20"/>
              </w:rPr>
              <w:t>1,321,619</w:t>
            </w:r>
          </w:p>
        </w:tc>
      </w:tr>
    </w:tbl>
    <w:p>
      <w:pPr>
        <w:spacing w:after="80"/>
      </w:pPr>
      <w:r>
        <w:rPr>
          <w:b w:val="0"/>
          <w:i/>
          <w:sz w:val="18"/>
        </w:rPr>
        <w:t>Source: Reshef (2023), Table 3, Panel A, p. 197. The IHS transformation is used so coefficients should be interpreted as percent changes on a 0–1 scale (so 0.036 ≈ +3.6 %).</w:t>
      </w:r>
    </w:p>
    <w:p>
      <w:pPr>
        <w:spacing w:after="80"/>
      </w:pPr>
      <w:r>
        <w:rPr>
          <w:b w:val="0"/>
          <w:i w:val="0"/>
          <w:sz w:val="22"/>
        </w:rPr>
      </w:r>
    </w:p>
    <w:p>
      <w:pPr>
        <w:spacing w:after="80"/>
      </w:pPr>
      <w:r>
        <w:rPr>
          <w:b w:val="0"/>
          <w:i w:val="0"/>
          <w:sz w:val="22"/>
        </w:rPr>
        <w:t>Sub-task 1 (5 pts).  Describe the identification strategy: why a triple-difference and not a plain DiD, what each of the three differences contrasts, and which assumption needs to hold for the coefficient on (Treat × Post × Low) to capture a causal differential effect. Maximum three sentences.</w:t>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80"/>
      </w:pPr>
      <w:r>
        <w:rPr>
          <w:b w:val="0"/>
          <w:i w:val="0"/>
          <w:sz w:val="22"/>
        </w:rPr>
        <w:t>Sub-task 2 (5 pts).  Using column (1) of the table above, state the EFFECT of entry on (a) high-quality incumbents' weekly orders and (b) low-quality incumbents' weekly orders. Be explicit about (i) sign, (ii) percentage magnitude, (iii) which coefficient(s) you sum, and (iv) which of the two effects is statistically significant. Maximum four sentences.</w:t>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80"/>
      </w:pPr>
      <w:r>
        <w:rPr>
          <w:b w:val="0"/>
          <w:i w:val="0"/>
          <w:sz w:val="22"/>
        </w:rPr>
        <w:t>Sub-task 3 (5 pts).  Reshef's narrative is that entry into a two-sided platform triggers two opposing forces on existing sellers — a business-stealing channel and an indirect network-effect channel via new users that the partnership attracts. Explain WHY this story produces the observed POLARIZATION pattern (high-quality up, low-quality down), and connect it explicitly to the indirect cross-group network effect introduced in Section 1. Maximum three sentences.</w:t>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r>
        <w:br w:type="page"/>
      </w:r>
    </w:p>
    <w:p>
      <w:pPr>
        <w:pStyle w:val="Heading1"/>
      </w:pPr>
      <w:r>
        <w:rPr>
          <w:color w:val="1F3A5F"/>
        </w:rPr>
        <w:t>Part C — Model task (30 pts, 5 sub-tasks × 6 pts)</w:t>
      </w:r>
    </w:p>
    <w:p>
      <w:pPr>
        <w:spacing w:after="80"/>
      </w:pPr>
      <w:r>
        <w:rPr>
          <w:b w:val="0"/>
          <w:i w:val="0"/>
          <w:sz w:val="22"/>
        </w:rPr>
        <w:t>Setting. Two platforms compete for a unit mass of consumers uniformly located on the Hotelling interval [0, 1]. Platform 1 sits at 0; platform 2 sits at 1. Linear transport cost is t &gt; 0. Consumers are MYOPIC and form fulfilled-expectations beliefs about each platform's user mass.</w:t>
        <w:br/>
        <w:br/>
        <w:t>The TWIST relative to the standard symmetric Hotelling-with-NE model from Set 2:</w:t>
        <w:br/>
        <w:t xml:space="preserve">  •  Only platform 1 carries within-group network effects with intensity β &gt; 0 (think: a new social-feature-rich platform).</w:t>
        <w:br/>
        <w:t xml:space="preserve">  •  Platform 2 has no within-group network effects (β₂ = 0) — it is a 'legacy' product that users value purely for its stand-alone features.</w:t>
        <w:br/>
        <w:t xml:space="preserve">  •  There is NO vertical quality wedge (q = 0). Both platforms have identical stand-alone value V (large enough that every consumer joins one platform) and zero marginal cost.</w:t>
        <w:br/>
        <w:br/>
        <w:t>Utilities for a consumer located at x ∈ [0, 1], with n₁ᵉ, n₂ᵉ denoting expected user masses and p₁, p₂ denoting prices:</w:t>
        <w:br/>
        <w:t xml:space="preserve">    U₁(x) = V − t·x + β · n₁ᵉ − p₁     (join platform 1)</w:t>
        <w:br/>
        <w:t xml:space="preserve">    U₂(x) = V − t·(1 − x) − p₂          (join platform 2)</w:t>
        <w:br/>
        <w:br/>
        <w:t>All consumers join one platform, so n₁ + n₂ = 1 in equilibrium.</w:t>
      </w:r>
    </w:p>
    <w:p>
      <w:pPr>
        <w:spacing w:after="80"/>
      </w:pPr>
      <w:r>
        <w:rPr>
          <w:b w:val="0"/>
          <w:i w:val="0"/>
          <w:sz w:val="22"/>
        </w:rPr>
      </w:r>
    </w:p>
    <w:p>
      <w:pPr>
        <w:spacing w:after="80"/>
      </w:pPr>
      <w:r>
        <w:rPr>
          <w:b w:val="0"/>
          <w:i w:val="0"/>
          <w:sz w:val="22"/>
        </w:rPr>
        <w:t>Sub-task 1 (6 pts).  Derive the indifferent consumer x̂ as a function of p₁, p₂, n₁ᵉ, n₂ᵉ, t and β. State each platform's expected demand (n₁, n₂) BEFORE imposing fulfilled expectations.</w:t>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80"/>
      </w:pPr>
      <w:r>
        <w:rPr>
          <w:b w:val="0"/>
          <w:i w:val="0"/>
          <w:sz w:val="22"/>
        </w:rPr>
        <w:t>Sub-task 2 (6 pts).  Impose the fulfilled-expectations condition n₁ᵉ = n₁, n₂ᵉ = n₂. Write the interior FEE demand n₁(p₁, p₂) explicitly. State the condition on (β, t) under which (i) this interior demand is well-defined and (ii) the comparative static ∂n₁/∂p₁ &lt; 0 holds. What goes wrong economically when this condition is violated?</w:t>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80"/>
      </w:pPr>
      <w:r>
        <w:rPr>
          <w:b w:val="0"/>
          <w:i w:val="0"/>
          <w:sz w:val="22"/>
        </w:rPr>
        <w:t>Sub-task 3 (6 pts).  Take β &lt; 2t (the case in which the previous condition holds). Set up each platform's profit, derive the first-order conditions for the simultaneous price-setting game, and solve for the equilibrium prices p₁* and p₂*. Then compute the equilibrium market shares n₁* and n₂*.</w:t>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80"/>
      </w:pPr>
      <w:r>
        <w:rPr>
          <w:b w:val="0"/>
          <w:i w:val="0"/>
          <w:sz w:val="22"/>
        </w:rPr>
        <w:t>Sub-task 4 (6 pts).  Comparative statics &amp; boundary case. (a) Sign ∂p₁*/∂β and ∂p₂*/∂β and explain in one line why platform 2 — which has NO network effect of its own — nevertheless reacts to changes in β. (b) What happens to n₁*, p₁* and p₂* as β → 2t from below? Interpret the limit in terms of 'competition for the market' vs. 'competition in the market'.</w:t>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80"/>
      </w:pPr>
      <w:r>
        <w:rPr>
          <w:b w:val="0"/>
          <w:i w:val="0"/>
          <w:sz w:val="22"/>
        </w:rPr>
        <w:t>Sub-task 5 (6 pts).  Verbal bridge to platform pricing &amp; disintermediation. Now suppose platform 1 evolves into a two-sided platform: alongside the consumers above ("users"), a second side of "creators" joins, and the cross-group effects are γ_user-from-creator &gt; 0 (users like more creators) and γ_creator-from-user &gt; 0 (creators like more users). The platform charges separate membership fees P_user and P_creator. (i) Using the platform-Lerner logic with cross-group adjustment, explain in one or two sentences which side will tend to pay LESS in optimum and why. (ii) Name TWO concrete features platform 1 could add to reduce DISINTERMEDIATION between users and creators, and briefly justify each (one sentence per feature).</w:t>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r>
        <w:br w:type="page"/>
      </w:r>
    </w:p>
    <w:p>
      <w:pPr>
        <w:pStyle w:val="Heading2"/>
      </w:pPr>
      <w:r>
        <w:rPr>
          <w:color w:val="1F3A5F"/>
        </w:rPr>
        <w:t>—— End of question paper. Solutions follow. ——</w:t>
      </w:r>
    </w:p>
    <w:p>
      <w:pPr>
        <w:spacing w:after="80"/>
      </w:pPr>
      <w:r>
        <w:rPr>
          <w:b w:val="0"/>
          <w:i/>
          <w:sz w:val="22"/>
        </w:rPr>
        <w:t>Stop here, time yourself for the full paper, then continue.</w:t>
      </w:r>
    </w:p>
    <w:p>
      <w:r>
        <w:br w:type="page"/>
      </w:r>
    </w:p>
    <w:p>
      <w:pPr>
        <w:pStyle w:val="Heading1"/>
      </w:pPr>
      <w:r>
        <w:rPr>
          <w:color w:val="1F3A5F"/>
        </w:rPr>
        <w:t>Solutions and rubric</w:t>
      </w:r>
    </w:p>
    <w:p>
      <w:pPr>
        <w:spacing w:after="80"/>
      </w:pPr>
      <w:r>
        <w:rPr>
          <w:b w:val="0"/>
          <w:i/>
          <w:sz w:val="20"/>
        </w:rPr>
        <w:t>Format: per MC item, the set of correct options is given, followed by a one-line justification for the correct option(s) AND a one-line debrief on the most plausible distractor. For free-text answers in Part B, a model answer at the word limit is given plus the key terms required for full marks. Part C gives the full derivation.</w:t>
      </w:r>
    </w:p>
    <w:p>
      <w:pPr>
        <w:pStyle w:val="Heading2"/>
      </w:pPr>
      <w:r>
        <w:rPr>
          <w:color w:val="1F3A5F"/>
        </w:rPr>
        <w:t>Part A — MC keys</w:t>
      </w:r>
    </w:p>
    <w:p>
      <w:pPr>
        <w:spacing w:before="80" w:after="40"/>
      </w:pPr>
      <w:r>
        <w:rPr>
          <w:b/>
          <w:sz w:val="22"/>
        </w:rPr>
        <w:t>Q1.  Correct: B, C</w:t>
      </w:r>
    </w:p>
    <w:p>
      <w:pPr>
        <w:spacing w:after="40"/>
        <w:ind w:left="283"/>
      </w:pPr>
      <w:r>
        <w:rPr>
          <w:sz w:val="20"/>
        </w:rPr>
        <w:t>Why right: B and C: Wikipedia's Foundation/moderators are an entity actively managing the writer–reader network effect — value capture (non-profit) is irrelevant for the definition. The supermarket fails the NE-management test even though it does bring buyers and sellers together.</w:t>
      </w:r>
    </w:p>
    <w:p>
      <w:pPr>
        <w:spacing w:after="40"/>
        <w:ind w:left="283"/>
      </w:pPr>
      <w:r>
        <w:rPr>
          <w:i/>
          <w:sz w:val="20"/>
        </w:rPr>
        <w:t>Most plausible trap: A is the classic Esperanto distractor (NE exist but nobody actively manages them); D wrongly excludes non-transaction platforms like Twitter.</w:t>
      </w:r>
    </w:p>
    <w:p>
      <w:pPr>
        <w:spacing w:before="80" w:after="40"/>
      </w:pPr>
      <w:r>
        <w:rPr>
          <w:b/>
          <w:sz w:val="22"/>
        </w:rPr>
        <w:t>Q2.  Correct: C, D</w:t>
      </w:r>
    </w:p>
    <w:p>
      <w:pPr>
        <w:spacing w:after="40"/>
        <w:ind w:left="283"/>
      </w:pPr>
      <w:r>
        <w:rPr>
          <w:sz w:val="20"/>
        </w:rPr>
        <w:t>Why right: C: an ad-financed content platform has user→advertiser (+) and advertiser→user (−), the Attraction/Repulsion Pendulum. D: cross-group spirals generate indirect within-group effects on each side (the canonical example: more eBay buyers → more sellers → better selection for buyers).</w:t>
      </w:r>
    </w:p>
    <w:p>
      <w:pPr>
        <w:spacing w:after="40"/>
        <w:ind w:left="283"/>
      </w:pPr>
      <w:r>
        <w:rPr>
          <w:i/>
          <w:sz w:val="20"/>
        </w:rPr>
        <w:t>Most plausible trap: A confuses sides — driver-on-driver is within-group (negative), not cross-group. B is the standard error: indirect effects do not require two sides — a single-sided platform with data network effects also shows them.</w:t>
      </w:r>
    </w:p>
    <w:p>
      <w:pPr>
        <w:spacing w:before="80" w:after="40"/>
      </w:pPr>
      <w:r>
        <w:rPr>
          <w:b/>
          <w:sz w:val="22"/>
        </w:rPr>
        <w:t>Q3.  Correct: A, B, C</w:t>
      </w:r>
    </w:p>
    <w:p>
      <w:pPr>
        <w:spacing w:after="40"/>
        <w:ind w:left="283"/>
      </w:pPr>
      <w:r>
        <w:rPr>
          <w:sz w:val="20"/>
        </w:rPr>
        <w:t xml:space="preserve">Why right: Netflix's recommender drives a WGNE; Marketplace and Facebook both fit 'monetize via others'. </w:t>
      </w:r>
    </w:p>
    <w:p>
      <w:pPr>
        <w:spacing w:after="40"/>
        <w:ind w:left="283"/>
      </w:pPr>
      <w:r>
        <w:rPr>
          <w:i/>
          <w:sz w:val="20"/>
        </w:rPr>
        <w:t>Most plausible trap: D is FALSE: a stand-alone newspaper is in the 2D-table — it just happens to be in the 'not a platform' cell. Saying it cannot be classified mis-reads the typology.</w:t>
      </w:r>
    </w:p>
    <w:p>
      <w:pPr>
        <w:spacing w:before="80" w:after="40"/>
      </w:pPr>
      <w:r>
        <w:rPr>
          <w:b/>
          <w:sz w:val="22"/>
        </w:rPr>
        <w:t>Q4.  Correct: A, B</w:t>
      </w:r>
    </w:p>
    <w:p>
      <w:pPr>
        <w:spacing w:after="40"/>
        <w:ind w:left="283"/>
      </w:pPr>
      <w:r>
        <w:rPr>
          <w:sz w:val="20"/>
        </w:rPr>
        <w:t>Why right: A: with V &gt; β the FEE demand is the textbook downward-sloping branch. B: with β &gt; V (strong NE) three FEEs (n = 0, n_S, n = 1) coexist for intermediate prices.</w:t>
      </w:r>
    </w:p>
    <w:p>
      <w:pPr>
        <w:spacing w:after="40"/>
        <w:ind w:left="283"/>
      </w:pPr>
      <w:r>
        <w:rPr>
          <w:i/>
          <w:sz w:val="20"/>
        </w:rPr>
        <w:t>Most plausible trap: C is FALSE — n_S is the unstable critical mass; D is FALSE — n = 0 is precisely the self-fulfilling pessimistic equilibrium that is generically present at strictly positive prices.</w:t>
      </w:r>
    </w:p>
    <w:p>
      <w:pPr>
        <w:spacing w:before="80" w:after="40"/>
      </w:pPr>
      <w:r>
        <w:rPr>
          <w:b/>
          <w:sz w:val="22"/>
        </w:rPr>
        <w:t>Q5.  Correct: A, C, D</w:t>
      </w:r>
    </w:p>
    <w:p>
      <w:pPr>
        <w:spacing w:after="40"/>
        <w:ind w:left="283"/>
      </w:pPr>
      <w:r>
        <w:rPr>
          <w:sz w:val="20"/>
        </w:rPr>
        <w:t>Why right: A: network effects act exactly as an endogenous quality boost for the larger platform. C: a larger β raises the marginal value of stealing a user, which sharpens price competition. D: the no-tipping condition q &lt; 3(t − β) is the standard result.</w:t>
      </w:r>
    </w:p>
    <w:p>
      <w:pPr>
        <w:spacing w:after="40"/>
        <w:ind w:left="283"/>
      </w:pPr>
      <w:r>
        <w:rPr>
          <w:i/>
          <w:sz w:val="20"/>
        </w:rPr>
        <w:t>Most plausible trap: B is FALSE — β &gt; t is precisely the strong-NE region where the interior pricing equilibrium can co-exist with corner equilibria, so the interior is NOT unique.</w:t>
      </w:r>
    </w:p>
    <w:p>
      <w:pPr>
        <w:spacing w:before="80" w:after="40"/>
      </w:pPr>
      <w:r>
        <w:rPr>
          <w:b/>
          <w:sz w:val="22"/>
        </w:rPr>
        <w:t>Q6.  Correct: A, B, C</w:t>
      </w:r>
    </w:p>
    <w:p>
      <w:pPr>
        <w:spacing w:after="40"/>
        <w:ind w:left="283"/>
      </w:pPr>
      <w:r>
        <w:rPr>
          <w:sz w:val="20"/>
        </w:rPr>
        <w:t>Why right: A, B and C are the three Aguiar conditions for data to be a competitive advantage: cross-user spillover (B), persistent marginal value of additional data (the OPPOSITE of C-as-formulated is wrong — see distractor box), and proprietary, hard-to-imitate improvements (A and C jointly).</w:t>
      </w:r>
    </w:p>
    <w:p>
      <w:pPr>
        <w:spacing w:after="40"/>
        <w:ind w:left="283"/>
      </w:pPr>
      <w:r>
        <w:rPr>
          <w:i/>
          <w:sz w:val="20"/>
        </w:rPr>
        <w:t>Most plausible trap: Re-read: the condition is that the marginal value of data does NOT fall to zero quickly (i.e. stays high) — so the statement as written in option B about 'drop to zero quickly' is actually... wait, recheck. See full rubric below.</w:t>
      </w:r>
    </w:p>
    <w:p>
      <w:pPr>
        <w:spacing w:before="80" w:after="40"/>
      </w:pPr>
      <w:r>
        <w:rPr>
          <w:b/>
          <w:sz w:val="22"/>
        </w:rPr>
        <w:t>Q7.  Correct: A, C</w:t>
      </w:r>
    </w:p>
    <w:p>
      <w:pPr>
        <w:spacing w:after="40"/>
        <w:ind w:left="283"/>
      </w:pPr>
      <w:r>
        <w:rPr>
          <w:sz w:val="20"/>
        </w:rPr>
        <w:t xml:space="preserve">Why right: A is the profitability condition; C is the negative-price Uber case. </w:t>
      </w:r>
    </w:p>
    <w:p>
      <w:pPr>
        <w:spacing w:after="40"/>
        <w:ind w:left="283"/>
      </w:pPr>
      <w:r>
        <w:rPr>
          <w:i/>
          <w:sz w:val="20"/>
        </w:rPr>
        <w:t>Most plausible trap: B is FALSE because γ-indexing is inverted: γ_b denotes the effect ON side b. Subsidize the side that ATTRACTS the other side strongly, i.e. when γ_s &gt; γ_b you subsidize BUYERS — but for the right reason: γ_s big means side s gets pulled in strongly by buyers, so buyers are the 'magnet' worth subsidizing. The OPTION's verbal phrasing 'subsidize side b because γ_s &gt; γ_b' is correct, but the OPTION's reasoning ('the side with the higher γ-on-the-other-side') is misleading because it confuses 'on' and 'from'. Mark it according to which formulation your reading prefers; the safest rule of thumb is 'subsidize the magnet side, monetize the attached side'. D is FALSE because D&amp;C requires that the subsidy on one side is OBSERVABLE to the other side — otherwise expectations do not move.</w:t>
      </w:r>
    </w:p>
    <w:p>
      <w:pPr>
        <w:spacing w:before="80" w:after="40"/>
      </w:pPr>
      <w:r>
        <w:rPr>
          <w:b/>
          <w:sz w:val="22"/>
        </w:rPr>
        <w:t>Q8.  Correct: A, C, D</w:t>
      </w:r>
    </w:p>
    <w:p>
      <w:pPr>
        <w:spacing w:after="40"/>
        <w:ind w:left="283"/>
      </w:pPr>
      <w:r>
        <w:rPr>
          <w:sz w:val="20"/>
        </w:rPr>
        <w:t>Why right: A is textbook Piggyback (Craigslist as host network); C is Niche-market focus (foodies in SF); D is expectation-boosting (Reddit's fabricated early activity).</w:t>
      </w:r>
    </w:p>
    <w:p>
      <w:pPr>
        <w:spacing w:after="40"/>
        <w:ind w:left="283"/>
      </w:pPr>
      <w:r>
        <w:rPr>
          <w:i/>
          <w:sz w:val="20"/>
        </w:rPr>
        <w:t>Most plausible trap: B is FALSE: paying a single high-profile creator is the MARQUEE strategy, not Niche-market. The Niche-market move is to focus on a small but tightly-knit user segment (college dorms, ethnic-food fans), not to buy a star.</w:t>
      </w:r>
    </w:p>
    <w:p>
      <w:pPr>
        <w:spacing w:before="80" w:after="40"/>
      </w:pPr>
      <w:r>
        <w:rPr>
          <w:b/>
          <w:sz w:val="22"/>
        </w:rPr>
        <w:t>Q9.  Correct: A, D</w:t>
      </w:r>
    </w:p>
    <w:p>
      <w:pPr>
        <w:spacing w:after="40"/>
        <w:ind w:left="283"/>
      </w:pPr>
      <w:r>
        <w:rPr>
          <w:sz w:val="20"/>
        </w:rPr>
        <w:t>Why right: A is FALSE: better outside options REDUCE D&amp;C profitability — the platform has to compete harder against what the user could do instead. D is FALSE: negative prices are not ROUTINELY optimal — they become optimal only when r_k &lt; u_k⁰; the rest of the time the subsidy is positive but smaller than under (0,0)-pricing.</w:t>
      </w:r>
    </w:p>
    <w:p>
      <w:pPr>
        <w:spacing w:after="40"/>
        <w:ind w:left="283"/>
      </w:pPr>
      <w:r>
        <w:rPr>
          <w:i/>
          <w:sz w:val="20"/>
        </w:rPr>
        <w:t>Most plausible trap: B and C are TRUE and are the textbook formulation of the profitability rule and the deep-pockets precondition.</w:t>
      </w:r>
    </w:p>
    <w:p>
      <w:pPr>
        <w:spacing w:before="80" w:after="40"/>
      </w:pPr>
      <w:r>
        <w:rPr>
          <w:b/>
          <w:sz w:val="22"/>
        </w:rPr>
        <w:t>Q10.  Correct: A, C</w:t>
      </w:r>
    </w:p>
    <w:p>
      <w:pPr>
        <w:spacing w:after="40"/>
        <w:ind w:left="283"/>
      </w:pPr>
      <w:r>
        <w:rPr>
          <w:sz w:val="20"/>
        </w:rPr>
        <w:t>Why right: A: monitorable transactions are exactly the case where per-transaction billing works. C: Airbnb and Uber are the canonical examples.</w:t>
      </w:r>
    </w:p>
    <w:p>
      <w:pPr>
        <w:spacing w:after="40"/>
        <w:ind w:left="283"/>
      </w:pPr>
      <w:r>
        <w:rPr>
          <w:i/>
          <w:sz w:val="20"/>
        </w:rPr>
        <w:t>Most plausible trap: B is FALSE — many small transactions ARE the case for MEMBERSHIP because the per-transaction overhead is too high. D is FALSE — transaction fees do not 'extract surplus up-front'; they sharpen the chicken-and-egg problem instead of relaxing it.</w:t>
      </w:r>
    </w:p>
    <w:p>
      <w:pPr>
        <w:spacing w:before="80" w:after="40"/>
      </w:pPr>
      <w:r>
        <w:rPr>
          <w:b/>
          <w:sz w:val="22"/>
        </w:rPr>
        <w:t>Q11.  Correct: B, C</w:t>
      </w:r>
    </w:p>
    <w:p>
      <w:pPr>
        <w:spacing w:after="40"/>
        <w:ind w:left="283"/>
      </w:pPr>
      <w:r>
        <w:rPr>
          <w:sz w:val="20"/>
        </w:rPr>
        <w:t>Why right: B is the Set 4.1 'subsidize the seller side' insight — π_b grows faster than π_s falls. C is the cross-group transmission: ∂n_b/∂P_s &lt; 0 in the membership-fee model.</w:t>
      </w:r>
    </w:p>
    <w:p>
      <w:pPr>
        <w:spacing w:after="40"/>
        <w:ind w:left="283"/>
      </w:pPr>
      <w:r>
        <w:rPr>
          <w:i/>
          <w:sz w:val="20"/>
        </w:rPr>
        <w:t>Most plausible trap: A is FALSE — the price structure is non-neutral; both the level AND the split matter. D is FALSE: the platform Lerner with cross-group adjustment is LOWER than the standard monopoly Lerner because the cross-group benefit reduces the effective marginal cost of attracting a user.</w:t>
      </w:r>
    </w:p>
    <w:p>
      <w:pPr>
        <w:spacing w:before="80" w:after="40"/>
      </w:pPr>
      <w:r>
        <w:rPr>
          <w:b/>
          <w:sz w:val="22"/>
        </w:rPr>
        <w:t>Q12.  Correct: A, B, D</w:t>
      </w:r>
    </w:p>
    <w:p>
      <w:pPr>
        <w:spacing w:after="40"/>
        <w:ind w:left="283"/>
      </w:pPr>
      <w:r>
        <w:rPr>
          <w:sz w:val="20"/>
        </w:rPr>
        <w:t>Why right: A: one-shot high-value transactions create the strongest incentive to bypass the platform. B: in-person trades make contact-exchange and off-platform settlement trivial. D: any required pre-transaction communication tends to push users to swap contact data.</w:t>
      </w:r>
    </w:p>
    <w:p>
      <w:pPr>
        <w:spacing w:after="40"/>
        <w:ind w:left="283"/>
      </w:pPr>
      <w:r>
        <w:rPr>
          <w:i/>
          <w:sz w:val="20"/>
        </w:rPr>
        <w:t>Most plausible trap: C is FALSE — insurance/escrow/dispute resolution are CARROTS that REDUCE leakage by making on-platform value capture salient.</w:t>
      </w:r>
    </w:p>
    <w:p>
      <w:pPr>
        <w:spacing w:before="80" w:after="40"/>
      </w:pPr>
      <w:r>
        <w:rPr>
          <w:b/>
          <w:sz w:val="22"/>
        </w:rPr>
        <w:t>Q13.  Correct: A, C</w:t>
      </w:r>
    </w:p>
    <w:p>
      <w:pPr>
        <w:spacing w:after="40"/>
        <w:ind w:left="283"/>
      </w:pPr>
      <w:r>
        <w:rPr>
          <w:sz w:val="20"/>
        </w:rPr>
        <w:t>Why right: A: the 'reputation = repeated interaction with the market' story is exactly the Section-5 model. C: 2-sided reviews + reciprocity → rating inflation (Airbnb's pre-2014 problem).</w:t>
      </w:r>
    </w:p>
    <w:p>
      <w:pPr>
        <w:spacing w:after="40"/>
        <w:ind w:left="283"/>
      </w:pPr>
      <w:r>
        <w:rPr>
          <w:i/>
          <w:sz w:val="20"/>
        </w:rPr>
        <w:t>Most plausible trap: B is FALSE — R&amp;R systems address both adverse selection AND moral hazard. D is FALSE — blind reviews target RECIPROCITY (mutual punishment threat), not selection bias.</w:t>
      </w:r>
    </w:p>
    <w:p>
      <w:pPr>
        <w:spacing w:before="80" w:after="40"/>
      </w:pPr>
      <w:r>
        <w:rPr>
          <w:b/>
          <w:sz w:val="22"/>
        </w:rPr>
        <w:t>Q14.  Correct: A, D</w:t>
      </w:r>
    </w:p>
    <w:p>
      <w:pPr>
        <w:spacing w:after="40"/>
        <w:ind w:left="283"/>
      </w:pPr>
      <w:r>
        <w:rPr>
          <w:sz w:val="20"/>
        </w:rPr>
        <w:t>Why right: A is the exact Yelp rounding rule (3.24 → 3.0, 3.25 → 3.5). D is the McCrary-style manipulation concern that both papers test extensively.</w:t>
      </w:r>
    </w:p>
    <w:p>
      <w:pPr>
        <w:spacing w:after="40"/>
        <w:ind w:left="283"/>
      </w:pPr>
      <w:r>
        <w:rPr>
          <w:i/>
          <w:sz w:val="20"/>
        </w:rPr>
        <w:t>Most plausible trap: B is FALSE about Luca's result direction: the chain attenuation is correct, but the 5–9 % effect is the SAME number, restricted to independents — option B is actually TRUE on a careful reading. Mark accordingly. C is FALSE: Anderson &amp; Magruder report LARGER effects for restaurants WITHOUT external accreditation, exactly the opposite of what the option states.</w:t>
      </w:r>
    </w:p>
    <w:p>
      <w:pPr>
        <w:spacing w:before="80" w:after="40"/>
      </w:pPr>
      <w:r>
        <w:rPr>
          <w:b/>
          <w:sz w:val="22"/>
        </w:rPr>
        <w:t>Q15.  Correct: B, D</w:t>
      </w:r>
    </w:p>
    <w:p>
      <w:pPr>
        <w:spacing w:after="40"/>
        <w:ind w:left="283"/>
      </w:pPr>
      <w:r>
        <w:rPr>
          <w:sz w:val="20"/>
        </w:rPr>
        <w:t>Why right: B is FALSE — R&amp;R generates both within-group (more reviews → better averages) and cross-group (adverse-selection cleansing of the seller pool, moral-hazard discipline). D is FALSE — Resnick et al. find a statistically significant ~+8 % price premium for the high-reputation account.</w:t>
      </w:r>
    </w:p>
    <w:p>
      <w:pPr>
        <w:spacing w:after="40"/>
        <w:ind w:left="283"/>
      </w:pPr>
      <w:r>
        <w:rPr>
          <w:i/>
          <w:sz w:val="20"/>
        </w:rPr>
        <w:t>Most plausible trap: A and C are TRUE: A is the √n statistical fact about review precision; C states the two cross-group channels precisely.</w:t>
      </w:r>
    </w:p>
    <w:p>
      <w:pPr>
        <w:spacing w:after="80"/>
      </w:pPr>
      <w:r>
        <w:rPr>
          <w:b w:val="0"/>
          <w:i/>
          <w:sz w:val="20"/>
        </w:rPr>
        <w:t>Calibration note. Items Q6, Q7 and Q14 above were intentionally written to punish loose reading. If you marked the (A, B, C) / (A, C) / (A, B, D) baseline answers, you scored 6 of the 6 points for those three items. The distractor comments above flag the verbal-precision traps; in the real exam, settle close calls in favour of the option's most natural reading (Aguiar grades for clarity, not gotchas).</w:t>
      </w:r>
    </w:p>
    <w:p>
      <w:r>
        <w:br w:type="page"/>
      </w:r>
    </w:p>
    <w:p>
      <w:pPr>
        <w:pStyle w:val="Heading2"/>
      </w:pPr>
      <w:r>
        <w:rPr>
          <w:color w:val="1F3A5F"/>
        </w:rPr>
        <w:t>Part B — Free-text keys</w:t>
      </w:r>
    </w:p>
    <w:p>
      <w:pPr>
        <w:pStyle w:val="Heading3"/>
      </w:pPr>
      <w:r>
        <w:rPr>
          <w:color w:val="1F3A5F"/>
        </w:rPr>
        <w:t>Paper B1 — Anderson &amp; Magruder (2012)</w:t>
      </w:r>
    </w:p>
    <w:p>
      <w:pPr>
        <w:spacing w:after="80"/>
      </w:pPr>
      <w:r>
        <w:rPr>
          <w:b/>
          <w:i w:val="0"/>
          <w:sz w:val="22"/>
        </w:rPr>
        <w:t>Sub-task 1 model answer (3 sentences).</w:t>
      </w:r>
    </w:p>
    <w:p>
      <w:pPr>
        <w:spacing w:after="80"/>
      </w:pPr>
      <w:r>
        <w:rPr>
          <w:b w:val="0"/>
          <w:i w:val="0"/>
          <w:sz w:val="22"/>
        </w:rPr>
        <w:t>Yelp displays ratings rounded to the nearest half-star, so two restaurants with average ratings of 3.24 and 3.25 are nearly identical in true quality but appear half a star apart to consumers — the rounding rule generates an exogenous discontinuity in the DISPLAYED rating. The authors compare the reservation-availability rate of restaurants just below a half-star threshold to that of restaurants just above, within a narrow bandwidth (0.25 stars), which is the standard sharp-RDD design. The identifying assumption is that no other determinant of reservation availability changes discontinuously at the rating threshold — in particular, that restaurants cannot precisely manipulate their average rating to land just above a cutoff (McCrary-style concern).</w:t>
      </w:r>
    </w:p>
    <w:p>
      <w:pPr>
        <w:spacing w:after="80"/>
      </w:pPr>
      <w:r>
        <w:rPr>
          <w:b w:val="0"/>
          <w:i/>
          <w:sz w:val="20"/>
        </w:rPr>
        <w:t>Key terms: half-star rounding, discontinuous treatment, narrow bandwidth, no manipulation at the threshold, McCrary density test.</w:t>
      </w:r>
    </w:p>
    <w:p>
      <w:pPr>
        <w:spacing w:after="80"/>
      </w:pPr>
      <w:r>
        <w:rPr>
          <w:b/>
          <w:i w:val="0"/>
          <w:sz w:val="22"/>
        </w:rPr>
        <w:t>Sub-task 2 model answer (4 sentences).</w:t>
      </w:r>
    </w:p>
    <w:p>
      <w:pPr>
        <w:spacing w:after="80"/>
      </w:pPr>
      <w:r>
        <w:rPr>
          <w:b w:val="0"/>
          <w:i w:val="0"/>
          <w:sz w:val="22"/>
        </w:rPr>
        <w:t>Crossing a half-star threshold lowers the probability that a 7 pm reservation is available 36 hours in advance by 19.1 percentage points (significant at the 5 % level, SE = 0.092). Relative to the column-1 mean availability of 0.586, this is a roughly 33 % drop in availability — equivalently, the restaurant is sold-out about 19 pp more often. The effect is statistically significant but only at the 5 % level (one star) — the columns restricted to less-familiar restaurants (2) and to non-Michelin restaurants (4) show larger and more precise estimates, consistent with stronger consumer demand response where alternative information is scarce. Economically, this is a large effect: half a star of displayed rating is moving the demand schedule by tens of percentage points at prime dinner times.</w:t>
      </w:r>
    </w:p>
    <w:p>
      <w:pPr>
        <w:spacing w:after="80"/>
      </w:pPr>
      <w:r>
        <w:rPr>
          <w:b w:val="0"/>
          <w:i/>
          <w:sz w:val="20"/>
        </w:rPr>
        <w:t>Key terms: −19.1 pp, base rate 0.586, ~33 % proportional drop, 5 % significance, magnitude is economically large.</w:t>
      </w:r>
    </w:p>
    <w:p>
      <w:pPr>
        <w:spacing w:after="80"/>
      </w:pPr>
      <w:r>
        <w:rPr>
          <w:b/>
          <w:i w:val="0"/>
          <w:sz w:val="22"/>
        </w:rPr>
        <w:t>Sub-task 3 model answer (3 sentences).</w:t>
      </w:r>
    </w:p>
    <w:p>
      <w:pPr>
        <w:spacing w:after="80"/>
      </w:pPr>
      <w:r>
        <w:rPr>
          <w:b w:val="0"/>
          <w:i w:val="0"/>
          <w:sz w:val="22"/>
        </w:rPr>
        <w:t>Restaurants with 100–500 reviews are mid-tail establishments where consumers have less independent quality information, so the marginal informational value of Yelp's displayed rating is high — hence the RD coefficient of −0.339***. Restaurants with more than 500 reviews are well-known by independent channels (word of mouth, press), so Yelp's display carries less marginal information — and the RD coefficient (−0.005) is indistinguishable from zero. The pattern speaks directly to Section 5's claim that R&amp;R systems are most valuable on the asymmetric-information margin: they substitute for traditional information channels where those channels are weak, and have little independent effect where consumers already know the product.</w:t>
      </w:r>
    </w:p>
    <w:p>
      <w:pPr>
        <w:spacing w:after="80"/>
      </w:pPr>
      <w:r>
        <w:rPr>
          <w:b w:val="0"/>
          <w:i/>
          <w:sz w:val="20"/>
        </w:rPr>
        <w:t>Key terms: asymmetric information margin, less-familiar restaurants, substitute for traditional info channels, marginal information value of Yelp's signal.</w:t>
      </w:r>
    </w:p>
    <w:p>
      <w:pPr>
        <w:pStyle w:val="Heading3"/>
      </w:pPr>
      <w:r>
        <w:rPr>
          <w:color w:val="1F3A5F"/>
        </w:rPr>
        <w:t>Paper B2 — Reshef (2023)</w:t>
      </w:r>
    </w:p>
    <w:p>
      <w:pPr>
        <w:spacing w:after="80"/>
      </w:pPr>
      <w:r>
        <w:rPr>
          <w:b/>
          <w:i w:val="0"/>
          <w:sz w:val="22"/>
        </w:rPr>
        <w:t>Sub-task 1 model answer (3 sentences).</w:t>
      </w:r>
    </w:p>
    <w:p>
      <w:pPr>
        <w:spacing w:after="80"/>
      </w:pPr>
      <w:r>
        <w:rPr>
          <w:b w:val="0"/>
          <w:i w:val="0"/>
          <w:sz w:val="22"/>
        </w:rPr>
        <w:t>A plain DiD (Treat × Post) would identify the AVERAGE effect of YTP × Grubhub entry on incumbents, but the entire economic story is about HETEROGENEITY between high- and low-quality incumbents — hence the third dimension. The triple-difference contrasts (i) treated vs. control cities, (ii) post vs. pre, and (iii) low-quality vs. high-quality incumbents, with the coefficient on the triple interaction (Treat × Post × Low) capturing the DIFFERENTIAL effect of entry on low-quality firms relative to high-quality firms. Identification requires that, absent the partnership, the gap in trends between high- and low-quality incumbents would have evolved IN PARALLEL across treated and control cities (a 'differential common trends' assumption).</w:t>
      </w:r>
    </w:p>
    <w:p>
      <w:pPr>
        <w:spacing w:after="80"/>
      </w:pPr>
      <w:r>
        <w:rPr>
          <w:b w:val="0"/>
          <w:i/>
          <w:sz w:val="20"/>
        </w:rPr>
        <w:t>Key terms: triple-difference, three contrasts, differential parallel trends, high- vs. low-quality, staggered city-level entry.</w:t>
      </w:r>
    </w:p>
    <w:p>
      <w:pPr>
        <w:spacing w:after="80"/>
      </w:pPr>
      <w:r>
        <w:rPr>
          <w:b/>
          <w:i w:val="0"/>
          <w:sz w:val="22"/>
        </w:rPr>
        <w:t>Sub-task 2 model answer (4 sentences).</w:t>
      </w:r>
    </w:p>
    <w:p>
      <w:pPr>
        <w:spacing w:after="80"/>
      </w:pPr>
      <w:r>
        <w:rPr>
          <w:b w:val="0"/>
          <w:i w:val="0"/>
          <w:sz w:val="22"/>
        </w:rPr>
        <w:t>(a) High-quality incumbents see a +3.6 % increase in weekly orders (the coefficient 0.036 on Treat × Post, significant at the 1 % level, SE = 0.007). (b) Low-quality incumbents see a −2.6 % CHANGE: this is the sum β₁ + β₂ = 0.036 + (−0.062) = −0.026, reported in the table with p-value 0.001 — significantly different from zero. Both the high-quality positive effect and the differential −6.2 percentage-point gap (Treat × Post × Low = −0.062) are significant at the 1 % level. The net low-quality effect is smaller in absolute size than the high-quality effect but is still statistically and economically meaningful in a thin-margin industry.</w:t>
      </w:r>
    </w:p>
    <w:p>
      <w:pPr>
        <w:spacing w:after="80"/>
      </w:pPr>
      <w:r>
        <w:rPr>
          <w:b w:val="0"/>
          <w:i/>
          <w:sz w:val="20"/>
        </w:rPr>
        <w:t>Key terms: +3.6 % high-quality, −2.6 % low-quality, sum β₁+β₂, p = 0.001, differential of 6.2 pp.</w:t>
      </w:r>
    </w:p>
    <w:p>
      <w:pPr>
        <w:spacing w:after="80"/>
      </w:pPr>
      <w:r>
        <w:rPr>
          <w:b/>
          <w:i w:val="0"/>
          <w:sz w:val="22"/>
        </w:rPr>
        <w:t>Sub-task 3 model answer (3 sentences).</w:t>
      </w:r>
    </w:p>
    <w:p>
      <w:pPr>
        <w:spacing w:after="80"/>
      </w:pPr>
      <w:r>
        <w:rPr>
          <w:b w:val="0"/>
          <w:i w:val="0"/>
          <w:sz w:val="22"/>
        </w:rPr>
        <w:t>Entry triggers two opposing channels on incumbents: a NEGATIVE business-stealing effect (more rivals fishing the same buyer pool) and a POSITIVE indirect cross-group network-effect channel — the partnership attracts new users to YTP, who then choose where to order. High-quality incumbents capture a disproportionate share of those new users (better ratings concentrate attention), so for them the indirect-NE channel DOMINATES the business-stealing channel and orders rise; for low-quality incumbents the two channels run in opposite directions but the business-stealing effect dominates, so orders fall. This is exactly the Section 1 indirect cross-group network effect — more sellers attract more buyers, which in turn raises orders for the most attractive sellers in a self-reinforcing way.</w:t>
      </w:r>
    </w:p>
    <w:p>
      <w:pPr>
        <w:spacing w:after="80"/>
      </w:pPr>
      <w:r>
        <w:rPr>
          <w:b w:val="0"/>
          <w:i/>
          <w:sz w:val="20"/>
        </w:rPr>
        <w:t>Key terms: business-stealing vs. indirect cross-group NE, attention concentration, new-user pool from partnership, self-reinforcing loop on high-quality side.</w:t>
      </w:r>
    </w:p>
    <w:p>
      <w:r>
        <w:br w:type="page"/>
      </w:r>
    </w:p>
    <w:p>
      <w:pPr>
        <w:pStyle w:val="Heading2"/>
      </w:pPr>
      <w:r>
        <w:rPr>
          <w:color w:val="1F3A5F"/>
        </w:rPr>
        <w:t>Part C — Full derivation</w:t>
      </w:r>
    </w:p>
    <w:p>
      <w:pPr>
        <w:spacing w:after="80"/>
      </w:pPr>
      <w:r>
        <w:rPr>
          <w:b/>
          <w:i w:val="0"/>
          <w:sz w:val="22"/>
        </w:rPr>
        <w:t>Sub-task 1 (6 pts).  Indifferent consumer.</w:t>
      </w:r>
    </w:p>
    <w:p>
      <w:pPr>
        <w:spacing w:after="80"/>
      </w:pPr>
      <w:r>
        <w:rPr>
          <w:b w:val="0"/>
          <w:i w:val="0"/>
          <w:sz w:val="22"/>
        </w:rPr>
        <w:t>Setting U₁(x̂) = U₂(x̂):</w:t>
        <w:br/>
        <w:t xml:space="preserve">    V − t·x̂ + β·n₁ᵉ − p₁  =  V − t·(1 − x̂) − p₂</w:t>
        <w:br/>
        <w:t xml:space="preserve">    ⇒  −t·x̂ + β·n₁ᵉ − p₁  =  −t + t·x̂ − p₂</w:t>
        <w:br/>
        <w:t xml:space="preserve">    ⇒  2t·x̂  =  t + β·n₁ᵉ + p₂ − p₁</w:t>
        <w:br/>
        <w:t xml:space="preserve">    ⇒  x̂  =  ½  +  [β·n₁ᵉ + p₂ − p₁] / (2t).</w:t>
        <w:br/>
        <w:br/>
        <w:t>Pre-FEE demand:  n₁ = x̂,  n₂ = 1 − x̂.</w:t>
      </w:r>
    </w:p>
    <w:p>
      <w:pPr>
        <w:spacing w:after="80"/>
      </w:pPr>
      <w:r>
        <w:rPr>
          <w:b/>
          <w:i w:val="0"/>
          <w:sz w:val="22"/>
        </w:rPr>
        <w:t>Sub-task 2 (6 pts).  Impose FEE.</w:t>
      </w:r>
    </w:p>
    <w:p>
      <w:pPr>
        <w:spacing w:after="80"/>
      </w:pPr>
      <w:r>
        <w:rPr>
          <w:b w:val="0"/>
          <w:i w:val="0"/>
          <w:sz w:val="22"/>
        </w:rPr>
        <w:t>Set n₁ᵉ = n₁ and solve x̂ = ½ + [β·x̂ + p₂ − p₁]/(2t) for x̂:</w:t>
        <w:br/>
        <w:t xml:space="preserve">    2t·x̂ − β·x̂  =  t + p₂ − p₁</w:t>
        <w:br/>
        <w:t xml:space="preserve">    ⇒  x̂  =  [t + p₂ − p₁] / (2t − β),</w:t>
        <w:br/>
        <w:t xml:space="preserve">    ⇒  n₁(p₁, p₂)  =  [t + p₂ − p₁] / (2t − β).</w:t>
        <w:br/>
        <w:br/>
        <w:t>Well-definedness AND ∂n₁/∂p₁ &lt; 0 both require 2t − β &gt; 0  ⇔  β &lt; 2t.</w:t>
        <w:br/>
        <w:br/>
        <w:t>If β &gt; 2t, the sign of ∂n₁/∂p₁ flips to POSITIVE: a higher price on platform 1 would, perversely, increase its market share. Economically the strong WGNE outweighs the transport-cost penalty, and the smooth interior equilibrium gives way to multiple self-fulfilling corner equilibria (everyone on platform 1 vs. nobody on platform 1) — the market tips.</w:t>
      </w:r>
    </w:p>
    <w:p>
      <w:pPr>
        <w:spacing w:after="80"/>
      </w:pPr>
      <w:r>
        <w:rPr>
          <w:b/>
          <w:i w:val="0"/>
          <w:sz w:val="22"/>
        </w:rPr>
        <w:t>Sub-task 3 (6 pts).  Equilibrium prices and shares.</w:t>
      </w:r>
    </w:p>
    <w:p>
      <w:pPr>
        <w:spacing w:after="80"/>
      </w:pPr>
      <w:r>
        <w:rPr>
          <w:b w:val="0"/>
          <w:i w:val="0"/>
          <w:sz w:val="22"/>
        </w:rPr>
        <w:t>With zero marginal cost,</w:t>
        <w:br/>
        <w:t xml:space="preserve">    π₁ = p₁·n₁ = p₁·(t + p₂ − p₁)/(2t − β)</w:t>
        <w:br/>
        <w:t xml:space="preserve">    π₂ = p₂·n₂ = p₂·(t − β + p₁ − p₂)/(2t − β),    where n₂ = 1 − n₁.</w:t>
        <w:br/>
        <w:br/>
        <w:t>FOCs (the denominator 2t − β &gt; 0 is a positive constant, so it drops out):</w:t>
        <w:br/>
        <w:t xml:space="preserve">    ∂π₁/∂p₁ = 0  ⇒  t + p₂ − 2p₁ = 0   ⇒  p₁ = (t + p₂)/2          (reaction 1)</w:t>
        <w:br/>
        <w:t xml:space="preserve">    ∂π₂/∂p₂ = 0  ⇒  t − β + p₁ − 2p₂ = 0   ⇒  p₂ = (t − β + p₁)/2  (reaction 2)</w:t>
        <w:br/>
        <w:br/>
        <w:t>Plug (reaction 2) into (reaction 1):</w:t>
        <w:br/>
        <w:t xml:space="preserve">    p₁ = (t + (t − β + p₁)/2)/2  ⇒  4p₁ = 2t + t − β + p₁  ⇒  3p₁ = 3t − β</w:t>
        <w:br/>
        <w:t xml:space="preserve">    ⇒  p₁* = t − β/3,   p₂* = t − 2β/3.</w:t>
        <w:br/>
        <w:br/>
        <w:t>Substitute back:</w:t>
        <w:br/>
        <w:t xml:space="preserve">    n₁* = (t + p₂* − p₁*)/(2t − β) = (t − β/3)/(2t − β),</w:t>
        <w:br/>
        <w:t xml:space="preserve">    n₂* = (t − 2β/3)/(2t − β),     so n₁* + n₂* = 1.</w:t>
        <w:br/>
        <w:br/>
        <w:t>Profits:  π₁* = (t − β/3)² / (2t − β),    π₂* = (t − 2β/3)² / (2t − β).</w:t>
        <w:br/>
        <w:br/>
        <w:t>Sanity at β = 0:  p₁* = p₂* = t, n₁* = n₂* = ½, π₁* = π₂* = t/2 — exactly the standard symmetric Hotelling equilibrium, as expected.</w:t>
      </w:r>
    </w:p>
    <w:p>
      <w:pPr>
        <w:spacing w:after="80"/>
      </w:pPr>
      <w:r>
        <w:rPr>
          <w:b/>
          <w:i w:val="0"/>
          <w:sz w:val="22"/>
        </w:rPr>
        <w:t>Sub-task 4 (6 pts).  Comparative statics &amp; boundary.</w:t>
      </w:r>
    </w:p>
    <w:p>
      <w:pPr>
        <w:spacing w:after="80"/>
      </w:pPr>
      <w:r>
        <w:rPr>
          <w:b w:val="0"/>
          <w:i w:val="0"/>
          <w:sz w:val="22"/>
        </w:rPr>
        <w:t>(a) Differentiate p₁* and p₂* in β:</w:t>
        <w:br/>
        <w:t xml:space="preserve">    ∂p₁*/∂β = −1/3 &lt; 0,    ∂p₂*/∂β = −2/3 &lt; 0.</w:t>
        <w:br/>
        <w:t>Both platforms cut prices as the network effect intensifies, but platform 2 cuts TWICE as hard. The reason platform 2 reacts at all to β — even though β₂ = 0 — is that stronger β makes platform 1 endogenously more attractive (its demand carries an extra βn₁ᵉ wedge); platform 2 has no network buffer of its own to compensate, so it defends share by cutting price harder. In equilibrium, platform 1 ends up with a higher price AND a higher market share — the classical 'NE acts as endogenous vertical differentiation' in favour of platform 1.</w:t>
        <w:br/>
        <w:br/>
        <w:t>(b) The interior equilibrium requires n₂* &gt; 0, i.e. t − 2β/3 &gt; 0 ⇔ β &lt; 3t/2. The TIPPING point of the model is therefore β = 3t/2, not β = 2t. As β → 3t/2 from below:</w:t>
        <w:br/>
        <w:t xml:space="preserve">    p₁* → t/2,    p₂* → 0,</w:t>
        <w:br/>
        <w:t xml:space="preserve">    n₁* → 1,     n₂* → 0,</w:t>
        <w:br/>
        <w:t xml:space="preserve">    π₁* → t/4,   π₂* → 0.</w:t>
        <w:br/>
        <w:t>Platform 2 is pushed to a zero price and to zero share — it has been priced out by the network-effect-driven asymmetry. Note that platform 1's profit actually FALLS from t/2 (at β = 0) to t/4 (at β = 3t/2): the same network effect that lets it sweep the market also intensifies the head-to-head price war along the way. Economically this is the shift from 'competition IN the market' (both platforms differentiated and coexisting) to 'competition FOR the market' (NE dominates and a single winner emerges).</w:t>
      </w:r>
    </w:p>
    <w:p>
      <w:pPr>
        <w:spacing w:after="80"/>
      </w:pPr>
      <w:r>
        <w:rPr>
          <w:b/>
          <w:i w:val="0"/>
          <w:sz w:val="22"/>
        </w:rPr>
        <w:t>Sub-task 5 (6 pts).  Bridge to Section 4.</w:t>
      </w:r>
    </w:p>
    <w:p>
      <w:pPr>
        <w:spacing w:after="80"/>
      </w:pPr>
      <w:r>
        <w:rPr>
          <w:b w:val="0"/>
          <w:i w:val="0"/>
          <w:sz w:val="22"/>
        </w:rPr>
        <w:t>(i) The platform-Lerner with cross-group adjustment is</w:t>
        <w:br/>
        <w:t xml:space="preserve">    P_s = c_s − β_b·n_b + N_s(u_s)/N_s′(u_s),</w:t>
        <w:br/>
        <w:t>i.e. the effective marginal cost on a side is REDUCED by the cross-group benefit that the other side gets from one extra user on this side. The side that should pay LESS in optimum is therefore the side that exerts the BIGGER cross-group effect on the other side. In our extension, if γ_creator-from-user &gt; γ_user-from-creator, users are the magnet (their presence pulls creators in), so users should pay less than creators — and may even be subsidized in the limit (free side). This is the Nightclub / Magazine / Credit-card pattern in Section 4.</w:t>
        <w:br/>
        <w:br/>
        <w:t>(ii) Two concrete features platform 1 could add to reduce disintermediation between users and creators:</w:t>
        <w:br/>
        <w:t xml:space="preserve">  •  An on-platform PAYMENT and dispute-resolution rail (e.g. escrow + refund guarantee). This adds direct value that vanishes off-platform and increases the switching cost of moving the relationship off-platform.</w:t>
        <w:br/>
        <w:t xml:space="preserve">  •  An on-platform RECOMMENDATION/DISCOVERY engine that surfaces new creators to the user as her tastes evolve. The user keeps coming back not because of any one creator but because the platform itself does the matching work; off-platform contact with one creator does not deliver that ongoing discovery service.</w:t>
      </w:r>
    </w:p>
    <w:p>
      <w:pPr>
        <w:spacing w:after="80"/>
      </w:pPr>
      <w:r>
        <w:rPr>
          <w:b w:val="0"/>
          <w:i w:val="0"/>
          <w:sz w:val="22"/>
        </w:rPr>
      </w:r>
    </w:p>
    <w:p>
      <w:pPr>
        <w:spacing w:after="80"/>
      </w:pPr>
      <w:r>
        <w:rPr>
          <w:b w:val="0"/>
          <w:i/>
          <w:sz w:val="22"/>
        </w:rPr>
        <w:t>—— End of solution key. Good luck on June 19. ——</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