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AFA7" w14:textId="3A4A07A9" w:rsidR="001671F5" w:rsidRDefault="00670393" w:rsidP="00670393">
      <w:pPr>
        <w:jc w:val="center"/>
        <w:rPr>
          <w:b/>
          <w:bCs/>
          <w:sz w:val="36"/>
          <w:szCs w:val="36"/>
        </w:rPr>
      </w:pPr>
      <w:r w:rsidRPr="00670393">
        <w:rPr>
          <w:b/>
          <w:bCs/>
          <w:sz w:val="36"/>
          <w:szCs w:val="36"/>
        </w:rPr>
        <w:t>Assignment 6</w:t>
      </w:r>
    </w:p>
    <w:p w14:paraId="60D91F1C" w14:textId="77777777" w:rsidR="00670393" w:rsidRDefault="00670393" w:rsidP="00670393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7.38</w:t>
      </w:r>
    </w:p>
    <w:p w14:paraId="048B5A54" w14:textId="77777777" w:rsidR="00670393" w:rsidRDefault="00670393" w:rsidP="00670393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7.71</w:t>
      </w:r>
    </w:p>
    <w:p w14:paraId="7115043B" w14:textId="77777777" w:rsidR="00670393" w:rsidRDefault="00670393" w:rsidP="00670393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7.90</w:t>
      </w:r>
    </w:p>
    <w:p w14:paraId="781C6D46" w14:textId="77777777" w:rsidR="00670393" w:rsidRDefault="00670393" w:rsidP="00670393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7.125</w:t>
      </w:r>
    </w:p>
    <w:p w14:paraId="577246AD" w14:textId="77777777" w:rsidR="00670393" w:rsidRDefault="00670393" w:rsidP="00670393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7.140</w:t>
      </w:r>
    </w:p>
    <w:p w14:paraId="4514C33F" w14:textId="32E965FE" w:rsidR="00670393" w:rsidRPr="00670393" w:rsidRDefault="00670393" w:rsidP="00670393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bookmarkStart w:id="0" w:name="_GoBack"/>
      <w:bookmarkEnd w:id="0"/>
      <w:r>
        <w:rPr>
          <w:rFonts w:ascii="Helvetica" w:hAnsi="Helvetica" w:cs="Helvetica"/>
          <w:color w:val="555150"/>
        </w:rPr>
        <w:t>Try solving the assignment in Excel or R for better accuracy rather than manual calculations. But make sure to show which formula you are using for calculation.</w:t>
      </w:r>
    </w:p>
    <w:p w14:paraId="2646956F" w14:textId="3EFAA1C8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t>7.38 Potential insurance fraud?</w:t>
      </w:r>
    </w:p>
    <w:p w14:paraId="301D4DB3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</w:p>
    <w:p w14:paraId="380F7AB5" w14:textId="54F11BDF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Insurance adjusters are concerned about the high estimates they are receiving from Jocko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 Garage. To see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if the estimates are unreasonably high, each of 10 damaged cars was taken to Jocko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 and to another garage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and the estimates (in dollars) were recorded.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Results Attached (JOCKO)</w:t>
      </w:r>
    </w:p>
    <w:p w14:paraId="7A4BD1AA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5CCCAF6D" w14:textId="1A776E64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(a) For each car, subtract the estimate of the other garage from Jocko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 estimate. Find the mean and the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standard deviation for this difference.</w:t>
      </w:r>
    </w:p>
    <w:p w14:paraId="19DB9739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19F610A3" w14:textId="5A128353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(b) Test the null hypothesis that there is no difference between the estimates of the two garages. Be sure to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specify the null and alternative hypotheses, the test statistic with degrees of freedom, and the </w:t>
      </w:r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>P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-value.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What do you conclude using the 0.05 significance level?</w:t>
      </w:r>
    </w:p>
    <w:p w14:paraId="54D43DCE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FE8FFC1" w14:textId="1344E364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(c) Construct a 95% confidence interval for the difference in estimates.</w:t>
      </w:r>
    </w:p>
    <w:p w14:paraId="4930170D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3B45692D" w14:textId="05C5C7C8" w:rsidR="00670393" w:rsidRPr="00670393" w:rsidRDefault="00670393" w:rsidP="00670393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(d) The insurance company is considering seeking repayment from 1000 claims filed with Jocko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 last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year. Using your answer to part (c), what repayment would you recommend the insurance company seek?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Explain your answer.</w:t>
      </w:r>
    </w:p>
    <w:p w14:paraId="07597CE0" w14:textId="0F8DF3C4" w:rsidR="00670393" w:rsidRDefault="00670393">
      <w:r>
        <w:br w:type="page"/>
      </w:r>
    </w:p>
    <w:p w14:paraId="4DAF7C02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lastRenderedPageBreak/>
        <w:t>7.71 Sadness and spending</w:t>
      </w:r>
    </w:p>
    <w:p w14:paraId="760EDB4A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60352BBF" w14:textId="192330AB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The 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misery is not miserly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phenomenon refers to a person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 spending judgment going haywire</w:t>
      </w:r>
    </w:p>
    <w:p w14:paraId="141AFE22" w14:textId="3BE1D55D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when the person is sad. In a study, 31 young adults were given $10 and randomly assigned to either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a sad or a neutral group. The participants in the sad group watched a video about the death of a boy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mentor (from </w:t>
      </w:r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>The Champ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), and those in the neutral group watched a video on the Great Barrier Reef.</w:t>
      </w:r>
    </w:p>
    <w:p w14:paraId="6A941F3D" w14:textId="3DD2C3FA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7"/>
          <w:szCs w:val="27"/>
        </w:rPr>
      </w:pPr>
    </w:p>
    <w:p w14:paraId="651A930D" w14:textId="69C14DE1" w:rsidR="00670393" w:rsidRP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After the video, each participant was offered the chance to trade $0.50 increments of the $10 for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an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insulated water bottle.27 Here are the data: </w:t>
      </w: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SADNESS</w:t>
      </w:r>
    </w:p>
    <w:p w14:paraId="3869A408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43A35F7" w14:textId="28FD9D7A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(a) Examine each group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s prices graphically. Is use of the </w:t>
      </w:r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 xml:space="preserve">t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procedures appropriate for these data?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proofErr w:type="gram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Carefully</w:t>
      </w:r>
      <w:proofErr w:type="gram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explain your answer.</w:t>
      </w:r>
    </w:p>
    <w:p w14:paraId="1F7283DE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8351CA0" w14:textId="248F1056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(b) Make a table with the sample size, mean, and standard deviation for each of the two groups.</w:t>
      </w:r>
    </w:p>
    <w:p w14:paraId="48C3F2CF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7897DC12" w14:textId="0739A036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(c) State appropriate null and alternative hypotheses for comparing these two groups.</w:t>
      </w:r>
    </w:p>
    <w:p w14:paraId="59757574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33AEBF41" w14:textId="3EC9CD80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(d) Perform the significance test at the </w:t>
      </w:r>
      <w:r>
        <w:rPr>
          <w:rFonts w:ascii="TimesNewRomanPSMT" w:eastAsia="TimesNewRomanPSMT" w:hAnsi="TimesNewRomanPS-BoldMT" w:cs="TimesNewRomanPSMT" w:hint="eastAsia"/>
          <w:color w:val="000000"/>
          <w:sz w:val="21"/>
          <w:szCs w:val="21"/>
        </w:rPr>
        <w:t>α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= 0.05 level, making sure to report the test statistic, degrees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of freedom, and </w:t>
      </w:r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>P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-value. What is your conclusion?</w:t>
      </w:r>
    </w:p>
    <w:p w14:paraId="705653B1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661EF85C" w14:textId="04DB8934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(e) Construct a 95% confidence interval for the mean difference in purchase price between the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two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groups.</w:t>
      </w:r>
    </w:p>
    <w:p w14:paraId="752B4636" w14:textId="183179E9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A8FA5F1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t>7.90 Revisiting the sadness and spending study</w:t>
      </w:r>
    </w:p>
    <w:p w14:paraId="3AC2E81F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3DDBBCF" w14:textId="262908FA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In Exercise </w:t>
      </w:r>
      <w:proofErr w:type="gram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7.71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,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the</w:t>
      </w:r>
      <w:proofErr w:type="gram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purchase price of a water bottle was analyzed using the two-sample</w:t>
      </w:r>
    </w:p>
    <w:p w14:paraId="3D1E8F86" w14:textId="44A8A39E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 xml:space="preserve">t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procedures that do not assume equal standard deviations. Compare the means using a significance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test and find the 95% confidence interval for the difference using the pooled methods. How do the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results compare with those you obtained in Exercise 7.71? </w:t>
      </w: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BPREF</w:t>
      </w:r>
    </w:p>
    <w:p w14:paraId="1499B15A" w14:textId="67359213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</w:p>
    <w:p w14:paraId="10BE0146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6ED696E7" w14:textId="77777777" w:rsidR="00670393" w:rsidRDefault="00670393">
      <w:pPr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br w:type="page"/>
      </w:r>
    </w:p>
    <w:p w14:paraId="2F8159A1" w14:textId="51CE3510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lastRenderedPageBreak/>
        <w:t>7.125 Interracial friendships in college</w:t>
      </w:r>
    </w:p>
    <w:p w14:paraId="1200686B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0584D62" w14:textId="6443A43B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A study utilized the random roommate assignment process of a small college to investigate the</w:t>
      </w:r>
    </w:p>
    <w:p w14:paraId="3E1A09F2" w14:textId="45D3BCF4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interracial mix of friends among students in college.39 As part of this study, the researchers looked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at 238 white students who were randomly assigned a roommate in their first year and recorded the</w:t>
      </w:r>
      <w:r w:rsidR="00101A76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proportion of their friends (not including the first-year roommate) who were black. The following</w:t>
      </w:r>
      <w:r w:rsidR="00101A76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table summarizes the results, broken down by roommate race, for the middle of the first and third</w:t>
      </w:r>
      <w:r w:rsidR="00101A76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years of college.</w:t>
      </w:r>
    </w:p>
    <w:p w14:paraId="02BB0D45" w14:textId="71CFACEF" w:rsidR="00101A76" w:rsidRDefault="00101A76" w:rsidP="00101A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               </w:t>
      </w:r>
      <w:r>
        <w:rPr>
          <w:noProof/>
        </w:rPr>
        <w:drawing>
          <wp:inline distT="0" distB="0" distL="0" distR="0" wp14:anchorId="03B8F1F1" wp14:editId="7A505696">
            <wp:extent cx="3253740" cy="24827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BDD8" w14:textId="47898B8A" w:rsidR="00670393" w:rsidRDefault="00670393" w:rsidP="00101A76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(a) Proportions are not Normally distributed. Explain why it may still be appropriate to use the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t</w:t>
      </w:r>
    </w:p>
    <w:p w14:paraId="1FE3E3DC" w14:textId="77777777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procedures for these data.</w:t>
      </w:r>
    </w:p>
    <w:p w14:paraId="3878C9BA" w14:textId="77777777" w:rsidR="00101A76" w:rsidRDefault="00101A76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04A920FA" w14:textId="472A2FCE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(b) For each year, state the null and alternative hypotheses for comparing these two groups.</w:t>
      </w:r>
    </w:p>
    <w:p w14:paraId="7EF76F8C" w14:textId="77777777" w:rsidR="00101A76" w:rsidRDefault="00101A76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55E60109" w14:textId="2CAF527E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(c) For each year, perform the significance test at the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α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= 0.05 level, making sure to report the test</w:t>
      </w:r>
      <w:r w:rsidR="00101A76"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statistic, degrees of freedom, and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P</w:t>
      </w:r>
      <w:r>
        <w:rPr>
          <w:rFonts w:ascii="TimesNewRomanPSMT" w:eastAsia="TimesNewRomanPSMT" w:hAnsi="TimesNewRomanPS-BoldMT" w:cs="TimesNewRomanPSMT"/>
          <w:sz w:val="21"/>
          <w:szCs w:val="21"/>
        </w:rPr>
        <w:t>-value.</w:t>
      </w:r>
    </w:p>
    <w:p w14:paraId="5E70ABC6" w14:textId="77777777" w:rsidR="00101A76" w:rsidRDefault="00101A76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73C2A3BD" w14:textId="5CFC846A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(d) Write a one-paragraph summary of your conclusions from these two tests.</w:t>
      </w:r>
    </w:p>
    <w:p w14:paraId="0D31CE94" w14:textId="6190FCE3" w:rsidR="00670393" w:rsidRDefault="00670393" w:rsidP="00670393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29006C99" w14:textId="77777777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7.140 Occupation and diet</w:t>
      </w:r>
    </w:p>
    <w:p w14:paraId="5F98E178" w14:textId="283D7714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Do various occupational groups differ in their diets? A British study of this question compared 98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drivers and 83 conductors of London double-decker buses.48 The conductors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’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jobs require more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physical activity. The article reporting the study gives the data as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sz w:val="21"/>
          <w:szCs w:val="21"/>
        </w:rPr>
        <w:t>Mean daily consumption (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±</w:t>
      </w:r>
      <w:r>
        <w:rPr>
          <w:rFonts w:ascii="TimesNewRomanPSMT" w:eastAsia="TimesNewRomanPSMT" w:hAnsi="TimesNewRomanPS-BoldMT" w:cs="TimesNewRomanPSMT"/>
          <w:sz w:val="21"/>
          <w:szCs w:val="21"/>
        </w:rPr>
        <w:t>se).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”</w:t>
      </w:r>
    </w:p>
    <w:p w14:paraId="070EAFE2" w14:textId="77777777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Here are some of the study results:</w:t>
      </w:r>
    </w:p>
    <w:p w14:paraId="440A6C7B" w14:textId="4FC14360" w:rsidR="00101A76" w:rsidRDefault="00101A76" w:rsidP="00101A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7EC9E9A8" wp14:editId="0DB9EE7D">
            <wp:extent cx="3188970" cy="88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184" cy="8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6C83" w14:textId="77777777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5A6F2455" w14:textId="5EF08C8A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(a) What does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sz w:val="21"/>
          <w:szCs w:val="21"/>
        </w:rPr>
        <w:t>se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stand for? Give x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and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s </w:t>
      </w:r>
      <w:r>
        <w:rPr>
          <w:rFonts w:ascii="TimesNewRomanPSMT" w:eastAsia="TimesNewRomanPSMT" w:hAnsi="TimesNewRomanPS-BoldMT" w:cs="TimesNewRomanPSMT"/>
          <w:sz w:val="21"/>
          <w:szCs w:val="21"/>
        </w:rPr>
        <w:t>for each of the four sets of measurements.</w:t>
      </w:r>
    </w:p>
    <w:p w14:paraId="7BC007E9" w14:textId="77777777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DBF81CA" w14:textId="3F2B0433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(b) Is there significant evidence at the 5% level that conductors consume more calories per day than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do drivers? Use the two-sample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t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method to give a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P</w:t>
      </w:r>
      <w:r>
        <w:rPr>
          <w:rFonts w:ascii="TimesNewRomanPSMT" w:eastAsia="TimesNewRomanPSMT" w:hAnsi="TimesNewRomanPS-BoldMT" w:cs="TimesNewRomanPSMT"/>
          <w:sz w:val="21"/>
          <w:szCs w:val="21"/>
        </w:rPr>
        <w:t>-value, and then assess significance.</w:t>
      </w:r>
    </w:p>
    <w:p w14:paraId="51AA80F3" w14:textId="77777777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6E2E871" w14:textId="704CE999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(c) How significant is the observed difference in mean alcohol consumption? Use two-sample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t</w:t>
      </w:r>
    </w:p>
    <w:p w14:paraId="69FC0A85" w14:textId="77777777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methods to obtain the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P</w:t>
      </w:r>
      <w:r>
        <w:rPr>
          <w:rFonts w:ascii="TimesNewRomanPSMT" w:eastAsia="TimesNewRomanPSMT" w:hAnsi="TimesNewRomanPS-BoldMT" w:cs="TimesNewRomanPSMT"/>
          <w:sz w:val="21"/>
          <w:szCs w:val="21"/>
        </w:rPr>
        <w:t>-value.</w:t>
      </w:r>
    </w:p>
    <w:p w14:paraId="4EA39F95" w14:textId="77777777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5F0FB30" w14:textId="40565648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(d) Give a 95% confidence interval for the mean daily alcohol consumption of London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double-decker </w:t>
      </w:r>
      <w:r>
        <w:rPr>
          <w:rFonts w:ascii="TimesNewRomanPSMT" w:eastAsia="TimesNewRomanPSMT" w:hAnsi="TimesNewRomanPS-BoldMT" w:cs="TimesNewRomanPSMT"/>
          <w:sz w:val="21"/>
          <w:szCs w:val="21"/>
        </w:rPr>
        <w:t>bus conductors.</w:t>
      </w:r>
    </w:p>
    <w:p w14:paraId="5E31DD1A" w14:textId="77777777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58E10ED1" w14:textId="4B38D435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(e) Give a 99% confidence interval for the difference in mean daily alcohol consumption between</w:t>
      </w:r>
    </w:p>
    <w:p w14:paraId="12428881" w14:textId="4D025279" w:rsidR="00101A76" w:rsidRDefault="00101A76" w:rsidP="00101A7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drivers and conductors.</w:t>
      </w:r>
    </w:p>
    <w:p w14:paraId="53CD61D6" w14:textId="0D97F1C8" w:rsidR="00670393" w:rsidRDefault="00670393" w:rsidP="00670393"/>
    <w:sectPr w:rsidR="0067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93"/>
    <w:rsid w:val="00101A76"/>
    <w:rsid w:val="001671F5"/>
    <w:rsid w:val="0067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12F5"/>
  <w15:chartTrackingRefBased/>
  <w15:docId w15:val="{0438F96E-6652-4246-8974-CFFFF0F9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Khatod</dc:creator>
  <cp:keywords/>
  <dc:description/>
  <cp:lastModifiedBy>Nandini Khatod</cp:lastModifiedBy>
  <cp:revision>1</cp:revision>
  <dcterms:created xsi:type="dcterms:W3CDTF">2019-12-19T22:56:00Z</dcterms:created>
  <dcterms:modified xsi:type="dcterms:W3CDTF">2019-12-19T23:14:00Z</dcterms:modified>
</cp:coreProperties>
</file>