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3D15" w14:textId="190551F6" w:rsidR="001671F5" w:rsidRDefault="00505F34" w:rsidP="00505F34">
      <w:pPr>
        <w:jc w:val="center"/>
        <w:rPr>
          <w:b/>
          <w:bCs/>
          <w:sz w:val="36"/>
          <w:szCs w:val="36"/>
        </w:rPr>
      </w:pPr>
      <w:r w:rsidRPr="00505F34">
        <w:rPr>
          <w:b/>
          <w:bCs/>
          <w:sz w:val="36"/>
          <w:szCs w:val="36"/>
        </w:rPr>
        <w:t>Assignment 7</w:t>
      </w:r>
    </w:p>
    <w:p w14:paraId="1B8A0B48" w14:textId="77777777" w:rsidR="00505F34" w:rsidRDefault="00505F34" w:rsidP="00505F34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8.58</w:t>
      </w:r>
    </w:p>
    <w:p w14:paraId="2EEDD6D1" w14:textId="10997C6B" w:rsidR="00505F34" w:rsidRDefault="00505F34" w:rsidP="00505F34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8.71</w:t>
      </w:r>
    </w:p>
    <w:p w14:paraId="7556DA7A" w14:textId="77777777" w:rsidR="00505F34" w:rsidRDefault="00505F34" w:rsidP="00505F34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9.37</w:t>
      </w:r>
    </w:p>
    <w:p w14:paraId="20087042" w14:textId="77777777" w:rsidR="00505F34" w:rsidRDefault="00505F34" w:rsidP="00505F34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9.41</w:t>
      </w:r>
    </w:p>
    <w:p w14:paraId="7EC76A37" w14:textId="77777777" w:rsidR="00505F34" w:rsidRDefault="00505F34" w:rsidP="00505F34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9.50</w:t>
      </w:r>
    </w:p>
    <w:p w14:paraId="7C260C3A" w14:textId="4342C2CE" w:rsidR="00505F34" w:rsidRDefault="00505F34" w:rsidP="00505F34">
      <w:pPr>
        <w:rPr>
          <w:b/>
          <w:bCs/>
          <w:sz w:val="36"/>
          <w:szCs w:val="36"/>
        </w:rPr>
      </w:pPr>
    </w:p>
    <w:p w14:paraId="7D4DFEB1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8.58 Teeth and military service.</w:t>
      </w:r>
    </w:p>
    <w:p w14:paraId="3CC58FF3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430BF2B" w14:textId="30AB7573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In 1898 the United States and Spain fought a war over the U.S. intervention in the Cuban War of</w:t>
      </w:r>
    </w:p>
    <w:p w14:paraId="64BB46D4" w14:textId="2AF5A35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Independence. At that time the U.S. military was concerned about the nutrition of its recruits. Many did not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have a </w:t>
      </w:r>
      <w:proofErr w:type="gramStart"/>
      <w:r>
        <w:rPr>
          <w:rFonts w:ascii="TimesNewRomanPSMT" w:eastAsia="TimesNewRomanPSMT" w:hAnsi="TimesNewRomanPS-BoldMT" w:cs="TimesNewRomanPSMT"/>
          <w:sz w:val="21"/>
          <w:szCs w:val="21"/>
        </w:rPr>
        <w:t>sufficient number of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teeth to chew the food provided to soldiers. As a result, it was likely that they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would be undernourished and unable to fulfill their duties as soldiers. The requirements at that time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specified that a recruit must have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at least four sound double teeth, one above and one below on each side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of the mouth, and so opposed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so that they could chew food. Of the 58,952 recruits who were under the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age of 20,68 were rejected for this reason. For the 43,786 recruits who were 40 or over, 3801 were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rejected</w:t>
      </w:r>
      <w:r>
        <w:rPr>
          <w:rFonts w:ascii="TimesNewRomanPSMT" w:eastAsia="TimesNewRomanPSMT" w:hAnsi="TimesNewRomanPS-BoldMT" w:cs="TimesNewRomanPSMT"/>
          <w:sz w:val="21"/>
          <w:szCs w:val="21"/>
        </w:rPr>
        <w:t>.</w:t>
      </w:r>
    </w:p>
    <w:p w14:paraId="2C880F0F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F991E76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Find the proportion of rejects for each age group.</w:t>
      </w:r>
    </w:p>
    <w:p w14:paraId="43769B00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03280D7" w14:textId="7AB66CBD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Find a 99% confidence interval for the difference in the proportions.</w:t>
      </w:r>
    </w:p>
    <w:p w14:paraId="05D8C38E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9C71366" w14:textId="1ECE761B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Use a significance test to compare the proportions. Write a short paragraph describing your results and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conclusions.</w:t>
      </w:r>
    </w:p>
    <w:p w14:paraId="5271C9F3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338385E" w14:textId="1D3A9736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(d) Are the guidelines for the use of the large-sample approach satisfied for your work in part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proofErr w:type="gramStart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  </w:t>
      </w:r>
      <w:r>
        <w:rPr>
          <w:rFonts w:ascii="TimesNewRomanPSMT" w:eastAsia="TimesNewRomanPSMT" w:hAnsi="TimesNewRomanPS-BoldMT" w:cs="TimesNewRomanPSMT"/>
          <w:sz w:val="21"/>
          <w:szCs w:val="21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>b) and (c)?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Explain your answers.</w:t>
      </w:r>
    </w:p>
    <w:p w14:paraId="6BC7BC45" w14:textId="688E921C" w:rsidR="00505F34" w:rsidRDefault="00505F34">
      <w:pPr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br w:type="page"/>
      </w:r>
    </w:p>
    <w:p w14:paraId="1E9AEDAF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lastRenderedPageBreak/>
        <w:t>8.71 Gender bias in textbooks.</w:t>
      </w:r>
    </w:p>
    <w:p w14:paraId="68330DD1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F8E6D8F" w14:textId="41E1E0EE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To what extent do syntax textbooks, which analyze the structure of sentences, illustrate gender bias? A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study of this question sampled sentences from 10 texts.23 One part of the study examined the use of the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words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girl,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boy,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man,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and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woman.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We will call the first two words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juvenile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and the last two </w:t>
      </w:r>
      <w:proofErr w:type="gramStart"/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adult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>.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Is the proportion of female references that are juvenile (girl) equal to the proportion of male references that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are juvenile (boy)? Here are data from one of the texts:</w:t>
      </w:r>
    </w:p>
    <w:p w14:paraId="29EFE318" w14:textId="4B7F3F3C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1E6E1EB1" wp14:editId="20648641">
            <wp:extent cx="1891145" cy="7984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0550" cy="8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</w:p>
    <w:p w14:paraId="6BA9AF8B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A267ADD" w14:textId="5CE3CB02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Find the proportion of juvenile references for females and its standard error. Do the same for the males.</w:t>
      </w:r>
    </w:p>
    <w:p w14:paraId="5ACA362F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14449FA" w14:textId="67C06406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Give a 90% confidence interval for the difference and briefly summarize what the data show.</w:t>
      </w:r>
    </w:p>
    <w:p w14:paraId="456D93F1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0881D81" w14:textId="17D16429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Use a test of significance to examine whether the two proportions are equal.</w:t>
      </w:r>
    </w:p>
    <w:p w14:paraId="56FC4A0A" w14:textId="27B156F9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5962532A" w14:textId="4AD5437E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5A1450C4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9.37 Health care fraud</w:t>
      </w:r>
    </w:p>
    <w:p w14:paraId="273438CA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36347EC2" w14:textId="586B4B4A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>Most errors in billing insurance providers for health care services involve honest mistakes by</w:t>
      </w:r>
    </w:p>
    <w:p w14:paraId="16EFAD86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>patients, physicians, or others involved in the health care system. However, fraud is a serious</w:t>
      </w:r>
    </w:p>
    <w:p w14:paraId="7F7BFBDC" w14:textId="00F6739F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>problem. The National Health Care Anti-</w:t>
      </w:r>
      <w:proofErr w:type="gramStart"/>
      <w:r>
        <w:rPr>
          <w:rFonts w:ascii="TimesNewRomanPSMT" w:eastAsia="TimesNewRomanPSMT" w:cs="TimesNewRomanPSMT"/>
          <w:color w:val="000000"/>
          <w:sz w:val="21"/>
          <w:szCs w:val="21"/>
        </w:rPr>
        <w:t>fraud</w:t>
      </w:r>
      <w:proofErr w:type="gramEnd"/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Association estimates that approximately $68 billion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is lost to health care fraud each year.15 When fraud is suspected, an audit of randomly selected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billings is often conducted. The selected claims are then reviewed by experts, and each claim is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classified as allowed or not allowed. The distributions of the amounts of claims are frequently highly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skewed, with </w:t>
      </w:r>
      <w:proofErr w:type="gramStart"/>
      <w:r>
        <w:rPr>
          <w:rFonts w:ascii="TimesNewRomanPSMT" w:eastAsia="TimesNewRomanPSMT" w:cs="TimesNewRomanPSMT"/>
          <w:color w:val="000000"/>
          <w:sz w:val="21"/>
          <w:szCs w:val="21"/>
        </w:rPr>
        <w:t>a large number of</w:t>
      </w:r>
      <w:proofErr w:type="gramEnd"/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small claims and a small number of large claims. Since simple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random sampling would likely be overwhelmed by small claims and would tend to miss the large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claims, stratification is often used. See the section on stratified sampling in Chapter 3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.</w:t>
      </w:r>
    </w:p>
    <w:p w14:paraId="6616DCF5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</w:p>
    <w:p w14:paraId="31F1372C" w14:textId="5EA6ACE1" w:rsidR="00505F34" w:rsidRP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>Here are data from an audit that used three strata based on the sizes of the claims (small, medium,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and large):</w:t>
      </w:r>
    </w:p>
    <w:p w14:paraId="619D2769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8F4968" wp14:editId="47DA5DB3">
            <wp:extent cx="2999509" cy="8716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068" cy="8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</w:p>
    <w:p w14:paraId="7A5681E0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</w:p>
    <w:p w14:paraId="02D8889D" w14:textId="64FDDEBA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(a) Construct the 3 </w:t>
      </w:r>
      <w:r>
        <w:rPr>
          <w:rFonts w:ascii="TimesNewRomanPSMT" w:eastAsia="TimesNewRomanPSMT" w:cs="TimesNewRomanPSMT" w:hint="eastAsia"/>
          <w:color w:val="000000"/>
          <w:sz w:val="21"/>
          <w:szCs w:val="21"/>
        </w:rPr>
        <w:t>×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2 table of counts for these data that includes the marginal totals.</w:t>
      </w:r>
    </w:p>
    <w:p w14:paraId="0AF3412C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</w:p>
    <w:p w14:paraId="47FD94E0" w14:textId="63C15553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>(b) Find the percent of claims that were not allowed in each of the three strata.</w:t>
      </w:r>
    </w:p>
    <w:p w14:paraId="006B43F2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</w:p>
    <w:p w14:paraId="664524CD" w14:textId="3117FDAB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>(c) To perform a significance test, combine the medium and large strata. Explain why we do this.</w:t>
      </w:r>
    </w:p>
    <w:p w14:paraId="3FDF9F4A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</w:p>
    <w:p w14:paraId="05A1ABA3" w14:textId="2E1A3E95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>(d) State an appropriate null hypothesis to be tested for these data.</w:t>
      </w:r>
    </w:p>
    <w:p w14:paraId="602E04E1" w14:textId="77777777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</w:p>
    <w:p w14:paraId="728B2797" w14:textId="6B46C4E6" w:rsidR="00505F34" w:rsidRDefault="00505F34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(e) Perform the significance test and report your test statistic with degrees of freedom and the </w:t>
      </w:r>
      <w:proofErr w:type="spellStart"/>
      <w:r>
        <w:rPr>
          <w:rFonts w:ascii="TimesNewRomanPS-ItalicMT" w:eastAsia="TimesNewRomanPS-ItalicMT" w:cs="TimesNewRomanPS-ItalicMT"/>
          <w:i/>
          <w:iCs/>
          <w:color w:val="000000"/>
          <w:sz w:val="21"/>
          <w:szCs w:val="21"/>
        </w:rPr>
        <w:t>P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value</w:t>
      </w:r>
      <w:proofErr w:type="spellEnd"/>
      <w:r>
        <w:rPr>
          <w:rFonts w:ascii="TimesNewRomanPSMT" w:eastAsia="TimesNewRomanPSMT" w:cs="TimesNewRomanPSMT"/>
          <w:color w:val="000000"/>
          <w:sz w:val="21"/>
          <w:szCs w:val="21"/>
        </w:rPr>
        <w:t>.</w:t>
      </w:r>
      <w:r>
        <w:rPr>
          <w:rFonts w:ascii="TimesNewRomanPSMT" w:eastAsia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1"/>
          <w:szCs w:val="21"/>
        </w:rPr>
        <w:t>State your conclusion.</w:t>
      </w:r>
    </w:p>
    <w:p w14:paraId="14FC95F5" w14:textId="391188C8" w:rsidR="00462920" w:rsidRDefault="00462920" w:rsidP="00505F3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1"/>
          <w:szCs w:val="21"/>
        </w:rPr>
      </w:pPr>
    </w:p>
    <w:p w14:paraId="371B051D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9.41 When do Canadian students enter private career colleges?</w:t>
      </w:r>
    </w:p>
    <w:p w14:paraId="68C4843C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229FF717" w14:textId="21738BBD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 survey of 13, 364 Canadian students who enrolled in private career colleges was conducted to</w:t>
      </w:r>
    </w:p>
    <w:p w14:paraId="67793D2E" w14:textId="5611E2F0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understand student participation in the private postsecondary educational system.19 In one part of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the survey, students were asked about their field of study and about when they entered college. </w:t>
      </w:r>
    </w:p>
    <w:p w14:paraId="312CEB4C" w14:textId="0FB5F86C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R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esults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proofErr w:type="gram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Attached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: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CANF</w:t>
      </w:r>
    </w:p>
    <w:p w14:paraId="224C6ADA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6E1413BF" w14:textId="073BF5AC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In th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table, the second column gives the number of students in each field of study. The next two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columns give the marginal distribution of time of entry for each field of study.</w:t>
      </w:r>
    </w:p>
    <w:p w14:paraId="290FC788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3466DA4" w14:textId="68ABFCD8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(a) Use the data provided to make the 6 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×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2 table of counts for this problem.</w:t>
      </w:r>
    </w:p>
    <w:p w14:paraId="3EE8CB33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FE8EBBF" w14:textId="5D6676CF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Analyze the data.</w:t>
      </w:r>
    </w:p>
    <w:p w14:paraId="34938910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0B94402" w14:textId="7FF1B493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Write a summary of your conclusions. Be sure to include the results of your significance testing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as well as a graphical summary.</w:t>
      </w:r>
    </w:p>
    <w:p w14:paraId="76A97B69" w14:textId="5EF06FD7" w:rsidR="00462920" w:rsidRDefault="00462920">
      <w:pPr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br w:type="page"/>
      </w:r>
    </w:p>
    <w:p w14:paraId="0E7FCA42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lastRenderedPageBreak/>
        <w:t>9.50 Goodness of fit to a standard Normal distribution</w:t>
      </w:r>
    </w:p>
    <w:p w14:paraId="145A4D59" w14:textId="77777777" w:rsid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8FF7F52" w14:textId="32258D90" w:rsidR="00462920" w:rsidRPr="00462920" w:rsidRDefault="00462920" w:rsidP="0046292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Computer software generated 500 random numbers that should look as if they are from the standard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Normal distribution. They are categorized into five groups: (1) less than or equal to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−</w:t>
      </w:r>
      <w:r>
        <w:rPr>
          <w:rFonts w:ascii="TimesNewRomanPSMT" w:eastAsia="TimesNewRomanPSMT" w:hAnsi="TimesNewRomanPS-BoldMT" w:cs="TimesNewRomanPSMT"/>
          <w:sz w:val="21"/>
          <w:szCs w:val="21"/>
        </w:rPr>
        <w:t>0.6; (2) greater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than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−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0.6 and less than or equal to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−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0.1; (3) greater than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−</w:t>
      </w:r>
      <w:r>
        <w:rPr>
          <w:rFonts w:ascii="TimesNewRomanPSMT" w:eastAsia="TimesNewRomanPSMT" w:hAnsi="TimesNewRomanPS-BoldMT" w:cs="TimesNewRomanPSMT"/>
          <w:sz w:val="21"/>
          <w:szCs w:val="21"/>
        </w:rPr>
        <w:t>0.1 and less than or equal to 0.1; (4)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greater than 0.1 and less than or equal to 0.6; and (5) greater than 0.6. The counts in the five groups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are 139, 102, 41, 78, and 140, respectively. Find the probabilities for these five intervals using Table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A. Then compute the expected number for each interval for a sample of 500. Finally, perform the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NewRomanPSMT" w:eastAsia="TimesNewRomanPSMT" w:hAnsi="TimesNewRomanPS-BoldMT" w:cs="TimesNewRomanPSMT"/>
          <w:sz w:val="21"/>
          <w:szCs w:val="21"/>
        </w:rPr>
        <w:t>goodness-of-fit test and summarize your results.</w:t>
      </w:r>
    </w:p>
    <w:sectPr w:rsidR="00462920" w:rsidRPr="0046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34"/>
    <w:rsid w:val="001671F5"/>
    <w:rsid w:val="00462920"/>
    <w:rsid w:val="0050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2054"/>
  <w15:chartTrackingRefBased/>
  <w15:docId w15:val="{11C977A1-7F42-49AD-872C-B4CAEA3E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Khatod</dc:creator>
  <cp:keywords/>
  <dc:description/>
  <cp:lastModifiedBy>Nandini Khatod</cp:lastModifiedBy>
  <cp:revision>1</cp:revision>
  <dcterms:created xsi:type="dcterms:W3CDTF">2019-12-19T23:27:00Z</dcterms:created>
  <dcterms:modified xsi:type="dcterms:W3CDTF">2019-12-19T23:42:00Z</dcterms:modified>
</cp:coreProperties>
</file>