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6B" w:val="clear"/>
            <w:tcMar>
              <w:top w:type="dxa" w:w="200"/>
              <w:left w:type="dxa" w:w="320"/>
              <w:bottom w:type="dxa" w:w="160"/>
              <w:right w:type="dxa" w:w="320"/>
            </w:tcMar>
          </w:tcPr>
          <w:p>
            <w:pPr>
              <w:spacing w:before="0" w:after="70"/>
              <w:jc w:val="center"/>
            </w:pPr>
            <w:r>
              <w:rPr>
                <w:rFonts w:ascii="Arial" w:cs="Arial" w:eastAsia="Arial" w:hAnsi="Arial"/>
                <w:b/>
                <w:bCs/>
                <w:caps/>
                <w:color w:val="FFFFFF"/>
                <w:spacing w:val="50"/>
                <w:sz w:val="32"/>
                <w:szCs w:val="32"/>
              </w:rPr>
              <w:t xml:space="preserve">TEXAS COLLEGE OF MANAGEMENT AND IT</w:t>
            </w:r>
          </w:p>
          <w:p>
            <w:pPr>
              <w:spacing w:before="0" w:after="0"/>
              <w:jc w:val="center"/>
            </w:pPr>
            <w:r>
              <w:rPr>
                <w:rFonts w:ascii="Arial" w:cs="Arial" w:eastAsia="Arial" w:hAnsi="Arial"/>
                <w:color w:val="A8C4E8"/>
                <w:sz w:val="19"/>
                <w:szCs w:val="19"/>
              </w:rPr>
              <w:t xml:space="preserve">Department of Information Technology  |  Cybersecurity Division</w:t>
            </w:r>
          </w:p>
        </w:tc>
      </w:tr>
      <w:tr>
        <w:tc>
          <w:tcPr>
            <w:tcW w:type="dxa" w:w="9720"/>
            <w:tcBorders>
              <w:top w:val="none" w:color="FFFFFF" w:sz="0"/>
              <w:left w:val="none" w:color="FFFFFF" w:sz="0"/>
              <w:bottom w:val="none" w:color="FFFFFF" w:sz="0"/>
              <w:right w:val="none" w:color="FFFFFF" w:sz="0"/>
            </w:tcBorders>
            <w:shd w:fill="2E5FA3" w:val="clear"/>
            <w:tcMar>
              <w:top w:type="dxa" w:w="110"/>
              <w:left w:type="dxa" w:w="320"/>
              <w:bottom w:type="dxa" w:w="110"/>
              <w:right w:type="dxa" w:w="320"/>
            </w:tcMar>
          </w:tcPr>
          <w:p>
            <w:pPr>
              <w:spacing w:before="0" w:after="0"/>
              <w:jc w:val="center"/>
            </w:pPr>
            <w:r>
              <w:rPr>
                <w:rFonts w:ascii="Arial" w:cs="Arial" w:eastAsia="Arial" w:hAnsi="Arial"/>
                <w:b/>
                <w:bCs/>
                <w:color w:val="FFFFFF"/>
                <w:spacing w:val="20"/>
                <w:sz w:val="21"/>
                <w:szCs w:val="21"/>
              </w:rPr>
              <w:t xml:space="preserve">PHISHING AWARENESS &amp; VULNERABILITY ASSESSMENT (PAVA) — SEMESTER 1</w:t>
            </w:r>
          </w:p>
        </w:tc>
      </w:tr>
      <w:tr>
        <w:tc>
          <w:tcPr>
            <w:tcW w:type="dxa" w:w="9720"/>
            <w:tcBorders>
              <w:top w:val="none" w:color="FFFFFF" w:sz="0"/>
              <w:left w:val="none" w:color="FFFFFF" w:sz="0"/>
              <w:bottom w:val="none" w:color="FFFFFF" w:sz="0"/>
              <w:right w:val="none" w:color="FFFFFF" w:sz="0"/>
            </w:tcBorders>
            <w:shd w:fill="F2F5FA" w:val="clear"/>
            <w:tcMar>
              <w:top w:type="dxa" w:w="100"/>
              <w:left w:type="dxa" w:w="320"/>
              <w:bottom w:type="dxa" w:w="100"/>
              <w:right w:type="dxa" w:w="320"/>
            </w:tcMar>
          </w:tcPr>
          <w:p>
            <w:pPr>
              <w:spacing w:before="0" w:after="0"/>
              <w:jc w:val="center"/>
            </w:pPr>
            <w:r>
              <w:rPr>
                <w:rFonts w:ascii="Arial" w:cs="Arial" w:eastAsia="Arial" w:hAnsi="Arial"/>
                <w:color w:val="4A7FC1"/>
                <w:sz w:val="18"/>
                <w:szCs w:val="18"/>
              </w:rPr>
              <w:t xml:space="preserve">Formal Proposal &amp; Permission Request  |  Prepared: March 19, 2026  |  Classification: INTERNAL / CONFIDENTIAL</w:t>
            </w:r>
          </w:p>
        </w:tc>
      </w:tr>
    </w:tbl>
    <w:p>
      <w:pPr>
        <w:spacing w:before="2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1</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TITLE &amp; HEADER</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C8D8" w:sz="1"/>
              <w:left w:val="single" w:color="C0C8D8" w:sz="1"/>
              <w:bottom w:val="single" w:color="C0C8D8" w:sz="1"/>
              <w:right w:val="single" w:color="C0C8D8" w:sz="1"/>
            </w:tcBorders>
            <w:shd w:fill="F2F5FA" w:val="clear"/>
            <w:tcMar>
              <w:top w:type="dxa" w:w="180"/>
              <w:left w:type="dxa" w:w="240"/>
              <w:bottom w:type="dxa" w:w="180"/>
              <w:right w:type="dxa" w:w="240"/>
            </w:tcMar>
          </w:tcPr>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50"/>
                  </w:pPr>
                  <w:r>
                    <w:rPr>
                      <w:rFonts w:ascii="Arial" w:cs="Arial" w:eastAsia="Arial" w:hAnsi="Arial"/>
                      <w:b/>
                      <w:bCs/>
                      <w:color w:val="1B3A6B"/>
                      <w:sz w:val="19"/>
                      <w:szCs w:val="19"/>
                    </w:rPr>
                    <w:t xml:space="preserve">TO:</w:t>
                  </w:r>
                </w:p>
                <w:p>
                  <w:pPr>
                    <w:spacing w:after="40"/>
                  </w:pPr>
                  <w:r>
                    <w:rPr>
                      <w:rFonts w:ascii="Arial" w:cs="Arial" w:eastAsia="Arial" w:hAnsi="Arial"/>
                      <w:b/>
                      <w:bCs/>
                      <w:color w:val="3A3A3A"/>
                      <w:sz w:val="21"/>
                      <w:szCs w:val="21"/>
                    </w:rPr>
                    <w:t xml:space="preserve">Head of IT Department</w:t>
                  </w:r>
                </w:p>
                <w:p>
                  <w:pPr>
                    <w:spacing w:after="0"/>
                  </w:pPr>
                  <w:r>
                    <w:rPr>
                      <w:rFonts w:ascii="Arial" w:cs="Arial" w:eastAsia="Arial" w:hAnsi="Arial"/>
                      <w:color w:val="3A3A3A"/>
                      <w:sz w:val="20"/>
                      <w:szCs w:val="20"/>
                    </w:rPr>
                    <w:t xml:space="preserve">Texas College of Management and IT</w:t>
                  </w:r>
                </w:p>
              </w:tc>
              <w:tc>
                <w:tcPr>
                  <w:tcW w:type="dxa" w:w="462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50"/>
                  </w:pPr>
                  <w:r>
                    <w:rPr>
                      <w:rFonts w:ascii="Arial" w:cs="Arial" w:eastAsia="Arial" w:hAnsi="Arial"/>
                      <w:b/>
                      <w:bCs/>
                      <w:color w:val="1B3A6B"/>
                      <w:sz w:val="19"/>
                      <w:szCs w:val="19"/>
                    </w:rPr>
                    <w:t xml:space="preserve">FROM:</w:t>
                  </w:r>
                </w:p>
                <w:p>
                  <w:pPr>
                    <w:spacing w:after="40"/>
                  </w:pPr>
                  <w:r>
                    <w:rPr>
                      <w:rFonts w:ascii="Arial" w:cs="Arial" w:eastAsia="Arial" w:hAnsi="Arial"/>
                      <w:b/>
                      <w:bCs/>
                      <w:color w:val="3A3A3A"/>
                      <w:sz w:val="21"/>
                      <w:szCs w:val="21"/>
                    </w:rPr>
                    <w:t xml:space="preserve">Miraj Prasai</w:t>
                  </w:r>
                </w:p>
                <w:p>
                  <w:pPr>
                    <w:spacing w:after="0"/>
                  </w:pPr>
                  <w:r>
                    <w:rPr>
                      <w:rFonts w:ascii="Arial" w:cs="Arial" w:eastAsia="Arial" w:hAnsi="Arial"/>
                      <w:color w:val="3A3A3A"/>
                      <w:sz w:val="20"/>
                      <w:szCs w:val="20"/>
                    </w:rPr>
                    <w:t xml:space="preserve">1st Semester, Section A</w:t>
                  </w:r>
                </w:p>
              </w:tc>
            </w:tr>
          </w:tbl>
          <w:p>
            <w:pPr>
              <w:spacing w:before="120" w:after="0"/>
            </w:pPr>
            <w:r>
              <w:t xml:space="preserve"/>
            </w:r>
          </w:p>
          <w:p>
            <w:pPr>
              <w:pBdr>
                <w:bottom w:val="single" w:color="D6E0EF" w:sz="3" w:space="1"/>
              </w:pBdr>
              <w:spacing w:before="0" w:after="0"/>
            </w:pPr>
            <w:r>
              <w:t xml:space="preserve"/>
            </w:r>
          </w:p>
          <w:p>
            <w:pPr>
              <w:spacing w:before="12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50"/>
                  </w:pPr>
                  <w:r>
                    <w:rPr>
                      <w:rFonts w:ascii="Arial" w:cs="Arial" w:eastAsia="Arial" w:hAnsi="Arial"/>
                      <w:b/>
                      <w:bCs/>
                      <w:color w:val="1B3A6B"/>
                      <w:sz w:val="19"/>
                      <w:szCs w:val="19"/>
                    </w:rPr>
                    <w:t xml:space="preserve">DATE:</w:t>
                  </w:r>
                </w:p>
                <w:p>
                  <w:pPr>
                    <w:spacing w:after="0"/>
                  </w:pPr>
                  <w:r>
                    <w:rPr>
                      <w:rFonts w:ascii="Arial" w:cs="Arial" w:eastAsia="Arial" w:hAnsi="Arial"/>
                      <w:color w:val="3A3A3A"/>
                      <w:sz w:val="20"/>
                      <w:szCs w:val="20"/>
                    </w:rPr>
                    <w:t xml:space="preserve">March 19, 2026</w:t>
                  </w:r>
                </w:p>
              </w:tc>
              <w:tc>
                <w:tcPr>
                  <w:tcW w:type="dxa" w:w="462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50"/>
                  </w:pPr>
                  <w:r>
                    <w:rPr>
                      <w:rFonts w:ascii="Arial" w:cs="Arial" w:eastAsia="Arial" w:hAnsi="Arial"/>
                      <w:b/>
                      <w:bCs/>
                      <w:color w:val="1B3A6B"/>
                      <w:sz w:val="19"/>
                      <w:szCs w:val="19"/>
                    </w:rPr>
                    <w:t xml:space="preserve">SUBJECT:</w:t>
                  </w:r>
                </w:p>
                <w:p>
                  <w:pPr>
                    <w:spacing w:after="0"/>
                  </w:pPr>
                  <w:r>
                    <w:rPr>
                      <w:rFonts w:ascii="Arial" w:cs="Arial" w:eastAsia="Arial" w:hAnsi="Arial"/>
                      <w:b/>
                      <w:bCs/>
                      <w:color w:val="3A3A3A"/>
                      <w:sz w:val="20"/>
                      <w:szCs w:val="20"/>
                    </w:rPr>
                    <w:t xml:space="preserve">Permission to Conduct Phishing Awareness &amp; Vulnerability Assessment (PAVA) – Semester 1</w:t>
                  </w:r>
                </w:p>
              </w:tc>
            </w:tr>
          </w:tbl>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6600"/>
      </w:tblGrid>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Project Title</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Phishing Awareness &amp; Vulnerability Assessment (PAVA) – Semester 1</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Lead Auditor</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Miraj Prasai  |  1st Semester, Section A</w:t>
            </w:r>
          </w:p>
        </w:tc>
      </w:tr>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Supervising Department</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Information Technology (IT)</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Target Group</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1st Semester Students  (N = 200)</w:t>
            </w:r>
          </w:p>
        </w:tc>
      </w:tr>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Email</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mirajprasai@gmail.com</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Contact No.</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+977-9768384151</w:t>
            </w:r>
          </w:p>
        </w:tc>
      </w:tr>
    </w:tbl>
    <w:p>
      <w:pPr>
        <w:spacing w:before="320" w:after="0"/>
      </w:pPr>
      <w:r>
        <w:t xml:space="preserve"/>
      </w:r>
    </w:p>
    <w:p>
      <w:pPr>
        <w:spacing w:before="0" w:after="200" w:line="320"/>
        <w:jc w:val="both"/>
      </w:pPr>
      <w:r>
        <w:rPr>
          <w:rFonts w:ascii="Arial" w:cs="Arial" w:eastAsia="Arial" w:hAnsi="Arial"/>
          <w:b/>
          <w:bCs/>
          <w:color w:val="3A3A3A"/>
          <w:sz w:val="22"/>
          <w:szCs w:val="22"/>
        </w:rPr>
        <w:t xml:space="preserve">Respected Sir/Madam,</w:t>
      </w:r>
    </w:p>
    <w:p>
      <w:pPr>
        <w:spacing w:before="0" w:after="160" w:line="320"/>
        <w:jc w:val="both"/>
      </w:pPr>
      <w:r>
        <w:rPr>
          <w:rFonts w:ascii="Arial" w:cs="Arial" w:eastAsia="Arial" w:hAnsi="Arial"/>
          <w:b w:val="false"/>
          <w:bCs w:val="false"/>
          <w:color w:val="3A3A3A"/>
          <w:sz w:val="22"/>
          <w:szCs w:val="22"/>
        </w:rPr>
        <w:t xml:space="preserve">With due respect, I, Miraj Prasai, a 1st Semester student from Section A at Texas College of Management and IT, would like to formally request your permission and guidance to conduct a structured cybersecurity assessment titled the Phishing Awareness &amp; Vulnerability Assessment (PAVA) — Semester 1. This campaign will be executed in a controlled, ethical, and fully transparent manner, under the direct supervision of the IT Department.</w:t>
      </w:r>
    </w:p>
    <w:p>
      <w:pPr>
        <w:spacing w:before="0" w:after="160" w:line="320"/>
        <w:jc w:val="both"/>
      </w:pPr>
      <w:r>
        <w:rPr>
          <w:rFonts w:ascii="Arial" w:cs="Arial" w:eastAsia="Arial" w:hAnsi="Arial"/>
          <w:b w:val="false"/>
          <w:bCs w:val="false"/>
          <w:color w:val="3A3A3A"/>
          <w:sz w:val="22"/>
          <w:szCs w:val="22"/>
        </w:rPr>
        <w:t xml:space="preserve">This proposal provides a comprehensive overview of the project's objectives, scope, technical methodology, deployment timeline, success metrics, and resource requirements, in accordance with best practices in academic cybersecurity research.</w:t>
      </w:r>
    </w:p>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2</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OBJECTIVE  —  THE "WHY"</w:t>
            </w:r>
          </w:p>
        </w:tc>
      </w:tr>
    </w:tbl>
    <w:p>
      <w:pPr>
        <w:spacing w:before="160" w:after="0"/>
      </w:pPr>
      <w:r>
        <w:t xml:space="preserve"/>
      </w:r>
    </w:p>
    <w:p>
      <w:pPr>
        <w:spacing w:before="0" w:after="160" w:line="320"/>
        <w:jc w:val="both"/>
      </w:pPr>
      <w:r>
        <w:rPr>
          <w:rFonts w:ascii="Arial" w:cs="Arial" w:eastAsia="Arial" w:hAnsi="Arial"/>
          <w:b w:val="false"/>
          <w:bCs w:val="false"/>
          <w:color w:val="3A3A3A"/>
          <w:sz w:val="22"/>
          <w:szCs w:val="22"/>
        </w:rPr>
        <w:t xml:space="preserve">The PAVA campaign is designed to address a critical gap in first-semester student cybersecurity preparedness. The specific objectives are:</w:t>
      </w:r>
    </w:p>
    <w:p>
      <w:pPr>
        <w:spacing w:before="80" w:after="0"/>
      </w:pPr>
      <w:r>
        <w:t xml:space="preserve"/>
      </w:r>
    </w:p>
    <w:p>
      <w:pPr>
        <w:pStyle w:val="ListParagraph"/>
        <w:numPr>
          <w:ilvl w:val="0"/>
          <w:numId w:val="2"/>
        </w:numPr>
        <w:spacing w:before="50" w:after="80" w:line="300"/>
      </w:pPr>
      <w:r>
        <w:rPr>
          <w:rFonts w:ascii="Arial" w:cs="Arial" w:eastAsia="Arial" w:hAnsi="Arial"/>
          <w:color w:val="3A3A3A"/>
          <w:sz w:val="22"/>
          <w:szCs w:val="22"/>
        </w:rPr>
        <w:t xml:space="preserve">To evaluate the baseline cybersecurity awareness of incoming 1st Semester students at Texas College of Management and IT</w:t>
      </w:r>
    </w:p>
    <w:p>
      <w:pPr>
        <w:pStyle w:val="ListParagraph"/>
        <w:numPr>
          <w:ilvl w:val="0"/>
          <w:numId w:val="2"/>
        </w:numPr>
        <w:spacing w:before="50" w:after="80" w:line="300"/>
      </w:pPr>
      <w:r>
        <w:rPr>
          <w:rFonts w:ascii="Arial" w:cs="Arial" w:eastAsia="Arial" w:hAnsi="Arial"/>
          <w:color w:val="3A3A3A"/>
          <w:sz w:val="22"/>
          <w:szCs w:val="22"/>
        </w:rPr>
        <w:t xml:space="preserve">To identify the click-rate susceptibility to academic-themed social engineering attacks — specifically lures themed around Attendance Reports and Exam Eligibility Notifications</w:t>
      </w:r>
    </w:p>
    <w:p>
      <w:pPr>
        <w:pStyle w:val="ListParagraph"/>
        <w:numPr>
          <w:ilvl w:val="0"/>
          <w:numId w:val="2"/>
        </w:numPr>
        <w:spacing w:before="50" w:after="80" w:line="300"/>
      </w:pPr>
      <w:r>
        <w:rPr>
          <w:rFonts w:ascii="Arial" w:cs="Arial" w:eastAsia="Arial" w:hAnsi="Arial"/>
          <w:color w:val="3A3A3A"/>
          <w:sz w:val="22"/>
          <w:szCs w:val="22"/>
        </w:rPr>
        <w:t xml:space="preserve">To provide immediate Just-in-Time (JIT) security training to students who interact with the simulated phishing link, converting a vulnerability moment into a learning experience</w:t>
      </w:r>
    </w:p>
    <w:p>
      <w:pPr>
        <w:pStyle w:val="ListParagraph"/>
        <w:numPr>
          <w:ilvl w:val="0"/>
          <w:numId w:val="2"/>
        </w:numPr>
        <w:spacing w:before="50" w:after="80" w:line="300"/>
      </w:pPr>
      <w:r>
        <w:rPr>
          <w:rFonts w:ascii="Arial" w:cs="Arial" w:eastAsia="Arial" w:hAnsi="Arial"/>
          <w:color w:val="3A3A3A"/>
          <w:sz w:val="22"/>
          <w:szCs w:val="22"/>
        </w:rPr>
        <w:t xml:space="preserve">To generate data-driven insights that will help the IT Department strengthen the college's cybersecurity policies and awareness programs</w:t>
      </w:r>
    </w:p>
    <w:p>
      <w:pPr>
        <w:pStyle w:val="ListParagraph"/>
        <w:numPr>
          <w:ilvl w:val="0"/>
          <w:numId w:val="2"/>
        </w:numPr>
        <w:spacing w:before="50" w:after="80" w:line="300"/>
      </w:pPr>
      <w:r>
        <w:rPr>
          <w:rFonts w:ascii="Arial" w:cs="Arial" w:eastAsia="Arial" w:hAnsi="Arial"/>
          <w:color w:val="3A3A3A"/>
          <w:sz w:val="22"/>
          <w:szCs w:val="22"/>
        </w:rPr>
        <w:t xml:space="preserve">To fulfill the academic requirements of the 1st Semester IT curriculum by applying theoretical cybersecurity concepts in a real-world, supervised assessment scenario</w:t>
      </w:r>
    </w:p>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3</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SCOPE &amp; ETHICS  —  THE "SAFETY"</w:t>
            </w:r>
          </w:p>
        </w:tc>
      </w:tr>
    </w:tbl>
    <w:p>
      <w:pPr>
        <w:spacing w:before="1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0C8D8" w:sz="1"/>
              <w:left w:val="single" w:color="2E5FA3" w:sz="12"/>
              <w:bottom w:val="single" w:color="C0C8D8" w:sz="1"/>
              <w:right w:val="single" w:color="C0C8D8" w:sz="1"/>
            </w:tcBorders>
            <w:shd w:fill="F2F5FA" w:val="clear"/>
            <w:tcMar>
              <w:top w:type="dxa" w:w="120"/>
              <w:left w:type="dxa" w:w="200"/>
              <w:bottom w:type="dxa" w:w="120"/>
              <w:right w:type="dxa" w:w="200"/>
            </w:tcMar>
          </w:tcPr>
          <w:p>
            <w:pPr>
              <w:spacing w:before="0" w:after="0"/>
            </w:pPr>
            <w:r>
              <w:rPr>
                <w:rFonts w:ascii="Arial" w:cs="Arial" w:eastAsia="Arial" w:hAnsi="Arial"/>
                <w:b/>
                <w:bCs/>
                <w:color w:val="1B3A6B"/>
                <w:sz w:val="21"/>
                <w:szCs w:val="21"/>
              </w:rPr>
              <w:t xml:space="preserve">AUTHORIZED LURE:  </w:t>
            </w:r>
            <w:r>
              <w:rPr>
                <w:rFonts w:ascii="Arial" w:cs="Arial" w:eastAsia="Arial" w:hAnsi="Arial"/>
                <w:color w:val="3A3A3A"/>
                <w:sz w:val="21"/>
                <w:szCs w:val="21"/>
              </w:rPr>
              <w:t xml:space="preserve">Simulation of a faculty/attendance notification — specifically themed as an urgent "Attendance &amp; Exam Eligibility Report" from the IT Department or Academic Office.</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FFFFF" w:val="clear"/>
            <w:tcMar>
              <w:top w:type="dxa" w:w="100"/>
              <w:left w:type="dxa" w:w="160"/>
              <w:bottom w:type="dxa" w:w="100"/>
              <w:right w:type="dxa" w:w="120"/>
            </w:tcMar>
          </w:tcPr>
          <w:p>
            <w:r>
              <w:rPr>
                <w:rFonts w:ascii="Arial" w:cs="Arial" w:eastAsia="Arial" w:hAnsi="Arial"/>
                <w:b/>
                <w:bCs/>
                <w:color w:val="1B3A6B"/>
                <w:sz w:val="20"/>
                <w:szCs w:val="20"/>
              </w:rPr>
              <w:t xml:space="preserve">No Passwords or PII Collected — </w:t>
            </w:r>
            <w:r>
              <w:rPr>
                <w:rFonts w:ascii="Arial" w:cs="Arial" w:eastAsia="Arial" w:hAnsi="Arial"/>
                <w:color w:val="3A3A3A"/>
                <w:sz w:val="20"/>
                <w:szCs w:val="20"/>
              </w:rPr>
              <w:t xml:space="preserve">The landing page is designed solely to register a click or submission event. No actual passwords, usernames, student IDs, or any Personally Identifiable Information (PII) will be captured or stored at any stage.</w:t>
            </w:r>
          </w:p>
        </w:tc>
      </w:tr>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2F5FA" w:val="clear"/>
            <w:tcMar>
              <w:top w:type="dxa" w:w="100"/>
              <w:left w:type="dxa" w:w="160"/>
              <w:bottom w:type="dxa" w:w="100"/>
              <w:right w:type="dxa" w:w="120"/>
            </w:tcMar>
          </w:tcPr>
          <w:p>
            <w:r>
              <w:rPr>
                <w:rFonts w:ascii="Arial" w:cs="Arial" w:eastAsia="Arial" w:hAnsi="Arial"/>
                <w:b/>
                <w:bCs/>
                <w:color w:val="1B3A6B"/>
                <w:sz w:val="20"/>
                <w:szCs w:val="20"/>
              </w:rPr>
              <w:t xml:space="preserve">Full Anonymization Before Reporting — </w:t>
            </w:r>
            <w:r>
              <w:rPr>
                <w:rFonts w:ascii="Arial" w:cs="Arial" w:eastAsia="Arial" w:hAnsi="Arial"/>
                <w:color w:val="3A3A3A"/>
                <w:sz w:val="20"/>
                <w:szCs w:val="20"/>
              </w:rPr>
              <w:t xml:space="preserve">All collected data (click counts, response times, device type) will be fully anonymized before any report is submitted to the department. No individual student will be identified in the findings.</w:t>
            </w:r>
          </w:p>
        </w:tc>
      </w:tr>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FFFFF" w:val="clear"/>
            <w:tcMar>
              <w:top w:type="dxa" w:w="100"/>
              <w:left w:type="dxa" w:w="160"/>
              <w:bottom w:type="dxa" w:w="100"/>
              <w:right w:type="dxa" w:w="120"/>
            </w:tcMar>
          </w:tcPr>
          <w:p>
            <w:r>
              <w:rPr>
                <w:rFonts w:ascii="Arial" w:cs="Arial" w:eastAsia="Arial" w:hAnsi="Arial"/>
                <w:b/>
                <w:bCs/>
                <w:color w:val="1B3A6B"/>
                <w:sz w:val="20"/>
                <w:szCs w:val="20"/>
              </w:rPr>
              <w:t xml:space="preserve">Immediate Transparency Post-Click — </w:t>
            </w:r>
            <w:r>
              <w:rPr>
                <w:rFonts w:ascii="Arial" w:cs="Arial" w:eastAsia="Arial" w:hAnsi="Arial"/>
                <w:color w:val="3A3A3A"/>
                <w:sz w:val="20"/>
                <w:szCs w:val="20"/>
              </w:rPr>
              <w:t xml:space="preserve">Participants who click the link are instantly redirected to a 'Teachable Moment' awareness page that discloses the simulation and delivers phishing education.</w:t>
            </w:r>
          </w:p>
        </w:tc>
      </w:tr>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2F5FA" w:val="clear"/>
            <w:tcMar>
              <w:top w:type="dxa" w:w="100"/>
              <w:left w:type="dxa" w:w="160"/>
              <w:bottom w:type="dxa" w:w="100"/>
              <w:right w:type="dxa" w:w="120"/>
            </w:tcMar>
          </w:tcPr>
          <w:p>
            <w:r>
              <w:rPr>
                <w:rFonts w:ascii="Arial" w:cs="Arial" w:eastAsia="Arial" w:hAnsi="Arial"/>
                <w:b/>
                <w:bCs/>
                <w:color w:val="1B3A6B"/>
                <w:sz w:val="20"/>
                <w:szCs w:val="20"/>
              </w:rPr>
              <w:t xml:space="preserve">Strictly Supervised by IT Department — </w:t>
            </w:r>
            <w:r>
              <w:rPr>
                <w:rFonts w:ascii="Arial" w:cs="Arial" w:eastAsia="Arial" w:hAnsi="Arial"/>
                <w:color w:val="3A3A3A"/>
                <w:sz w:val="20"/>
                <w:szCs w:val="20"/>
              </w:rPr>
              <w:t xml:space="preserve">Every phase of this campaign — design, deployment, data collection, and reporting — will operate under the direct authorization and oversight of the IT Department.</w:t>
            </w:r>
          </w:p>
        </w:tc>
      </w:tr>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FFFFF" w:val="clear"/>
            <w:tcMar>
              <w:top w:type="dxa" w:w="100"/>
              <w:left w:type="dxa" w:w="160"/>
              <w:bottom w:type="dxa" w:w="100"/>
              <w:right w:type="dxa" w:w="120"/>
            </w:tcMar>
          </w:tcPr>
          <w:p>
            <w:r>
              <w:rPr>
                <w:rFonts w:ascii="Arial" w:cs="Arial" w:eastAsia="Arial" w:hAnsi="Arial"/>
                <w:b/>
                <w:bCs/>
                <w:color w:val="1B3A6B"/>
                <w:sz w:val="20"/>
                <w:szCs w:val="20"/>
              </w:rPr>
              <w:t xml:space="preserve">Limited Scope — Internal Only — </w:t>
            </w:r>
            <w:r>
              <w:rPr>
                <w:rFonts w:ascii="Arial" w:cs="Arial" w:eastAsia="Arial" w:hAnsi="Arial"/>
                <w:color w:val="3A3A3A"/>
                <w:sz w:val="20"/>
                <w:szCs w:val="20"/>
              </w:rPr>
              <w:t xml:space="preserve">The simulation targets only consenting internal student participants. No external parties will be engaged. The campaign will not interfere with any live college systems or networks.</w:t>
            </w:r>
          </w:p>
        </w:tc>
      </w:tr>
      <w:tr>
        <w:tc>
          <w:tcPr>
            <w:tcW w:type="dxa" w:w="600"/>
            <w:tcBorders>
              <w:top w:val="single" w:color="C0C8D8" w:sz="1"/>
              <w:left w:val="single" w:color="C0C8D8" w:sz="1"/>
              <w:bottom w:val="single" w:color="C0C8D8" w:sz="1"/>
              <w:right w:val="single" w:color="C0C8D8" w:sz="1"/>
            </w:tcBorders>
            <w:shd w:fill="2E5FA3"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single" w:color="C0C8D8" w:sz="1"/>
              <w:left w:val="single" w:color="C0C8D8" w:sz="1"/>
              <w:bottom w:val="single" w:color="C0C8D8" w:sz="1"/>
              <w:right w:val="single" w:color="C0C8D8" w:sz="1"/>
            </w:tcBorders>
            <w:shd w:fill="F2F5FA" w:val="clear"/>
            <w:tcMar>
              <w:top w:type="dxa" w:w="100"/>
              <w:left w:type="dxa" w:w="160"/>
              <w:bottom w:type="dxa" w:w="100"/>
              <w:right w:type="dxa" w:w="120"/>
            </w:tcMar>
          </w:tcPr>
          <w:p>
            <w:r>
              <w:rPr>
                <w:rFonts w:ascii="Arial" w:cs="Arial" w:eastAsia="Arial" w:hAnsi="Arial"/>
                <w:b/>
                <w:bCs/>
                <w:color w:val="1B3A6B"/>
                <w:sz w:val="20"/>
                <w:szCs w:val="20"/>
              </w:rPr>
              <w:t xml:space="preserve">Data Retention &amp; Destruction Policy — </w:t>
            </w:r>
            <w:r>
              <w:rPr>
                <w:rFonts w:ascii="Arial" w:cs="Arial" w:eastAsia="Arial" w:hAnsi="Arial"/>
                <w:color w:val="3A3A3A"/>
                <w:sz w:val="20"/>
                <w:szCs w:val="20"/>
              </w:rPr>
              <w:t xml:space="preserve">All statistical data collected will be used solely for this academic report. Upon submission, data will be securely deleted or archived per the IT Department's instructions.</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4</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TECHNICAL METHODOLOGY  —  THE "HOW"</w:t>
            </w:r>
          </w:p>
        </w:tc>
      </w:tr>
    </w:tbl>
    <w:p>
      <w:pPr>
        <w:spacing w:before="1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6600"/>
      </w:tblGrid>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Attack Vector</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Email-based phishing (SMTP delivery via college-authorized channel)</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The Lure / Pretext</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"Attendance &amp; Exam Eligibility Report" — high-urgency academic notification</w:t>
            </w:r>
          </w:p>
        </w:tc>
      </w:tr>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Infrastructure / Tool</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Custom-built phishing simulation portal (developed as part of IT Department project)</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Landing Page</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Internal 'Teachable Moment' awareness page hosted by IT Department server</w:t>
            </w:r>
          </w:p>
        </w:tc>
      </w:tr>
      <w:tr>
        <w:tc>
          <w:tcPr>
            <w:tcW w:type="dxa" w:w="3120"/>
            <w:tcBorders>
              <w:top w:val="single" w:color="C0C8D8" w:sz="1"/>
              <w:left w:val="single" w:color="C0C8D8" w:sz="1"/>
              <w:bottom w:val="single" w:color="C0C8D8" w:sz="1"/>
              <w:right w:val="single" w:color="C0C8D8" w:sz="1"/>
            </w:tcBorders>
            <w:shd w:fill="D6E0EF" w:val="clear"/>
            <w:tcMar>
              <w:top w:type="dxa" w:w="90"/>
              <w:left w:type="dxa" w:w="140"/>
              <w:bottom w:type="dxa" w:w="90"/>
              <w:right w:type="dxa" w:w="100"/>
            </w:tcMar>
          </w:tcPr>
          <w:p>
            <w:r>
              <w:rPr>
                <w:rFonts w:ascii="Arial" w:cs="Arial" w:eastAsia="Arial" w:hAnsi="Arial"/>
                <w:b/>
                <w:bCs/>
                <w:color w:val="1B3A6B"/>
                <w:sz w:val="20"/>
                <w:szCs w:val="20"/>
              </w:rPr>
              <w:t xml:space="preserve">Data Logged</w:t>
            </w:r>
          </w:p>
        </w:tc>
        <w:tc>
          <w:tcPr>
            <w:tcW w:type="dxa" w:w="66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Click event, timestamp, device type (mobile vs. desktop) — NO credentials</w:t>
            </w:r>
          </w:p>
        </w:tc>
      </w:tr>
      <w:tr>
        <w:tc>
          <w:tcPr>
            <w:tcW w:type="dxa" w:w="312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b/>
                <w:bCs/>
                <w:color w:val="1B3A6B"/>
                <w:sz w:val="20"/>
                <w:szCs w:val="20"/>
              </w:rPr>
              <w:t xml:space="preserve">Link Validity</w:t>
            </w:r>
          </w:p>
        </w:tc>
        <w:tc>
          <w:tcPr>
            <w:tcW w:type="dxa" w:w="66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Active only during campaign window (Day 4–5); deactivated immediately after</w:t>
            </w:r>
          </w:p>
        </w:tc>
      </w:tr>
    </w:tbl>
    <w:p>
      <w:pPr>
        <w:spacing w:before="200" w:after="0"/>
      </w:pPr>
      <w:r>
        <w:t xml:space="preserve"/>
      </w:r>
    </w:p>
    <w:p>
      <w:pPr>
        <w:pBdr>
          <w:bottom w:val="single" w:color="D6E0EF" w:sz="4" w:space="1"/>
        </w:pBdr>
        <w:spacing w:before="180" w:after="80"/>
      </w:pPr>
      <w:r>
        <w:rPr>
          <w:rFonts w:ascii="Arial" w:cs="Arial" w:eastAsia="Arial" w:hAnsi="Arial"/>
          <w:b/>
          <w:bCs/>
          <w:color w:val="1B3A6B"/>
          <w:sz w:val="22"/>
          <w:szCs w:val="22"/>
        </w:rPr>
        <w:t xml:space="preserve">Technical Workflow</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2E5FA3" w:val="clear"/>
            <w:tcMar>
              <w:top w:type="dxa" w:w="90"/>
              <w:left w:type="dxa" w:w="100"/>
              <w:bottom w:type="dxa" w:w="90"/>
              <w:right w:type="dxa" w:w="80"/>
            </w:tcMar>
            <w:vAlign w:val="center"/>
          </w:tcPr>
          <w:p>
            <w:pPr>
              <w:jc w:val="center"/>
            </w:pPr>
            <w:r>
              <w:rPr>
                <w:rFonts w:ascii="Arial" w:cs="Arial" w:eastAsia="Arial" w:hAnsi="Arial"/>
                <w:b/>
                <w:bCs/>
                <w:color w:val="FFFFFF"/>
                <w:sz w:val="20"/>
                <w:szCs w:val="20"/>
              </w:rPr>
              <w:t xml:space="preserve">01</w:t>
            </w:r>
          </w:p>
        </w:tc>
        <w:tc>
          <w:tcPr>
            <w:tcW w:type="dxa" w:w="9240"/>
            <w:tcBorders>
              <w:top w:val="single" w:color="C0C8D8" w:sz="1"/>
              <w:left w:val="none" w:color="FFFFFF" w:sz="0"/>
              <w:bottom w:val="single" w:color="C0C8D8" w:sz="1"/>
              <w:right w:val="single" w:color="C0C8D8" w:sz="1"/>
            </w:tcBorders>
            <w:shd w:fill="F2F5FA" w:val="clear"/>
            <w:tcMar>
              <w:top w:type="dxa" w:w="90"/>
              <w:left w:type="dxa" w:w="160"/>
              <w:bottom w:type="dxa" w:w="90"/>
              <w:right w:type="dxa" w:w="120"/>
            </w:tcMar>
          </w:tcPr>
          <w:p>
            <w:r>
              <w:rPr>
                <w:rFonts w:ascii="Arial" w:cs="Arial" w:eastAsia="Arial" w:hAnsi="Arial"/>
                <w:b w:val="false"/>
                <w:bCs w:val="false"/>
                <w:color w:val="3A3A3A"/>
                <w:sz w:val="20"/>
                <w:szCs w:val="20"/>
              </w:rPr>
              <w:t xml:space="preserve">Phishing email crafted to mimic official IT/Academic notification → </w:t>
            </w:r>
            <w:r>
              <w:rPr>
                <w:rFonts w:ascii="Arial" w:cs="Arial" w:eastAsia="Arial" w:hAnsi="Arial"/>
                <w:b/>
                <w:bCs/>
                <w:color w:val="1B3A6B"/>
                <w:sz w:val="20"/>
                <w:szCs w:val="20"/>
              </w:rPr>
              <w:t xml:space="preserve">sent to 200 student email addresses</w:t>
            </w:r>
          </w:p>
        </w:tc>
      </w:tr>
      <w:tr>
        <w:tc>
          <w:tcPr>
            <w:tcW w:type="dxa" w:w="480"/>
            <w:tcBorders>
              <w:top w:val="none" w:color="FFFFFF" w:sz="0"/>
              <w:left w:val="none" w:color="FFFFFF" w:sz="0"/>
              <w:bottom w:val="none" w:color="FFFFFF" w:sz="0"/>
              <w:right w:val="none" w:color="FFFFFF" w:sz="0"/>
            </w:tcBorders>
            <w:shd w:fill="4A7FC1" w:val="clear"/>
            <w:tcMar>
              <w:top w:type="dxa" w:w="90"/>
              <w:left w:type="dxa" w:w="100"/>
              <w:bottom w:type="dxa" w:w="90"/>
              <w:right w:type="dxa" w:w="80"/>
            </w:tcMar>
            <w:vAlign w:val="center"/>
          </w:tcPr>
          <w:p>
            <w:pPr>
              <w:jc w:val="center"/>
            </w:pPr>
            <w:r>
              <w:rPr>
                <w:rFonts w:ascii="Arial" w:cs="Arial" w:eastAsia="Arial" w:hAnsi="Arial"/>
                <w:b/>
                <w:bCs/>
                <w:color w:val="FFFFFF"/>
                <w:sz w:val="20"/>
                <w:szCs w:val="20"/>
              </w:rPr>
              <w:t xml:space="preserve">02</w:t>
            </w:r>
          </w:p>
        </w:tc>
        <w:tc>
          <w:tcPr>
            <w:tcW w:type="dxa" w:w="9240"/>
            <w:tcBorders>
              <w:top w:val="single" w:color="C0C8D8" w:sz="1"/>
              <w:left w:val="none" w:color="FFFFFF" w:sz="0"/>
              <w:bottom w:val="single" w:color="C0C8D8" w:sz="1"/>
              <w:right w:val="single" w:color="C0C8D8" w:sz="1"/>
            </w:tcBorders>
            <w:shd w:fill="FFFFFF" w:val="clear"/>
            <w:tcMar>
              <w:top w:type="dxa" w:w="90"/>
              <w:left w:type="dxa" w:w="160"/>
              <w:bottom w:type="dxa" w:w="90"/>
              <w:right w:type="dxa" w:w="120"/>
            </w:tcMar>
          </w:tcPr>
          <w:p>
            <w:r>
              <w:rPr>
                <w:rFonts w:ascii="Arial" w:cs="Arial" w:eastAsia="Arial" w:hAnsi="Arial"/>
                <w:b w:val="false"/>
                <w:bCs w:val="false"/>
                <w:color w:val="3A3A3A"/>
                <w:sz w:val="20"/>
                <w:szCs w:val="20"/>
              </w:rPr>
              <w:t xml:space="preserve">Student clicks link → </w:t>
            </w:r>
            <w:r>
              <w:rPr>
                <w:rFonts w:ascii="Arial" w:cs="Arial" w:eastAsia="Arial" w:hAnsi="Arial"/>
                <w:b/>
                <w:bCs/>
                <w:color w:val="1B3A6B"/>
                <w:sz w:val="20"/>
                <w:szCs w:val="20"/>
              </w:rPr>
              <w:t xml:space="preserve">event logged (timestamp, device type)</w:t>
            </w:r>
          </w:p>
        </w:tc>
      </w:tr>
      <w:tr>
        <w:tc>
          <w:tcPr>
            <w:tcW w:type="dxa" w:w="480"/>
            <w:tcBorders>
              <w:top w:val="none" w:color="FFFFFF" w:sz="0"/>
              <w:left w:val="none" w:color="FFFFFF" w:sz="0"/>
              <w:bottom w:val="none" w:color="FFFFFF" w:sz="0"/>
              <w:right w:val="none" w:color="FFFFFF" w:sz="0"/>
            </w:tcBorders>
            <w:shd w:fill="2E5FA3" w:val="clear"/>
            <w:tcMar>
              <w:top w:type="dxa" w:w="90"/>
              <w:left w:type="dxa" w:w="100"/>
              <w:bottom w:type="dxa" w:w="90"/>
              <w:right w:type="dxa" w:w="80"/>
            </w:tcMar>
            <w:vAlign w:val="center"/>
          </w:tcPr>
          <w:p>
            <w:pPr>
              <w:jc w:val="center"/>
            </w:pPr>
            <w:r>
              <w:rPr>
                <w:rFonts w:ascii="Arial" w:cs="Arial" w:eastAsia="Arial" w:hAnsi="Arial"/>
                <w:b/>
                <w:bCs/>
                <w:color w:val="FFFFFF"/>
                <w:sz w:val="20"/>
                <w:szCs w:val="20"/>
              </w:rPr>
              <w:t xml:space="preserve">03</w:t>
            </w:r>
          </w:p>
        </w:tc>
        <w:tc>
          <w:tcPr>
            <w:tcW w:type="dxa" w:w="9240"/>
            <w:tcBorders>
              <w:top w:val="single" w:color="C0C8D8" w:sz="1"/>
              <w:left w:val="none" w:color="FFFFFF" w:sz="0"/>
              <w:bottom w:val="single" w:color="C0C8D8" w:sz="1"/>
              <w:right w:val="single" w:color="C0C8D8" w:sz="1"/>
            </w:tcBorders>
            <w:shd w:fill="F2F5FA" w:val="clear"/>
            <w:tcMar>
              <w:top w:type="dxa" w:w="90"/>
              <w:left w:type="dxa" w:w="160"/>
              <w:bottom w:type="dxa" w:w="90"/>
              <w:right w:type="dxa" w:w="120"/>
            </w:tcMar>
          </w:tcPr>
          <w:p>
            <w:r>
              <w:rPr>
                <w:rFonts w:ascii="Arial" w:cs="Arial" w:eastAsia="Arial" w:hAnsi="Arial"/>
                <w:b w:val="false"/>
                <w:bCs w:val="false"/>
                <w:color w:val="3A3A3A"/>
                <w:sz w:val="20"/>
                <w:szCs w:val="20"/>
              </w:rPr>
              <w:t xml:space="preserve">Student presented with simulated login form → </w:t>
            </w:r>
            <w:r>
              <w:rPr>
                <w:rFonts w:ascii="Arial" w:cs="Arial" w:eastAsia="Arial" w:hAnsi="Arial"/>
                <w:b/>
                <w:bCs/>
                <w:color w:val="1B3A6B"/>
                <w:sz w:val="20"/>
                <w:szCs w:val="20"/>
              </w:rPr>
              <w:t xml:space="preserve">submission event logged (no credentials stored)</w:t>
            </w:r>
          </w:p>
        </w:tc>
      </w:tr>
      <w:tr>
        <w:tc>
          <w:tcPr>
            <w:tcW w:type="dxa" w:w="480"/>
            <w:tcBorders>
              <w:top w:val="none" w:color="FFFFFF" w:sz="0"/>
              <w:left w:val="none" w:color="FFFFFF" w:sz="0"/>
              <w:bottom w:val="none" w:color="FFFFFF" w:sz="0"/>
              <w:right w:val="none" w:color="FFFFFF" w:sz="0"/>
            </w:tcBorders>
            <w:shd w:fill="4A7FC1" w:val="clear"/>
            <w:tcMar>
              <w:top w:type="dxa" w:w="90"/>
              <w:left w:type="dxa" w:w="100"/>
              <w:bottom w:type="dxa" w:w="90"/>
              <w:right w:type="dxa" w:w="80"/>
            </w:tcMar>
            <w:vAlign w:val="center"/>
          </w:tcPr>
          <w:p>
            <w:pPr>
              <w:jc w:val="center"/>
            </w:pPr>
            <w:r>
              <w:rPr>
                <w:rFonts w:ascii="Arial" w:cs="Arial" w:eastAsia="Arial" w:hAnsi="Arial"/>
                <w:b/>
                <w:bCs/>
                <w:color w:val="FFFFFF"/>
                <w:sz w:val="20"/>
                <w:szCs w:val="20"/>
              </w:rPr>
              <w:t xml:space="preserve">04</w:t>
            </w:r>
          </w:p>
        </w:tc>
        <w:tc>
          <w:tcPr>
            <w:tcW w:type="dxa" w:w="9240"/>
            <w:tcBorders>
              <w:top w:val="single" w:color="C0C8D8" w:sz="1"/>
              <w:left w:val="none" w:color="FFFFFF" w:sz="0"/>
              <w:bottom w:val="single" w:color="C0C8D8" w:sz="1"/>
              <w:right w:val="single" w:color="C0C8D8" w:sz="1"/>
            </w:tcBorders>
            <w:shd w:fill="FFFFFF" w:val="clear"/>
            <w:tcMar>
              <w:top w:type="dxa" w:w="90"/>
              <w:left w:type="dxa" w:w="160"/>
              <w:bottom w:type="dxa" w:w="90"/>
              <w:right w:type="dxa" w:w="120"/>
            </w:tcMar>
          </w:tcPr>
          <w:p>
            <w:r>
              <w:rPr>
                <w:rFonts w:ascii="Arial" w:cs="Arial" w:eastAsia="Arial" w:hAnsi="Arial"/>
                <w:b w:val="false"/>
                <w:bCs w:val="false"/>
                <w:color w:val="3A3A3A"/>
                <w:sz w:val="20"/>
                <w:szCs w:val="20"/>
              </w:rPr>
              <w:t xml:space="preserve">Immediate redirect to → </w:t>
            </w:r>
            <w:r>
              <w:rPr>
                <w:rFonts w:ascii="Arial" w:cs="Arial" w:eastAsia="Arial" w:hAnsi="Arial"/>
                <w:b/>
                <w:bCs/>
                <w:color w:val="1B3A6B"/>
                <w:sz w:val="20"/>
                <w:szCs w:val="20"/>
              </w:rPr>
              <w:t xml:space="preserve">"Teachable Moment" page (phishing red flags, prevention tips)</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5</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DEPLOYMENT TIMELINE</w:t>
            </w:r>
          </w:p>
        </w:tc>
      </w:tr>
    </w:tbl>
    <w:p>
      <w:pPr>
        <w:spacing w:before="160" w:after="0"/>
      </w:pPr>
      <w:r>
        <w:t xml:space="preserve"/>
      </w:r>
    </w:p>
    <w:p>
      <w:pPr>
        <w:spacing w:before="0" w:after="160" w:line="320"/>
        <w:jc w:val="both"/>
      </w:pPr>
      <w:r>
        <w:rPr>
          <w:rFonts w:ascii="Arial" w:cs="Arial" w:eastAsia="Arial" w:hAnsi="Arial"/>
          <w:b w:val="false"/>
          <w:bCs w:val="false"/>
          <w:color w:val="3A3A3A"/>
          <w:sz w:val="22"/>
          <w:szCs w:val="22"/>
        </w:rPr>
        <w:t xml:space="preserve">The campaign is designed to be completed within a 6-day window, as follows:</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960"/>
      </w:tblGrid>
      <w:tr>
        <w:trPr>
          <w:tblHeader/>
        </w:trPr>
        <w:tc>
          <w:tcPr>
            <w:tcW w:type="dxa" w:w="140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PHASE / DAY</w:t>
            </w:r>
          </w:p>
        </w:tc>
        <w:tc>
          <w:tcPr>
            <w:tcW w:type="dxa" w:w="436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ACTIVITY</w:t>
            </w:r>
          </w:p>
        </w:tc>
        <w:tc>
          <w:tcPr>
            <w:tcW w:type="dxa" w:w="396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DELIVERABLE / OUTPUT</w:t>
            </w:r>
          </w:p>
        </w:tc>
      </w:tr>
      <w:tr>
        <w:trPr>
          <w:tblHeader w:val="false"/>
        </w:trPr>
        <w:tc>
          <w:tcPr>
            <w:tcW w:type="dxa" w:w="1400"/>
            <w:tcBorders>
              <w:top w:val="single" w:color="C0C8D8" w:sz="1"/>
              <w:left w:val="single" w:color="C0C8D8" w:sz="1"/>
              <w:bottom w:val="single" w:color="C0C8D8" w:sz="1"/>
              <w:right w:val="single" w:color="C0C8D8" w:sz="1"/>
            </w:tcBorders>
            <w:shd w:fill="D6E0EF" w:val="clear"/>
            <w:tcMar>
              <w:top w:type="dxa" w:w="100"/>
              <w:left w:type="dxa" w:w="140"/>
              <w:bottom w:type="dxa" w:w="100"/>
              <w:right w:type="dxa" w:w="100"/>
            </w:tcMar>
            <w:vAlign w:val="center"/>
          </w:tcPr>
          <w:p>
            <w:pPr>
              <w:jc w:val="center"/>
            </w:pPr>
            <w:r>
              <w:rPr>
                <w:rFonts w:ascii="Arial" w:cs="Arial" w:eastAsia="Arial" w:hAnsi="Arial"/>
                <w:b/>
                <w:bCs/>
                <w:color w:val="1B3A6B"/>
                <w:sz w:val="21"/>
                <w:szCs w:val="21"/>
              </w:rPr>
              <w:t xml:space="preserve">Day 1 – 2</w:t>
            </w:r>
          </w:p>
        </w:tc>
        <w:tc>
          <w:tcPr>
            <w:tcW w:type="dxa" w:w="43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Template design: craft phishing email &amp; lure page. URL/domain setup and configuration of simulation portal.</w:t>
            </w:r>
          </w:p>
        </w:tc>
        <w:tc>
          <w:tcPr>
            <w:tcW w:type="dxa" w:w="39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Phishing email template + working simulation URL</w:t>
            </w:r>
          </w:p>
        </w:tc>
      </w:tr>
      <w:tr>
        <w:trPr>
          <w:tblHeader w:val="false"/>
        </w:trPr>
        <w:tc>
          <w:tcPr>
            <w:tcW w:type="dxa" w:w="1400"/>
            <w:tcBorders>
              <w:top w:val="single" w:color="C0C8D8" w:sz="1"/>
              <w:left w:val="single" w:color="C0C8D8" w:sz="1"/>
              <w:bottom w:val="single" w:color="C0C8D8" w:sz="1"/>
              <w:right w:val="single" w:color="C0C8D8" w:sz="1"/>
            </w:tcBorders>
            <w:shd w:fill="D6E0EF" w:val="clear"/>
            <w:tcMar>
              <w:top w:type="dxa" w:w="100"/>
              <w:left w:type="dxa" w:w="140"/>
              <w:bottom w:type="dxa" w:w="100"/>
              <w:right w:type="dxa" w:w="100"/>
            </w:tcMar>
            <w:vAlign w:val="center"/>
          </w:tcPr>
          <w:p>
            <w:pPr>
              <w:jc w:val="center"/>
            </w:pPr>
            <w:r>
              <w:rPr>
                <w:rFonts w:ascii="Arial" w:cs="Arial" w:eastAsia="Arial" w:hAnsi="Arial"/>
                <w:b/>
                <w:bCs/>
                <w:color w:val="1B3A6B"/>
                <w:sz w:val="21"/>
                <w:szCs w:val="21"/>
              </w:rPr>
              <w:t xml:space="preserve">Day 3</w:t>
            </w:r>
          </w:p>
        </w:tc>
        <w:tc>
          <w:tcPr>
            <w:tcW w:type="dxa" w:w="43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IT Admin whitelisting session: coordinate with IT Admin to whitelist the simulation domain and bypass spam filters to ensure successful delivery.</w:t>
            </w:r>
          </w:p>
        </w:tc>
        <w:tc>
          <w:tcPr>
            <w:tcW w:type="dxa" w:w="39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Whitelisting confirmation from IT Admin</w:t>
            </w:r>
          </w:p>
        </w:tc>
      </w:tr>
      <w:tr>
        <w:trPr>
          <w:tblHeader w:val="false"/>
        </w:trPr>
        <w:tc>
          <w:tcPr>
            <w:tcW w:type="dxa" w:w="1400"/>
            <w:tcBorders>
              <w:top w:val="single" w:color="C0C8D8" w:sz="1"/>
              <w:left w:val="single" w:color="C0C8D8" w:sz="1"/>
              <w:bottom w:val="single" w:color="C0C8D8" w:sz="1"/>
              <w:right w:val="single" w:color="C0C8D8" w:sz="1"/>
            </w:tcBorders>
            <w:shd w:fill="D6E0EF" w:val="clear"/>
            <w:tcMar>
              <w:top w:type="dxa" w:w="100"/>
              <w:left w:type="dxa" w:w="140"/>
              <w:bottom w:type="dxa" w:w="100"/>
              <w:right w:type="dxa" w:w="100"/>
            </w:tcMar>
            <w:vAlign w:val="center"/>
          </w:tcPr>
          <w:p>
            <w:pPr>
              <w:jc w:val="center"/>
            </w:pPr>
            <w:r>
              <w:rPr>
                <w:rFonts w:ascii="Arial" w:cs="Arial" w:eastAsia="Arial" w:hAnsi="Arial"/>
                <w:b/>
                <w:bCs/>
                <w:color w:val="1B3A6B"/>
                <w:sz w:val="21"/>
                <w:szCs w:val="21"/>
              </w:rPr>
              <w:t xml:space="preserve">Day 4</w:t>
            </w:r>
          </w:p>
        </w:tc>
        <w:tc>
          <w:tcPr>
            <w:tcW w:type="dxa" w:w="43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Campaign Launch: deploy phishing email to all 200 target student email addresses. Monitor delivery and open rates.</w:t>
            </w:r>
          </w:p>
        </w:tc>
        <w:tc>
          <w:tcPr>
            <w:tcW w:type="dxa" w:w="39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Email blast sent; monitoring dashboard live</w:t>
            </w:r>
          </w:p>
        </w:tc>
      </w:tr>
      <w:tr>
        <w:trPr>
          <w:tblHeader w:val="false"/>
        </w:trPr>
        <w:tc>
          <w:tcPr>
            <w:tcW w:type="dxa" w:w="1400"/>
            <w:tcBorders>
              <w:top w:val="single" w:color="C0C8D8" w:sz="1"/>
              <w:left w:val="single" w:color="C0C8D8" w:sz="1"/>
              <w:bottom w:val="single" w:color="C0C8D8" w:sz="1"/>
              <w:right w:val="single" w:color="C0C8D8" w:sz="1"/>
            </w:tcBorders>
            <w:shd w:fill="D6E0EF" w:val="clear"/>
            <w:tcMar>
              <w:top w:type="dxa" w:w="100"/>
              <w:left w:type="dxa" w:w="140"/>
              <w:bottom w:type="dxa" w:w="100"/>
              <w:right w:type="dxa" w:w="100"/>
            </w:tcMar>
            <w:vAlign w:val="center"/>
          </w:tcPr>
          <w:p>
            <w:pPr>
              <w:jc w:val="center"/>
            </w:pPr>
            <w:r>
              <w:rPr>
                <w:rFonts w:ascii="Arial" w:cs="Arial" w:eastAsia="Arial" w:hAnsi="Arial"/>
                <w:b/>
                <w:bCs/>
                <w:color w:val="1B3A6B"/>
                <w:sz w:val="21"/>
                <w:szCs w:val="21"/>
              </w:rPr>
              <w:t xml:space="preserve">Day 5</w:t>
            </w:r>
          </w:p>
        </w:tc>
        <w:tc>
          <w:tcPr>
            <w:tcW w:type="dxa" w:w="43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Data collection period closes. Simulation link deactivated. Download and anonymize all logged statistics.</w:t>
            </w:r>
          </w:p>
        </w:tc>
        <w:tc>
          <w:tcPr>
            <w:tcW w:type="dxa" w:w="39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Raw anonymized dataset (clicks, submissions, device, time)</w:t>
            </w:r>
          </w:p>
        </w:tc>
      </w:tr>
      <w:tr>
        <w:trPr>
          <w:tblHeader w:val="false"/>
        </w:trPr>
        <w:tc>
          <w:tcPr>
            <w:tcW w:type="dxa" w:w="1400"/>
            <w:tcBorders>
              <w:top w:val="single" w:color="C0C8D8" w:sz="1"/>
              <w:left w:val="single" w:color="C0C8D8" w:sz="1"/>
              <w:bottom w:val="single" w:color="C0C8D8" w:sz="1"/>
              <w:right w:val="single" w:color="C0C8D8" w:sz="1"/>
            </w:tcBorders>
            <w:shd w:fill="D6E0EF" w:val="clear"/>
            <w:tcMar>
              <w:top w:type="dxa" w:w="100"/>
              <w:left w:type="dxa" w:w="140"/>
              <w:bottom w:type="dxa" w:w="100"/>
              <w:right w:type="dxa" w:w="100"/>
            </w:tcMar>
            <w:vAlign w:val="center"/>
          </w:tcPr>
          <w:p>
            <w:pPr>
              <w:jc w:val="center"/>
            </w:pPr>
            <w:r>
              <w:rPr>
                <w:rFonts w:ascii="Arial" w:cs="Arial" w:eastAsia="Arial" w:hAnsi="Arial"/>
                <w:b/>
                <w:bCs/>
                <w:color w:val="1B3A6B"/>
                <w:sz w:val="21"/>
                <w:szCs w:val="21"/>
              </w:rPr>
              <w:t xml:space="preserve">Day 6</w:t>
            </w:r>
          </w:p>
        </w:tc>
        <w:tc>
          <w:tcPr>
            <w:tcW w:type="dxa" w:w="43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Data analysis complete. Final PAVA Report compiled and submitted to the IT Department and supervising faculty.</w:t>
            </w:r>
          </w:p>
        </w:tc>
        <w:tc>
          <w:tcPr>
            <w:tcW w:type="dxa" w:w="39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Final PAVA Assessment Report submitted</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6</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SUCCESS METRICS  (KPIs)</w:t>
            </w:r>
          </w:p>
        </w:tc>
      </w:tr>
    </w:tbl>
    <w:p>
      <w:pPr>
        <w:spacing w:before="160" w:after="0"/>
      </w:pPr>
      <w:r>
        <w:t xml:space="preserve"/>
      </w:r>
    </w:p>
    <w:p>
      <w:pPr>
        <w:spacing w:before="0" w:after="160" w:line="320"/>
        <w:jc w:val="both"/>
      </w:pPr>
      <w:r>
        <w:rPr>
          <w:rFonts w:ascii="Arial" w:cs="Arial" w:eastAsia="Arial" w:hAnsi="Arial"/>
          <w:b w:val="false"/>
          <w:bCs w:val="false"/>
          <w:color w:val="3A3A3A"/>
          <w:sz w:val="22"/>
          <w:szCs w:val="22"/>
        </w:rPr>
        <w:t xml:space="preserve">The following Key Performance Indicators (KPIs) will be used to evaluate the outcomes of the PAVA campaign and measure student vulnerability levels:</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760"/>
      </w:tblGrid>
      <w:tr>
        <w:trPr>
          <w:tblHeader/>
        </w:trPr>
        <w:tc>
          <w:tcPr>
            <w:tcW w:type="dxa" w:w="240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KPI METRIC</w:t>
            </w:r>
          </w:p>
        </w:tc>
        <w:tc>
          <w:tcPr>
            <w:tcW w:type="dxa" w:w="456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DEFINITION</w:t>
            </w:r>
          </w:p>
        </w:tc>
        <w:tc>
          <w:tcPr>
            <w:tcW w:type="dxa" w:w="2760"/>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MEASUREMENT METHOD</w:t>
            </w:r>
          </w:p>
        </w:tc>
      </w:tr>
      <w:tr>
        <w:trPr>
          <w:tblHeader w:val="false"/>
        </w:trPr>
        <w:tc>
          <w:tcPr>
            <w:tcW w:type="dxa" w:w="240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b/>
                <w:bCs/>
                <w:color w:val="1B3A6B"/>
                <w:sz w:val="20"/>
                <w:szCs w:val="20"/>
              </w:rPr>
              <w:t xml:space="preserve">Failure Rate (Click Rate)</w:t>
            </w:r>
          </w:p>
        </w:tc>
        <w:tc>
          <w:tcPr>
            <w:tcW w:type="dxa" w:w="4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Total percentage of students who clicked the simulated phishing link out of 200 recipients</w:t>
            </w:r>
          </w:p>
        </w:tc>
        <w:tc>
          <w:tcPr>
            <w:tcW w:type="dxa" w:w="27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Clicks ÷ 200 × 100%</w:t>
            </w:r>
          </w:p>
        </w:tc>
      </w:tr>
      <w:tr>
        <w:trPr>
          <w:tblHeader w:val="false"/>
        </w:trPr>
        <w:tc>
          <w:tcPr>
            <w:tcW w:type="dxa" w:w="240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b/>
                <w:bCs/>
                <w:color w:val="1B3A6B"/>
                <w:sz w:val="20"/>
                <w:szCs w:val="20"/>
              </w:rPr>
              <w:t xml:space="preserve">Submission Rate</w:t>
            </w:r>
          </w:p>
        </w:tc>
        <w:tc>
          <w:tcPr>
            <w:tcW w:type="dxa" w:w="4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Percentage of students who proceeded to enter credentials on the fake login form</w:t>
            </w:r>
          </w:p>
        </w:tc>
        <w:tc>
          <w:tcPr>
            <w:tcW w:type="dxa" w:w="27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Submissions ÷ 200 × 100%</w:t>
            </w:r>
          </w:p>
        </w:tc>
      </w:tr>
      <w:tr>
        <w:trPr>
          <w:tblHeader w:val="false"/>
        </w:trPr>
        <w:tc>
          <w:tcPr>
            <w:tcW w:type="dxa" w:w="240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b/>
                <w:bCs/>
                <w:color w:val="1B3A6B"/>
                <w:sz w:val="20"/>
                <w:szCs w:val="20"/>
              </w:rPr>
              <w:t xml:space="preserve">Response Time</w:t>
            </w:r>
          </w:p>
        </w:tc>
        <w:tc>
          <w:tcPr>
            <w:tcW w:type="dxa" w:w="4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Average elapsed time between email delivery and the first recorded click event</w:t>
            </w:r>
          </w:p>
        </w:tc>
        <w:tc>
          <w:tcPr>
            <w:tcW w:type="dxa" w:w="27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Timestamp delta analysis (minutes/hours)</w:t>
            </w:r>
          </w:p>
        </w:tc>
      </w:tr>
      <w:tr>
        <w:trPr>
          <w:tblHeader w:val="false"/>
        </w:trPr>
        <w:tc>
          <w:tcPr>
            <w:tcW w:type="dxa" w:w="240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b/>
                <w:bCs/>
                <w:color w:val="1B3A6B"/>
                <w:sz w:val="20"/>
                <w:szCs w:val="20"/>
              </w:rPr>
              <w:t xml:space="preserve">Device Analytics</w:t>
            </w:r>
          </w:p>
        </w:tc>
        <w:tc>
          <w:tcPr>
            <w:tcW w:type="dxa" w:w="4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Breakdown of clicks originating from mobile devices vs. campus desktops/laptops</w:t>
            </w:r>
          </w:p>
        </w:tc>
        <w:tc>
          <w:tcPr>
            <w:tcW w:type="dxa" w:w="27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Device type logged at click event</w:t>
            </w:r>
          </w:p>
        </w:tc>
      </w:tr>
      <w:tr>
        <w:trPr>
          <w:tblHeader w:val="false"/>
        </w:trPr>
        <w:tc>
          <w:tcPr>
            <w:tcW w:type="dxa" w:w="240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b/>
                <w:bCs/>
                <w:color w:val="1B3A6B"/>
                <w:sz w:val="20"/>
                <w:szCs w:val="20"/>
              </w:rPr>
              <w:t xml:space="preserve">Awareness Uplift</w:t>
            </w:r>
          </w:p>
        </w:tc>
        <w:tc>
          <w:tcPr>
            <w:tcW w:type="dxa" w:w="4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00"/>
            </w:tcMar>
          </w:tcPr>
          <w:p>
            <w:r>
              <w:rPr>
                <w:rFonts w:ascii="Arial" w:cs="Arial" w:eastAsia="Arial" w:hAnsi="Arial"/>
                <w:color w:val="3A3A3A"/>
                <w:sz w:val="20"/>
                <w:szCs w:val="20"/>
              </w:rPr>
              <w:t xml:space="preserve">Qualitative assessment of student learning from the Teachable Moment page</w:t>
            </w:r>
          </w:p>
        </w:tc>
        <w:tc>
          <w:tcPr>
            <w:tcW w:type="dxa" w:w="2760"/>
            <w:tcBorders>
              <w:top w:val="single" w:color="C0C8D8" w:sz="1"/>
              <w:left w:val="single" w:color="C0C8D8" w:sz="1"/>
              <w:bottom w:val="single" w:color="C0C8D8" w:sz="1"/>
              <w:right w:val="single" w:color="C0C8D8" w:sz="1"/>
            </w:tcBorders>
            <w:shd w:fill="F2F5FA" w:val="clear"/>
            <w:tcMar>
              <w:top w:type="dxa" w:w="100"/>
              <w:left w:type="dxa" w:w="140"/>
              <w:bottom w:type="dxa" w:w="100"/>
              <w:right w:type="dxa" w:w="100"/>
            </w:tcMar>
          </w:tcPr>
          <w:p>
            <w:r>
              <w:rPr>
                <w:rFonts w:ascii="Arial" w:cs="Arial" w:eastAsia="Arial" w:hAnsi="Arial"/>
                <w:color w:val="3A3A3A"/>
                <w:sz w:val="20"/>
                <w:szCs w:val="20"/>
              </w:rPr>
              <w:t xml:space="preserve">Optional post-campaign feedback survey</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7</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RESOURCE REQUIREMENTS</w:t>
            </w:r>
          </w:p>
        </w:tc>
      </w:tr>
    </w:tbl>
    <w:p>
      <w:pPr>
        <w:spacing w:before="160" w:after="0"/>
      </w:pPr>
      <w:r>
        <w:t xml:space="preserve"/>
      </w:r>
    </w:p>
    <w:p>
      <w:pPr>
        <w:spacing w:before="0" w:after="160" w:line="320"/>
        <w:jc w:val="both"/>
      </w:pPr>
      <w:r>
        <w:rPr>
          <w:rFonts w:ascii="Arial" w:cs="Arial" w:eastAsia="Arial" w:hAnsi="Arial"/>
          <w:b w:val="false"/>
          <w:bCs w:val="false"/>
          <w:color w:val="3A3A3A"/>
          <w:sz w:val="22"/>
          <w:szCs w:val="22"/>
        </w:rPr>
        <w:t xml:space="preserve">Successful execution of the PAVA campaign requires the following resources and access permissions from the IT Department:</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6240"/>
      </w:tblGrid>
      <w:tr>
        <w:tc>
          <w:tcPr>
            <w:tcW w:type="dxa" w:w="480"/>
            <w:tcBorders>
              <w:top w:val="single" w:color="C0C8D8" w:sz="1"/>
              <w:left w:val="single" w:color="C0C8D8" w:sz="1"/>
              <w:bottom w:val="single" w:color="C0C8D8" w:sz="1"/>
              <w:right w:val="single" w:color="C0C8D8" w:sz="1"/>
            </w:tcBorders>
            <w:shd w:fill="1B3A6B"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w:t>
            </w:r>
          </w:p>
        </w:tc>
        <w:tc>
          <w:tcPr>
            <w:tcW w:type="dxa" w:w="3000"/>
            <w:tcBorders>
              <w:top w:val="single" w:color="C0C8D8" w:sz="1"/>
              <w:left w:val="single" w:color="C0C8D8" w:sz="1"/>
              <w:bottom w:val="single" w:color="C0C8D8" w:sz="1"/>
              <w:right w:val="single" w:color="C0C8D8" w:sz="1"/>
            </w:tcBorders>
            <w:shd w:fill="1B3A6B" w:val="clear"/>
            <w:tcMar>
              <w:top w:type="dxa" w:w="80"/>
              <w:left w:type="dxa" w:w="140"/>
              <w:bottom w:type="dxa" w:w="80"/>
              <w:right w:type="dxa" w:w="80"/>
            </w:tcMar>
          </w:tcPr>
          <w:p>
            <w:r>
              <w:rPr>
                <w:rFonts w:ascii="Arial" w:cs="Arial" w:eastAsia="Arial" w:hAnsi="Arial"/>
                <w:b/>
                <w:bCs/>
                <w:color w:val="FFFFFF"/>
                <w:sz w:val="19"/>
                <w:szCs w:val="19"/>
              </w:rPr>
              <w:t xml:space="preserve">Resource</w:t>
            </w:r>
          </w:p>
        </w:tc>
        <w:tc>
          <w:tcPr>
            <w:tcW w:type="dxa" w:w="6240"/>
            <w:tcBorders>
              <w:top w:val="single" w:color="C0C8D8" w:sz="1"/>
              <w:left w:val="single" w:color="C0C8D8" w:sz="1"/>
              <w:bottom w:val="single" w:color="C0C8D8" w:sz="1"/>
              <w:right w:val="single" w:color="C0C8D8" w:sz="1"/>
            </w:tcBorders>
            <w:shd w:fill="1B3A6B" w:val="clear"/>
            <w:tcMar>
              <w:top w:type="dxa" w:w="80"/>
              <w:left w:type="dxa" w:w="140"/>
              <w:bottom w:type="dxa" w:w="80"/>
              <w:right w:type="dxa" w:w="80"/>
            </w:tcMar>
          </w:tcPr>
          <w:p>
            <w:r>
              <w:rPr>
                <w:rFonts w:ascii="Arial" w:cs="Arial" w:eastAsia="Arial" w:hAnsi="Arial"/>
                <w:b/>
                <w:bCs/>
                <w:color w:val="FFFFFF"/>
                <w:sz w:val="19"/>
                <w:szCs w:val="19"/>
              </w:rPr>
              <w:t xml:space="preserve">Details &amp; Justification</w:t>
            </w:r>
          </w:p>
        </w:tc>
      </w:tr>
      <w:tr>
        <w:tc>
          <w:tcPr>
            <w:tcW w:type="dxa" w:w="480"/>
            <w:tcBorders>
              <w:top w:val="single" w:color="C0C8D8" w:sz="1"/>
              <w:left w:val="single" w:color="C0C8D8" w:sz="1"/>
              <w:bottom w:val="single" w:color="C0C8D8" w:sz="1"/>
              <w:right w:val="single" w:color="C0C8D8" w:sz="1"/>
            </w:tcBorders>
            <w:shd w:fill="D6E0EF" w:val="clear"/>
            <w:tcMar>
              <w:top w:type="dxa" w:w="90"/>
              <w:left w:type="dxa" w:w="80"/>
              <w:bottom w:type="dxa" w:w="90"/>
              <w:right w:type="dxa" w:w="80"/>
            </w:tcMar>
            <w:vAlign w:val="center"/>
          </w:tcPr>
          <w:p>
            <w:pPr>
              <w:jc w:val="center"/>
            </w:pPr>
            <w:r>
              <w:rPr>
                <w:rFonts w:ascii="Arial" w:cs="Arial" w:eastAsia="Arial" w:hAnsi="Arial"/>
                <w:b/>
                <w:bCs/>
                <w:color w:val="1B3A6B"/>
                <w:sz w:val="20"/>
                <w:szCs w:val="20"/>
              </w:rPr>
              <w:t xml:space="preserve">1</w:t>
            </w:r>
          </w:p>
        </w:tc>
        <w:tc>
          <w:tcPr>
            <w:tcW w:type="dxa" w:w="30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80"/>
            </w:tcMar>
          </w:tcPr>
          <w:p>
            <w:r>
              <w:rPr>
                <w:rFonts w:ascii="Arial" w:cs="Arial" w:eastAsia="Arial" w:hAnsi="Arial"/>
                <w:b/>
                <w:bCs/>
                <w:color w:val="1B3A6B"/>
                <w:sz w:val="20"/>
                <w:szCs w:val="20"/>
              </w:rPr>
              <w:t xml:space="preserve">Student Email Directory</w:t>
            </w:r>
          </w:p>
        </w:tc>
        <w:tc>
          <w:tcPr>
            <w:tcW w:type="dxa" w:w="624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Temporary, read-only access to the list of 200 first-semester student email addresses (names + institutional email). Required for targeted email delivery. No other personal data is needed.</w:t>
            </w:r>
          </w:p>
        </w:tc>
      </w:tr>
      <w:tr>
        <w:tc>
          <w:tcPr>
            <w:tcW w:type="dxa" w:w="480"/>
            <w:tcBorders>
              <w:top w:val="single" w:color="C0C8D8" w:sz="1"/>
              <w:left w:val="single" w:color="C0C8D8" w:sz="1"/>
              <w:bottom w:val="single" w:color="C0C8D8" w:sz="1"/>
              <w:right w:val="single" w:color="C0C8D8" w:sz="1"/>
            </w:tcBorders>
            <w:shd w:fill="F2F5FA" w:val="clear"/>
            <w:tcMar>
              <w:top w:type="dxa" w:w="90"/>
              <w:left w:type="dxa" w:w="80"/>
              <w:bottom w:type="dxa" w:w="90"/>
              <w:right w:type="dxa" w:w="80"/>
            </w:tcMar>
            <w:vAlign w:val="center"/>
          </w:tcPr>
          <w:p>
            <w:pPr>
              <w:jc w:val="center"/>
            </w:pPr>
            <w:r>
              <w:rPr>
                <w:rFonts w:ascii="Arial" w:cs="Arial" w:eastAsia="Arial" w:hAnsi="Arial"/>
                <w:b/>
                <w:bCs/>
                <w:color w:val="1B3A6B"/>
                <w:sz w:val="20"/>
                <w:szCs w:val="20"/>
              </w:rPr>
              <w:t xml:space="preserve">2</w:t>
            </w:r>
          </w:p>
        </w:tc>
        <w:tc>
          <w:tcPr>
            <w:tcW w:type="dxa" w:w="30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80"/>
            </w:tcMar>
          </w:tcPr>
          <w:p>
            <w:r>
              <w:rPr>
                <w:rFonts w:ascii="Arial" w:cs="Arial" w:eastAsia="Arial" w:hAnsi="Arial"/>
                <w:b/>
                <w:bCs/>
                <w:color w:val="1B3A6B"/>
                <w:sz w:val="20"/>
                <w:szCs w:val="20"/>
              </w:rPr>
              <w:t xml:space="preserve">Look-Alike Domain Permission</w:t>
            </w:r>
          </w:p>
        </w:tc>
        <w:tc>
          <w:tcPr>
            <w:tcW w:type="dxa" w:w="624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Authorization to use a look-alike or subdomain URL (e.g., it-portal.tcmit-verify.edu or similar) for the simulation lure. This is essential to replicate realistic phishing conditions. Domain will be deactivated immediately post-campaign.</w:t>
            </w:r>
          </w:p>
        </w:tc>
      </w:tr>
      <w:tr>
        <w:tc>
          <w:tcPr>
            <w:tcW w:type="dxa" w:w="480"/>
            <w:tcBorders>
              <w:top w:val="single" w:color="C0C8D8" w:sz="1"/>
              <w:left w:val="single" w:color="C0C8D8" w:sz="1"/>
              <w:bottom w:val="single" w:color="C0C8D8" w:sz="1"/>
              <w:right w:val="single" w:color="C0C8D8" w:sz="1"/>
            </w:tcBorders>
            <w:shd w:fill="D6E0EF" w:val="clear"/>
            <w:tcMar>
              <w:top w:type="dxa" w:w="90"/>
              <w:left w:type="dxa" w:w="80"/>
              <w:bottom w:type="dxa" w:w="90"/>
              <w:right w:type="dxa" w:w="80"/>
            </w:tcMar>
            <w:vAlign w:val="center"/>
          </w:tcPr>
          <w:p>
            <w:pPr>
              <w:jc w:val="center"/>
            </w:pPr>
            <w:r>
              <w:rPr>
                <w:rFonts w:ascii="Arial" w:cs="Arial" w:eastAsia="Arial" w:hAnsi="Arial"/>
                <w:b/>
                <w:bCs/>
                <w:color w:val="1B3A6B"/>
                <w:sz w:val="20"/>
                <w:szCs w:val="20"/>
              </w:rPr>
              <w:t xml:space="preserve">3</w:t>
            </w:r>
          </w:p>
        </w:tc>
        <w:tc>
          <w:tcPr>
            <w:tcW w:type="dxa" w:w="30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80"/>
            </w:tcMar>
          </w:tcPr>
          <w:p>
            <w:r>
              <w:rPr>
                <w:rFonts w:ascii="Arial" w:cs="Arial" w:eastAsia="Arial" w:hAnsi="Arial"/>
                <w:b/>
                <w:bCs/>
                <w:color w:val="1B3A6B"/>
                <w:sz w:val="20"/>
                <w:szCs w:val="20"/>
              </w:rPr>
              <w:t xml:space="preserve">Server / Hosting Access</w:t>
            </w:r>
          </w:p>
        </w:tc>
        <w:tc>
          <w:tcPr>
            <w:tcW w:type="dxa" w:w="624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Temporary server space or platform access (within the college IT infrastructure or authorized external hosting) to host the phishing landing page and the Teachable Moment awareness page.</w:t>
            </w:r>
          </w:p>
        </w:tc>
      </w:tr>
      <w:tr>
        <w:tc>
          <w:tcPr>
            <w:tcW w:type="dxa" w:w="480"/>
            <w:tcBorders>
              <w:top w:val="single" w:color="C0C8D8" w:sz="1"/>
              <w:left w:val="single" w:color="C0C8D8" w:sz="1"/>
              <w:bottom w:val="single" w:color="C0C8D8" w:sz="1"/>
              <w:right w:val="single" w:color="C0C8D8" w:sz="1"/>
            </w:tcBorders>
            <w:shd w:fill="F2F5FA" w:val="clear"/>
            <w:tcMar>
              <w:top w:type="dxa" w:w="90"/>
              <w:left w:type="dxa" w:w="80"/>
              <w:bottom w:type="dxa" w:w="90"/>
              <w:right w:type="dxa" w:w="80"/>
            </w:tcMar>
            <w:vAlign w:val="center"/>
          </w:tcPr>
          <w:p>
            <w:pPr>
              <w:jc w:val="center"/>
            </w:pPr>
            <w:r>
              <w:rPr>
                <w:rFonts w:ascii="Arial" w:cs="Arial" w:eastAsia="Arial" w:hAnsi="Arial"/>
                <w:b/>
                <w:bCs/>
                <w:color w:val="1B3A6B"/>
                <w:sz w:val="20"/>
                <w:szCs w:val="20"/>
              </w:rPr>
              <w:t xml:space="preserve">4</w:t>
            </w:r>
          </w:p>
        </w:tc>
        <w:tc>
          <w:tcPr>
            <w:tcW w:type="dxa" w:w="300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80"/>
            </w:tcMar>
          </w:tcPr>
          <w:p>
            <w:r>
              <w:rPr>
                <w:rFonts w:ascii="Arial" w:cs="Arial" w:eastAsia="Arial" w:hAnsi="Arial"/>
                <w:b/>
                <w:bCs/>
                <w:color w:val="1B3A6B"/>
                <w:sz w:val="20"/>
                <w:szCs w:val="20"/>
              </w:rPr>
              <w:t xml:space="preserve">Spam Filter Whitelisting</w:t>
            </w:r>
          </w:p>
        </w:tc>
        <w:tc>
          <w:tcPr>
            <w:tcW w:type="dxa" w:w="624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100"/>
            </w:tcMar>
          </w:tcPr>
          <w:p>
            <w:r>
              <w:rPr>
                <w:rFonts w:ascii="Arial" w:cs="Arial" w:eastAsia="Arial" w:hAnsi="Arial"/>
                <w:color w:val="3A3A3A"/>
                <w:sz w:val="20"/>
                <w:szCs w:val="20"/>
              </w:rPr>
              <w:t xml:space="preserve">Coordination with the IT Admin to whitelist the simulation domain/sender address to ensure the phishing email successfully reaches student inboxes (bypasses spam filters for this campaign only, then revoked).</w:t>
            </w:r>
          </w:p>
        </w:tc>
      </w:tr>
      <w:tr>
        <w:tc>
          <w:tcPr>
            <w:tcW w:type="dxa" w:w="480"/>
            <w:tcBorders>
              <w:top w:val="single" w:color="C0C8D8" w:sz="1"/>
              <w:left w:val="single" w:color="C0C8D8" w:sz="1"/>
              <w:bottom w:val="single" w:color="C0C8D8" w:sz="1"/>
              <w:right w:val="single" w:color="C0C8D8" w:sz="1"/>
            </w:tcBorders>
            <w:shd w:fill="D6E0EF" w:val="clear"/>
            <w:tcMar>
              <w:top w:type="dxa" w:w="90"/>
              <w:left w:type="dxa" w:w="80"/>
              <w:bottom w:type="dxa" w:w="90"/>
              <w:right w:type="dxa" w:w="80"/>
            </w:tcMar>
            <w:vAlign w:val="center"/>
          </w:tcPr>
          <w:p>
            <w:pPr>
              <w:jc w:val="center"/>
            </w:pPr>
            <w:r>
              <w:rPr>
                <w:rFonts w:ascii="Arial" w:cs="Arial" w:eastAsia="Arial" w:hAnsi="Arial"/>
                <w:b/>
                <w:bCs/>
                <w:color w:val="1B3A6B"/>
                <w:sz w:val="20"/>
                <w:szCs w:val="20"/>
              </w:rPr>
              <w:t xml:space="preserve">5</w:t>
            </w:r>
          </w:p>
        </w:tc>
        <w:tc>
          <w:tcPr>
            <w:tcW w:type="dxa" w:w="3000"/>
            <w:tcBorders>
              <w:top w:val="single" w:color="C0C8D8" w:sz="1"/>
              <w:left w:val="single" w:color="C0C8D8" w:sz="1"/>
              <w:bottom w:val="single" w:color="C0C8D8" w:sz="1"/>
              <w:right w:val="single" w:color="C0C8D8" w:sz="1"/>
            </w:tcBorders>
            <w:shd w:fill="F2F5FA" w:val="clear"/>
            <w:tcMar>
              <w:top w:type="dxa" w:w="90"/>
              <w:left w:type="dxa" w:w="140"/>
              <w:bottom w:type="dxa" w:w="90"/>
              <w:right w:type="dxa" w:w="80"/>
            </w:tcMar>
          </w:tcPr>
          <w:p>
            <w:r>
              <w:rPr>
                <w:rFonts w:ascii="Arial" w:cs="Arial" w:eastAsia="Arial" w:hAnsi="Arial"/>
                <w:b/>
                <w:bCs/>
                <w:color w:val="1B3A6B"/>
                <w:sz w:val="20"/>
                <w:szCs w:val="20"/>
              </w:rPr>
              <w:t xml:space="preserve">IT Supervision &amp; POC</w:t>
            </w:r>
          </w:p>
        </w:tc>
        <w:tc>
          <w:tcPr>
            <w:tcW w:type="dxa" w:w="6240"/>
            <w:tcBorders>
              <w:top w:val="single" w:color="C0C8D8" w:sz="1"/>
              <w:left w:val="single" w:color="C0C8D8" w:sz="1"/>
              <w:bottom w:val="single" w:color="C0C8D8" w:sz="1"/>
              <w:right w:val="single" w:color="C0C8D8" w:sz="1"/>
            </w:tcBorders>
            <w:shd w:fill="FFFFFF" w:val="clear"/>
            <w:tcMar>
              <w:top w:type="dxa" w:w="90"/>
              <w:left w:type="dxa" w:w="140"/>
              <w:bottom w:type="dxa" w:w="90"/>
              <w:right w:type="dxa" w:w="100"/>
            </w:tcMar>
          </w:tcPr>
          <w:p>
            <w:r>
              <w:rPr>
                <w:rFonts w:ascii="Arial" w:cs="Arial" w:eastAsia="Arial" w:hAnsi="Arial"/>
                <w:color w:val="3A3A3A"/>
                <w:sz w:val="20"/>
                <w:szCs w:val="20"/>
              </w:rPr>
              <w:t xml:space="preserve">Assignment of a designated IT Department supervisor or Point of Contact (POC) who will oversee each phase of the campaign and can intervene if needed.</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9240"/>
      </w:tblGrid>
      <w:tr>
        <w:tc>
          <w:tcPr>
            <w:tcW w:type="dxa" w:w="48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8</w:t>
            </w:r>
          </w:p>
        </w:tc>
        <w:tc>
          <w:tcPr>
            <w:tcW w:type="dxa" w:w="9240"/>
            <w:tcBorders>
              <w:top w:val="none" w:color="FFFFFF" w:sz="0"/>
              <w:left w:val="none" w:color="FFFFFF" w:sz="0"/>
              <w:bottom w:val="none" w:color="FFFFFF" w:sz="0"/>
              <w:right w:val="none" w:color="FFFFFF" w:sz="0"/>
            </w:tcBorders>
            <w:shd w:fill="2E5FA3" w:val="clear"/>
            <w:tcMar>
              <w:top w:type="dxa" w:w="100"/>
              <w:left w:type="dxa" w:w="180"/>
              <w:bottom w:type="dxa" w:w="100"/>
              <w:right w:type="dxa" w:w="120"/>
            </w:tcMar>
            <w:vAlign w:val="center"/>
          </w:tcPr>
          <w:p>
            <w:r>
              <w:rPr>
                <w:rFonts w:ascii="Arial" w:cs="Arial" w:eastAsia="Arial" w:hAnsi="Arial"/>
                <w:b/>
                <w:bCs/>
                <w:color w:val="FFFFFF"/>
                <w:spacing w:val="15"/>
                <w:sz w:val="24"/>
                <w:szCs w:val="24"/>
              </w:rPr>
              <w:t xml:space="preserve">APPROVAL SIGN-OFF</w:t>
            </w:r>
          </w:p>
        </w:tc>
      </w:tr>
    </w:tbl>
    <w:p>
      <w:pPr>
        <w:spacing w:before="160" w:after="0"/>
      </w:pPr>
      <w:r>
        <w:t xml:space="preserve"/>
      </w:r>
    </w:p>
    <w:p>
      <w:pPr>
        <w:spacing w:before="0" w:after="160" w:line="320"/>
        <w:jc w:val="both"/>
      </w:pPr>
      <w:r>
        <w:rPr>
          <w:rFonts w:ascii="Arial" w:cs="Arial" w:eastAsia="Arial" w:hAnsi="Arial"/>
          <w:b w:val="false"/>
          <w:bCs w:val="false"/>
          <w:color w:val="3A3A3A"/>
          <w:sz w:val="22"/>
          <w:szCs w:val="22"/>
        </w:rPr>
        <w:t xml:space="preserve">I respectfully request the formal approval and sign-off of the Head of the IT Department to proceed with the PAVA campaign. I am fully prepared to modify the scope, methodology, or timeline based on any conditions or restrictions the department may impose.</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0C8D8" w:sz="1"/>
              <w:left w:val="single" w:color="1A6B3A" w:sz="14"/>
              <w:bottom w:val="single" w:color="C0C8D8" w:sz="1"/>
              <w:right w:val="single" w:color="C0C8D8" w:sz="1"/>
            </w:tcBorders>
            <w:shd w:fill="E8F5ED" w:val="clear"/>
            <w:tcMar>
              <w:top w:type="dxa" w:w="120"/>
              <w:left w:type="dxa" w:w="200"/>
              <w:bottom w:type="dxa" w:w="120"/>
              <w:right w:type="dxa" w:w="200"/>
            </w:tcMar>
          </w:tcPr>
          <w:p>
            <w:pPr>
              <w:spacing w:before="0" w:after="0"/>
            </w:pPr>
            <w:r>
              <w:rPr>
                <w:rFonts w:ascii="Arial" w:cs="Arial" w:eastAsia="Arial" w:hAnsi="Arial"/>
                <w:b/>
                <w:bCs/>
                <w:color w:val="1A6B3A"/>
                <w:sz w:val="20"/>
                <w:szCs w:val="20"/>
              </w:rPr>
              <w:t xml:space="preserve">ETHICAL COMMITMENT: </w:t>
            </w:r>
            <w:r>
              <w:rPr>
                <w:rFonts w:ascii="Arial" w:cs="Arial" w:eastAsia="Arial" w:hAnsi="Arial"/>
                <w:color w:val="3A3A3A"/>
                <w:sz w:val="20"/>
                <w:szCs w:val="20"/>
              </w:rPr>
              <w:t xml:space="preserve">I hereby confirm that this campaign will be conducted with complete honesty, transparency, and respect for the privacy and dignity of all participants. No sensitive data will be captured, no systems will be harmed, and all activities will be disclosed to participants immediately following the simulation.</w:t>
            </w:r>
          </w:p>
        </w:tc>
      </w:tr>
    </w:tbl>
    <w:p>
      <w:pPr>
        <w:spacing w:before="4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36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rFonts w:ascii="Arial" w:cs="Arial" w:eastAsia="Arial" w:hAnsi="Arial"/>
                <w:b/>
                <w:bCs/>
                <w:color w:val="1B3A6B"/>
                <w:spacing w:val="10"/>
                <w:sz w:val="19"/>
                <w:szCs w:val="19"/>
              </w:rPr>
              <w:t xml:space="preserve">PROJECT LEAD SIGNATURE</w:t>
            </w:r>
          </w:p>
          <w:p>
            <w:pPr>
              <w:pBdr>
                <w:bottom w:val="single" w:color="1B3A6B" w:sz="6" w:space="1"/>
              </w:pBdr>
              <w:spacing w:before="700" w:after="100"/>
            </w:pPr>
            <w:r>
              <w:t xml:space="preserve"/>
            </w:r>
          </w:p>
          <w:p>
            <w:pPr>
              <w:spacing w:after="50"/>
            </w:pPr>
            <w:r>
              <w:rPr>
                <w:rFonts w:ascii="Arial" w:cs="Arial" w:eastAsia="Arial" w:hAnsi="Arial"/>
                <w:b/>
                <w:bCs/>
                <w:color w:val="3A3A3A"/>
                <w:sz w:val="23"/>
                <w:szCs w:val="23"/>
              </w:rPr>
              <w:t xml:space="preserve">Miraj Prasai</w:t>
            </w:r>
          </w:p>
          <w:p>
            <w:pPr>
              <w:spacing w:after="50"/>
            </w:pPr>
            <w:r>
              <w:rPr>
                <w:rFonts w:ascii="Arial" w:cs="Arial" w:eastAsia="Arial" w:hAnsi="Arial"/>
                <w:color w:val="3A3A3A"/>
                <w:sz w:val="20"/>
                <w:szCs w:val="20"/>
              </w:rPr>
              <w:t xml:space="preserve">1st Semester  |  Section A</w:t>
            </w:r>
          </w:p>
          <w:p>
            <w:pPr>
              <w:spacing w:after="50"/>
            </w:pPr>
            <w:r>
              <w:rPr>
                <w:rFonts w:ascii="Arial" w:cs="Arial" w:eastAsia="Arial" w:hAnsi="Arial"/>
                <w:color w:val="3A3A3A"/>
                <w:sz w:val="20"/>
                <w:szCs w:val="20"/>
              </w:rPr>
              <w:t xml:space="preserve">Texas College of Management and IT</w:t>
            </w:r>
          </w:p>
          <w:p>
            <w:pPr>
              <w:spacing w:after="50"/>
            </w:pPr>
            <w:r>
              <w:rPr>
                <w:rFonts w:ascii="Arial" w:cs="Arial" w:eastAsia="Arial" w:hAnsi="Arial"/>
                <w:color w:val="2E5FA3"/>
                <w:sz w:val="20"/>
                <w:szCs w:val="20"/>
              </w:rPr>
              <w:t xml:space="preserve">mirajprasai@gmail.com</w:t>
            </w:r>
          </w:p>
          <w:p>
            <w:pPr>
              <w:spacing w:after="0"/>
            </w:pPr>
            <w:r>
              <w:rPr>
                <w:rFonts w:ascii="Arial" w:cs="Arial" w:eastAsia="Arial" w:hAnsi="Arial"/>
                <w:color w:val="3A3A3A"/>
                <w:sz w:val="20"/>
                <w:szCs w:val="20"/>
              </w:rPr>
              <w:t xml:space="preserve">+977-9768384151</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pPr>
            <w:r>
              <w:rPr>
                <w:rFonts w:ascii="Arial" w:cs="Arial" w:eastAsia="Arial" w:hAnsi="Arial"/>
                <w:b/>
                <w:bCs/>
                <w:color w:val="1B3A6B"/>
                <w:spacing w:val="10"/>
                <w:sz w:val="19"/>
                <w:szCs w:val="19"/>
              </w:rPr>
              <w:t xml:space="preserve">IT DEPARTMENT HEAD SIGNATURE</w:t>
            </w:r>
          </w:p>
          <w:p>
            <w:pPr>
              <w:pBdr>
                <w:bottom w:val="single" w:color="1B3A6B" w:sz="6" w:space="1"/>
              </w:pBdr>
              <w:spacing w:before="700" w:after="100"/>
            </w:pPr>
            <w:r>
              <w:t xml:space="preserve"/>
            </w:r>
          </w:p>
          <w:p>
            <w:pPr>
              <w:spacing w:after="50"/>
            </w:pPr>
            <w:r>
              <w:rPr>
                <w:rFonts w:ascii="Arial" w:cs="Arial" w:eastAsia="Arial" w:hAnsi="Arial"/>
                <w:b/>
                <w:bCs/>
                <w:color w:val="3A3A3A"/>
                <w:sz w:val="23"/>
                <w:szCs w:val="23"/>
              </w:rPr>
              <w:t xml:space="preserve">Head of IT Department</w:t>
            </w:r>
          </w:p>
          <w:p>
            <w:pPr>
              <w:spacing w:after="50"/>
            </w:pPr>
            <w:r>
              <w:rPr>
                <w:rFonts w:ascii="Arial" w:cs="Arial" w:eastAsia="Arial" w:hAnsi="Arial"/>
                <w:color w:val="3A3A3A"/>
                <w:sz w:val="20"/>
                <w:szCs w:val="20"/>
              </w:rPr>
              <w:t xml:space="preserve">Texas College of Management and IT</w:t>
            </w:r>
          </w:p>
          <w:p>
            <w:pPr>
              <w:spacing w:after="50"/>
            </w:pPr>
            <w:r>
              <w:rPr>
                <w:rFonts w:ascii="Arial" w:cs="Arial" w:eastAsia="Arial" w:hAnsi="Arial"/>
                <w:color w:val="3A3A3A"/>
                <w:sz w:val="20"/>
                <w:szCs w:val="20"/>
              </w:rPr>
              <w:t xml:space="preserve">Approved  /  Not Approved  (circle one)</w:t>
            </w:r>
          </w:p>
          <w:p>
            <w:pPr>
              <w:spacing w:after="50"/>
            </w:pPr>
            <w:r>
              <w:rPr>
                <w:rFonts w:ascii="Arial" w:cs="Arial" w:eastAsia="Arial" w:hAnsi="Arial"/>
                <w:color w:val="3A3A3A"/>
                <w:sz w:val="20"/>
                <w:szCs w:val="20"/>
              </w:rPr>
              <w:t xml:space="preserve">Date: ___________________________</w:t>
            </w:r>
          </w:p>
          <w:p>
            <w:pPr>
              <w:spacing w:after="0"/>
            </w:pPr>
            <w:r>
              <w:rPr>
                <w:rFonts w:ascii="Arial" w:cs="Arial" w:eastAsia="Arial" w:hAnsi="Arial"/>
                <w:color w:val="3A3A3A"/>
                <w:sz w:val="20"/>
                <w:szCs w:val="20"/>
              </w:rPr>
              <w:t xml:space="preserve">Conditions (if any): ____________</w:t>
            </w:r>
          </w:p>
        </w:tc>
      </w:tr>
    </w:tbl>
    <w:p>
      <w:pPr>
        <w:spacing w:before="400" w:after="0"/>
      </w:pPr>
      <w:r>
        <w:t xml:space="preserve"/>
      </w:r>
    </w:p>
    <w:p>
      <w:pPr>
        <w:pBdr>
          <w:bottom w:val="single" w:color="2E5FA3" w:sz="10" w:space="1"/>
        </w:pBdr>
        <w:spacing w:before="0" w:after="0"/>
      </w:pPr>
      <w:r>
        <w:t xml:space="preserve"/>
      </w:r>
    </w:p>
    <w:p>
      <w:pPr>
        <w:spacing w:before="160" w:after="0"/>
      </w:pPr>
      <w:r>
        <w:t xml:space="preserve"/>
      </w:r>
    </w:p>
    <w:p>
      <w:pPr>
        <w:spacing w:before="0" w:after="0" w:line="320"/>
        <w:jc w:val="center"/>
      </w:pPr>
      <w:r>
        <w:rPr>
          <w:rFonts w:ascii="Arial" w:cs="Arial" w:eastAsia="Arial" w:hAnsi="Arial"/>
          <w:b w:val="false"/>
          <w:bCs w:val="false"/>
          <w:color w:val="888888"/>
          <w:sz w:val="18"/>
          <w:szCs w:val="18"/>
        </w:rPr>
        <w:t xml:space="preserve">This proposal was prepared in good faith by Miraj Prasai as an academic cybersecurity project under the guidance of the IT Department. All activities described are subject to departmental approval and institutional policy.</w:t>
      </w:r>
    </w:p>
    <w:sectPr>
      <w:headerReference w:type="default" r:id="rId6"/>
      <w:footerReference w:type="default" r:id="rId7"/>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5" w:space="4"/>
      </w:pBdr>
      <w:spacing w:before="120" w:after="0"/>
      <w:jc w:val="center"/>
    </w:pPr>
    <w:r>
      <w:rPr>
        <w:rFonts w:ascii="Arial" w:cs="Arial" w:eastAsia="Arial" w:hAnsi="Arial"/>
        <w:color w:val="999999"/>
        <w:sz w:val="17"/>
        <w:szCs w:val="17"/>
      </w:rPr>
      <w:t xml:space="preserve">Confidential — Internal Review Only    |    Lead Auditor: Miraj Prasai    |    Page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of </w:t>
    </w:r>
    <w:r>
      <w:rPr>
        <w:rFonts w:ascii="Arial" w:cs="Arial" w:eastAsia="Arial" w:hAnsi="Arial"/>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5" w:space="4"/>
      </w:pBdr>
      <w:spacing w:before="0" w:after="120"/>
      <w:jc w:val="right"/>
    </w:pPr>
    <w:r>
      <w:rPr>
        <w:rFonts w:ascii="Arial" w:cs="Arial" w:eastAsia="Arial" w:hAnsi="Arial"/>
        <w:color w:val="888888"/>
        <w:sz w:val="17"/>
        <w:szCs w:val="17"/>
      </w:rPr>
      <w:t xml:space="preserve">PAVA – Phishing Awareness &amp; Vulnerability Assessment  |  Texas College of Management and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2026-03-18T20:37:10.375Z</dcterms:created>
  <dcterms:modified xsi:type="dcterms:W3CDTF">2026-03-18T20:37:10.376Z</dcterms:modified>
</cp:coreProperties>
</file>

<file path=docProps/custom.xml><?xml version="1.0" encoding="utf-8"?>
<Properties xmlns="http://schemas.openxmlformats.org/officeDocument/2006/custom-properties" xmlns:vt="http://schemas.openxmlformats.org/officeDocument/2006/docPropsVTypes"/>
</file>